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80B" w:rsidRPr="00523FD2" w:rsidRDefault="00E7780B" w:rsidP="00540AE4">
      <w:pPr>
        <w:widowControl/>
        <w:adjustRightInd/>
        <w:textAlignment w:val="auto"/>
        <w:rPr>
          <w:rFonts w:cs="Arial"/>
          <w:b/>
          <w:bCs/>
          <w:szCs w:val="24"/>
          <w:u w:val="single"/>
          <w:lang w:eastAsia="en-GB"/>
        </w:rPr>
      </w:pPr>
      <w:r w:rsidRPr="00523FD2">
        <w:rPr>
          <w:rFonts w:cs="Arial"/>
          <w:b/>
          <w:bCs/>
          <w:szCs w:val="24"/>
          <w:u w:val="single"/>
          <w:lang w:eastAsia="en-GB"/>
        </w:rPr>
        <w:t>2012/13 LACSEG rates - contingencies</w:t>
      </w:r>
    </w:p>
    <w:p w:rsidR="00E7780B" w:rsidRDefault="00E7780B" w:rsidP="00540AE4">
      <w:pPr>
        <w:widowControl/>
        <w:adjustRightInd/>
        <w:textAlignment w:val="auto"/>
        <w:rPr>
          <w:rFonts w:cs="Arial"/>
          <w:b/>
          <w:bCs/>
          <w:szCs w:val="24"/>
          <w:lang w:eastAsia="en-GB"/>
        </w:rPr>
      </w:pPr>
    </w:p>
    <w:p w:rsidR="003873D2" w:rsidRPr="00F52AE7" w:rsidRDefault="003873D2" w:rsidP="00540AE4">
      <w:pPr>
        <w:widowControl/>
        <w:adjustRightInd/>
        <w:textAlignment w:val="auto"/>
        <w:rPr>
          <w:rFonts w:cs="Arial"/>
          <w:b/>
          <w:bCs/>
          <w:szCs w:val="24"/>
          <w:lang w:eastAsia="en-GB"/>
        </w:rPr>
      </w:pPr>
      <w:r>
        <w:rPr>
          <w:rFonts w:cs="Arial"/>
          <w:b/>
          <w:bCs/>
          <w:szCs w:val="24"/>
          <w:lang w:eastAsia="en-GB"/>
        </w:rPr>
        <w:t>Introduction</w:t>
      </w:r>
    </w:p>
    <w:p w:rsidR="0038017F" w:rsidRPr="0038017F" w:rsidRDefault="001A0A2C" w:rsidP="0038017F">
      <w:pPr>
        <w:numPr>
          <w:ilvl w:val="0"/>
          <w:numId w:val="7"/>
        </w:numPr>
        <w:tabs>
          <w:tab w:val="clear" w:pos="720"/>
          <w:tab w:val="num" w:pos="360"/>
        </w:tabs>
        <w:ind w:left="360"/>
        <w:rPr>
          <w:szCs w:val="24"/>
        </w:rPr>
      </w:pPr>
      <w:r>
        <w:rPr>
          <w:lang w:eastAsia="en-GB"/>
        </w:rPr>
        <w:t>From 2012/13</w:t>
      </w:r>
      <w:r w:rsidR="003873D2">
        <w:rPr>
          <w:lang w:eastAsia="en-GB"/>
        </w:rPr>
        <w:t>, expenditure reported under</w:t>
      </w:r>
      <w:r>
        <w:rPr>
          <w:lang w:eastAsia="en-GB"/>
        </w:rPr>
        <w:t xml:space="preserve"> </w:t>
      </w:r>
      <w:r w:rsidR="00540AE4" w:rsidRPr="00F52AE7">
        <w:rPr>
          <w:lang w:eastAsia="en-GB"/>
        </w:rPr>
        <w:t>‘school</w:t>
      </w:r>
      <w:r w:rsidR="00C50F72">
        <w:rPr>
          <w:lang w:eastAsia="en-GB"/>
        </w:rPr>
        <w:t>s</w:t>
      </w:r>
      <w:r w:rsidR="00540AE4" w:rsidRPr="00F52AE7">
        <w:rPr>
          <w:lang w:eastAsia="en-GB"/>
        </w:rPr>
        <w:t xml:space="preserve"> specific contingencies’ </w:t>
      </w:r>
      <w:r w:rsidR="003873D2">
        <w:rPr>
          <w:lang w:eastAsia="en-GB"/>
        </w:rPr>
        <w:t xml:space="preserve">on a local authority’s section 251 return, </w:t>
      </w:r>
      <w:r>
        <w:rPr>
          <w:lang w:eastAsia="en-GB"/>
        </w:rPr>
        <w:t xml:space="preserve">will be included </w:t>
      </w:r>
      <w:r w:rsidR="003873D2">
        <w:rPr>
          <w:lang w:eastAsia="en-GB"/>
        </w:rPr>
        <w:t xml:space="preserve">within the scope of LACSEG </w:t>
      </w:r>
      <w:r>
        <w:rPr>
          <w:lang w:eastAsia="en-GB"/>
        </w:rPr>
        <w:t>when calculating the LACSEG</w:t>
      </w:r>
      <w:r w:rsidR="003873D2">
        <w:rPr>
          <w:lang w:eastAsia="en-GB"/>
        </w:rPr>
        <w:t xml:space="preserve"> rates to be paid to Academies.</w:t>
      </w:r>
    </w:p>
    <w:p w:rsidR="0038017F" w:rsidRDefault="0038017F" w:rsidP="0038017F">
      <w:pPr>
        <w:rPr>
          <w:szCs w:val="24"/>
        </w:rPr>
      </w:pPr>
    </w:p>
    <w:p w:rsidR="0038017F" w:rsidRDefault="0038017F" w:rsidP="0038017F">
      <w:pPr>
        <w:numPr>
          <w:ilvl w:val="0"/>
          <w:numId w:val="7"/>
        </w:numPr>
        <w:tabs>
          <w:tab w:val="clear" w:pos="720"/>
          <w:tab w:val="num" w:pos="360"/>
        </w:tabs>
        <w:ind w:left="360"/>
        <w:rPr>
          <w:szCs w:val="24"/>
        </w:rPr>
      </w:pPr>
      <w:r w:rsidRPr="00A17730">
        <w:t xml:space="preserve">The </w:t>
      </w:r>
      <w:r w:rsidRPr="00A17730">
        <w:rPr>
          <w:rFonts w:cs="Arial"/>
          <w:bCs/>
          <w:szCs w:val="24"/>
          <w:lang w:eastAsia="en-GB"/>
        </w:rPr>
        <w:t>budgets</w:t>
      </w:r>
      <w:r>
        <w:rPr>
          <w:rFonts w:cs="Arial"/>
          <w:bCs/>
          <w:szCs w:val="24"/>
          <w:lang w:eastAsia="en-GB"/>
        </w:rPr>
        <w:t xml:space="preserve"> for school</w:t>
      </w:r>
      <w:r w:rsidR="00C50F72">
        <w:rPr>
          <w:rFonts w:cs="Arial"/>
          <w:bCs/>
          <w:szCs w:val="24"/>
          <w:lang w:eastAsia="en-GB"/>
        </w:rPr>
        <w:t>s</w:t>
      </w:r>
      <w:r>
        <w:rPr>
          <w:rFonts w:cs="Arial"/>
          <w:bCs/>
          <w:szCs w:val="24"/>
          <w:lang w:eastAsia="en-GB"/>
        </w:rPr>
        <w:t xml:space="preserve"> </w:t>
      </w:r>
      <w:r w:rsidRPr="00F52AE7">
        <w:rPr>
          <w:rFonts w:cs="Arial"/>
          <w:bCs/>
          <w:szCs w:val="24"/>
          <w:lang w:eastAsia="en-GB"/>
        </w:rPr>
        <w:t xml:space="preserve">specific contingencies have </w:t>
      </w:r>
      <w:r>
        <w:rPr>
          <w:rFonts w:cs="Arial"/>
          <w:bCs/>
          <w:szCs w:val="24"/>
          <w:lang w:eastAsia="en-GB"/>
        </w:rPr>
        <w:t>risen significantly</w:t>
      </w:r>
      <w:r w:rsidRPr="00F52AE7">
        <w:rPr>
          <w:rFonts w:cs="Arial"/>
          <w:bCs/>
          <w:szCs w:val="24"/>
          <w:lang w:eastAsia="en-GB"/>
        </w:rPr>
        <w:t xml:space="preserve"> in recent years (</w:t>
      </w:r>
      <w:r>
        <w:rPr>
          <w:rFonts w:cs="Arial"/>
          <w:bCs/>
          <w:szCs w:val="24"/>
          <w:lang w:eastAsia="en-GB"/>
        </w:rPr>
        <w:t>from £351 million in 2008-09 to £545 million in 2011-12</w:t>
      </w:r>
      <w:r w:rsidRPr="00F52AE7">
        <w:rPr>
          <w:rFonts w:cs="Arial"/>
          <w:bCs/>
          <w:szCs w:val="24"/>
          <w:lang w:eastAsia="en-GB"/>
        </w:rPr>
        <w:t xml:space="preserve"> nationally).</w:t>
      </w:r>
      <w:r>
        <w:rPr>
          <w:rFonts w:cs="Arial"/>
          <w:bCs/>
          <w:szCs w:val="24"/>
          <w:lang w:eastAsia="en-GB"/>
        </w:rPr>
        <w:t xml:space="preserve"> </w:t>
      </w:r>
      <w:r w:rsidRPr="00F52AE7">
        <w:rPr>
          <w:rFonts w:cs="Arial"/>
          <w:bCs/>
          <w:szCs w:val="24"/>
          <w:lang w:eastAsia="en-GB"/>
        </w:rPr>
        <w:t xml:space="preserve">Some authorities are retaining amounts which go beyond </w:t>
      </w:r>
      <w:r w:rsidRPr="00F52AE7">
        <w:rPr>
          <w:szCs w:val="24"/>
        </w:rPr>
        <w:t xml:space="preserve">what is intended in the regulations, which relates to the correction of errors, meeting expenditure where it would be unreasonable for this to be met from the budget share and where the budget share is increased under the authority’s formula. </w:t>
      </w:r>
    </w:p>
    <w:p w:rsidR="0038017F" w:rsidRDefault="0038017F" w:rsidP="0038017F">
      <w:pPr>
        <w:rPr>
          <w:szCs w:val="24"/>
        </w:rPr>
      </w:pPr>
    </w:p>
    <w:p w:rsidR="0038017F" w:rsidRDefault="0038017F" w:rsidP="0038017F">
      <w:pPr>
        <w:numPr>
          <w:ilvl w:val="0"/>
          <w:numId w:val="7"/>
        </w:numPr>
        <w:tabs>
          <w:tab w:val="clear" w:pos="720"/>
          <w:tab w:val="num" w:pos="360"/>
        </w:tabs>
        <w:ind w:left="360"/>
        <w:rPr>
          <w:szCs w:val="24"/>
        </w:rPr>
      </w:pPr>
      <w:r>
        <w:rPr>
          <w:szCs w:val="24"/>
        </w:rPr>
        <w:t>Under</w:t>
      </w:r>
      <w:r w:rsidRPr="00F52AE7">
        <w:rPr>
          <w:szCs w:val="24"/>
        </w:rPr>
        <w:t xml:space="preserve"> arrangements</w:t>
      </w:r>
      <w:r>
        <w:rPr>
          <w:szCs w:val="24"/>
        </w:rPr>
        <w:t xml:space="preserve"> for 2011/12</w:t>
      </w:r>
      <w:r w:rsidRPr="00F52AE7">
        <w:rPr>
          <w:szCs w:val="24"/>
        </w:rPr>
        <w:t>, Academies</w:t>
      </w:r>
      <w:r>
        <w:rPr>
          <w:szCs w:val="24"/>
        </w:rPr>
        <w:t xml:space="preserve"> did</w:t>
      </w:r>
      <w:r w:rsidRPr="00F52AE7">
        <w:rPr>
          <w:szCs w:val="24"/>
        </w:rPr>
        <w:t xml:space="preserve"> not receive a share of</w:t>
      </w:r>
      <w:r>
        <w:rPr>
          <w:szCs w:val="24"/>
        </w:rPr>
        <w:t xml:space="preserve"> contingencies in LACSEG; nor did</w:t>
      </w:r>
      <w:r w:rsidRPr="00F52AE7">
        <w:rPr>
          <w:szCs w:val="24"/>
        </w:rPr>
        <w:t xml:space="preserve"> they have any entitlement to access this funding, although we are</w:t>
      </w:r>
      <w:r>
        <w:rPr>
          <w:szCs w:val="24"/>
        </w:rPr>
        <w:t xml:space="preserve"> aware that some authorities did </w:t>
      </w:r>
      <w:r w:rsidRPr="00F52AE7">
        <w:rPr>
          <w:szCs w:val="24"/>
        </w:rPr>
        <w:t>make this available to Academies as well</w:t>
      </w:r>
      <w:r>
        <w:rPr>
          <w:szCs w:val="24"/>
        </w:rPr>
        <w:t xml:space="preserve"> as maintained schools. There is</w:t>
      </w:r>
      <w:r w:rsidRPr="00F52AE7">
        <w:rPr>
          <w:szCs w:val="24"/>
        </w:rPr>
        <w:t xml:space="preserve"> also confusion over whether </w:t>
      </w:r>
      <w:r>
        <w:rPr>
          <w:szCs w:val="24"/>
        </w:rPr>
        <w:t xml:space="preserve">local </w:t>
      </w:r>
      <w:r w:rsidRPr="00F52AE7">
        <w:rPr>
          <w:szCs w:val="24"/>
        </w:rPr>
        <w:t xml:space="preserve">authorities or the YPLA should be making additional allocations other than those for SEN Individually Assigned Resources to Academies during the course of the year. </w:t>
      </w:r>
    </w:p>
    <w:p w:rsidR="0038017F" w:rsidRDefault="0038017F" w:rsidP="0038017F">
      <w:pPr>
        <w:rPr>
          <w:szCs w:val="24"/>
        </w:rPr>
      </w:pPr>
    </w:p>
    <w:p w:rsidR="0038017F" w:rsidRPr="003873D2" w:rsidRDefault="0038017F" w:rsidP="0038017F">
      <w:pPr>
        <w:numPr>
          <w:ilvl w:val="0"/>
          <w:numId w:val="7"/>
        </w:numPr>
        <w:tabs>
          <w:tab w:val="clear" w:pos="720"/>
          <w:tab w:val="num" w:pos="360"/>
        </w:tabs>
        <w:ind w:left="360"/>
        <w:rPr>
          <w:szCs w:val="24"/>
        </w:rPr>
      </w:pPr>
      <w:r w:rsidRPr="00F52AE7">
        <w:rPr>
          <w:szCs w:val="24"/>
        </w:rPr>
        <w:t>We are clear that the direct financial relationship between authorities and Academies should generally be limited to early years (where appropriate) and adjustments for SEN and exclusions.</w:t>
      </w:r>
      <w:r>
        <w:rPr>
          <w:szCs w:val="24"/>
        </w:rPr>
        <w:t xml:space="preserve"> </w:t>
      </w:r>
      <w:r w:rsidRPr="004A2FFD">
        <w:t xml:space="preserve">That is why we have included the money that local authorities keep for </w:t>
      </w:r>
      <w:r w:rsidR="00C50F72">
        <w:t>schools specific</w:t>
      </w:r>
      <w:r w:rsidRPr="004A2FFD">
        <w:t xml:space="preserve"> contingencies when calculating the LACSEG rates.</w:t>
      </w:r>
    </w:p>
    <w:p w:rsidR="003873D2" w:rsidRDefault="003873D2" w:rsidP="003873D2">
      <w:pPr>
        <w:rPr>
          <w:szCs w:val="24"/>
        </w:rPr>
      </w:pPr>
    </w:p>
    <w:p w:rsidR="0038017F" w:rsidRPr="0038017F" w:rsidRDefault="0038017F" w:rsidP="003873D2">
      <w:pPr>
        <w:rPr>
          <w:b/>
          <w:szCs w:val="24"/>
        </w:rPr>
      </w:pPr>
      <w:r w:rsidRPr="0038017F">
        <w:rPr>
          <w:b/>
          <w:szCs w:val="24"/>
        </w:rPr>
        <w:t>Applications for exclusions from contingencies</w:t>
      </w:r>
    </w:p>
    <w:p w:rsidR="006E5767" w:rsidRPr="006E5767" w:rsidRDefault="006E5767" w:rsidP="006E5767">
      <w:pPr>
        <w:numPr>
          <w:ilvl w:val="0"/>
          <w:numId w:val="7"/>
        </w:numPr>
        <w:tabs>
          <w:tab w:val="clear" w:pos="720"/>
          <w:tab w:val="num" w:pos="360"/>
        </w:tabs>
        <w:ind w:left="360"/>
        <w:rPr>
          <w:szCs w:val="24"/>
        </w:rPr>
      </w:pPr>
      <w:r>
        <w:rPr>
          <w:lang w:eastAsia="en-GB"/>
        </w:rPr>
        <w:t>The</w:t>
      </w:r>
      <w:r w:rsidRPr="00F52AE7">
        <w:t xml:space="preserve"> Department wrote to </w:t>
      </w:r>
      <w:r>
        <w:t>all local authorities to inform them of this in October 2011</w:t>
      </w:r>
      <w:r w:rsidR="003873D2">
        <w:t>. We asked local authorities</w:t>
      </w:r>
      <w:r>
        <w:t xml:space="preserve"> </w:t>
      </w:r>
      <w:r w:rsidRPr="00F52AE7">
        <w:t xml:space="preserve">to get in touch if they would like to make a case to have </w:t>
      </w:r>
      <w:r>
        <w:t xml:space="preserve">contingency </w:t>
      </w:r>
      <w:r w:rsidRPr="00F52AE7">
        <w:t xml:space="preserve">expenditure excluded from the </w:t>
      </w:r>
      <w:r w:rsidR="003873D2">
        <w:t xml:space="preserve">Academies LACSEG </w:t>
      </w:r>
      <w:r w:rsidRPr="00F52AE7">
        <w:t xml:space="preserve">calculation. We agreed that this would be considered in certain circumstances, for example, where funding was for named pupils, such as those with SEN individually assigned resources, or </w:t>
      </w:r>
      <w:r>
        <w:t xml:space="preserve">for </w:t>
      </w:r>
      <w:r w:rsidRPr="00F52AE7">
        <w:t>an individual school.</w:t>
      </w:r>
    </w:p>
    <w:p w:rsidR="006E5767" w:rsidRPr="006E5767" w:rsidRDefault="006E5767" w:rsidP="006E5767">
      <w:pPr>
        <w:rPr>
          <w:szCs w:val="24"/>
        </w:rPr>
      </w:pPr>
    </w:p>
    <w:p w:rsidR="000D6A47" w:rsidRDefault="003873D2" w:rsidP="000D6A47">
      <w:pPr>
        <w:numPr>
          <w:ilvl w:val="0"/>
          <w:numId w:val="7"/>
        </w:numPr>
        <w:tabs>
          <w:tab w:val="clear" w:pos="720"/>
          <w:tab w:val="num" w:pos="360"/>
        </w:tabs>
        <w:ind w:left="360"/>
        <w:rPr>
          <w:szCs w:val="24"/>
        </w:rPr>
      </w:pPr>
      <w:r>
        <w:t>We</w:t>
      </w:r>
      <w:r w:rsidR="006E5767" w:rsidRPr="006957FB">
        <w:t xml:space="preserve"> explained that we would consider local authority requests to exclude some elements of their contingencies spend from the LACSEG calculation. </w:t>
      </w:r>
      <w:r w:rsidR="000D6A47" w:rsidRPr="00F52AE7">
        <w:rPr>
          <w:szCs w:val="24"/>
        </w:rPr>
        <w:t xml:space="preserve">Having received and reviewed applications from </w:t>
      </w:r>
      <w:r w:rsidR="000D6A47">
        <w:rPr>
          <w:szCs w:val="24"/>
        </w:rPr>
        <w:t xml:space="preserve">local authorities, </w:t>
      </w:r>
      <w:r w:rsidR="000D6A47" w:rsidRPr="00F52AE7">
        <w:rPr>
          <w:szCs w:val="24"/>
        </w:rPr>
        <w:t>we</w:t>
      </w:r>
      <w:r>
        <w:rPr>
          <w:szCs w:val="24"/>
        </w:rPr>
        <w:t xml:space="preserve"> published</w:t>
      </w:r>
      <w:r w:rsidR="000D6A47">
        <w:rPr>
          <w:szCs w:val="24"/>
        </w:rPr>
        <w:t xml:space="preserve"> a l</w:t>
      </w:r>
      <w:r w:rsidR="000D6A47" w:rsidRPr="00F52AE7">
        <w:rPr>
          <w:szCs w:val="24"/>
        </w:rPr>
        <w:t>ist of examples of a</w:t>
      </w:r>
      <w:r w:rsidR="000D6A47">
        <w:rPr>
          <w:szCs w:val="24"/>
        </w:rPr>
        <w:t xml:space="preserve">ccepted exclusions, as well </w:t>
      </w:r>
      <w:r w:rsidR="000D6A47" w:rsidRPr="00F52AE7">
        <w:rPr>
          <w:szCs w:val="24"/>
        </w:rPr>
        <w:t>exclusions</w:t>
      </w:r>
      <w:r w:rsidR="000D6A47">
        <w:rPr>
          <w:szCs w:val="24"/>
        </w:rPr>
        <w:t xml:space="preserve"> that we had not accepted. These were set out in the consultation on the Academies Funding Transfer which closed on </w:t>
      </w:r>
      <w:r>
        <w:rPr>
          <w:szCs w:val="24"/>
        </w:rPr>
        <w:t>12 January</w:t>
      </w:r>
      <w:r w:rsidR="000D6A47">
        <w:rPr>
          <w:szCs w:val="24"/>
        </w:rPr>
        <w:t>.</w:t>
      </w:r>
    </w:p>
    <w:p w:rsidR="003873D2" w:rsidRDefault="003873D2" w:rsidP="003873D2">
      <w:pPr>
        <w:rPr>
          <w:szCs w:val="24"/>
        </w:rPr>
      </w:pPr>
    </w:p>
    <w:p w:rsidR="003873D2" w:rsidRPr="003873D2" w:rsidRDefault="003873D2" w:rsidP="003873D2">
      <w:pPr>
        <w:rPr>
          <w:b/>
          <w:szCs w:val="24"/>
        </w:rPr>
      </w:pPr>
      <w:r w:rsidRPr="003873D2">
        <w:rPr>
          <w:b/>
          <w:szCs w:val="24"/>
        </w:rPr>
        <w:t>Accepted exclusions from contingencies</w:t>
      </w:r>
    </w:p>
    <w:p w:rsidR="006E5767" w:rsidRPr="006E5767" w:rsidRDefault="006E5767" w:rsidP="006E5767">
      <w:pPr>
        <w:numPr>
          <w:ilvl w:val="0"/>
          <w:numId w:val="7"/>
        </w:numPr>
        <w:tabs>
          <w:tab w:val="clear" w:pos="720"/>
          <w:tab w:val="num" w:pos="360"/>
        </w:tabs>
        <w:ind w:left="360"/>
        <w:rPr>
          <w:szCs w:val="24"/>
        </w:rPr>
      </w:pPr>
      <w:r w:rsidRPr="006957FB">
        <w:t>We accepted requests that met the criteria set out in the</w:t>
      </w:r>
      <w:r w:rsidRPr="006957FB">
        <w:t xml:space="preserve"> </w:t>
      </w:r>
      <w:r w:rsidRPr="002A4DB2">
        <w:t>Academies Funding Transfer</w:t>
      </w:r>
      <w:r w:rsidRPr="002A4DB2">
        <w:t xml:space="preserve"> </w:t>
      </w:r>
      <w:r w:rsidR="003873D2" w:rsidRPr="002A4DB2">
        <w:t>con</w:t>
      </w:r>
      <w:r w:rsidR="003873D2">
        <w:t xml:space="preserve">sultation. </w:t>
      </w:r>
      <w:r>
        <w:t>We said then that contingencies under the following categories would be excluded</w:t>
      </w:r>
      <w:r w:rsidRPr="006957FB">
        <w:t xml:space="preserve">: </w:t>
      </w:r>
    </w:p>
    <w:p w:rsidR="006E5767" w:rsidRPr="006E5767" w:rsidRDefault="006E5767" w:rsidP="006E5767">
      <w:pPr>
        <w:rPr>
          <w:szCs w:val="24"/>
        </w:rPr>
      </w:pPr>
    </w:p>
    <w:p w:rsidR="003315EE" w:rsidRDefault="0038017F" w:rsidP="000D6A47">
      <w:pPr>
        <w:pStyle w:val="DeptBullets"/>
        <w:numPr>
          <w:ilvl w:val="0"/>
          <w:numId w:val="0"/>
        </w:numPr>
        <w:spacing w:after="0"/>
        <w:ind w:left="720"/>
        <w:rPr>
          <w:b/>
        </w:rPr>
      </w:pPr>
      <w:r>
        <w:rPr>
          <w:b/>
        </w:rPr>
        <w:lastRenderedPageBreak/>
        <w:t>1</w:t>
      </w:r>
      <w:r w:rsidR="003315EE">
        <w:rPr>
          <w:b/>
        </w:rPr>
        <w:t xml:space="preserve">. </w:t>
      </w:r>
      <w:r w:rsidR="003315EE" w:rsidRPr="003315EE">
        <w:rPr>
          <w:b/>
        </w:rPr>
        <w:t>P</w:t>
      </w:r>
      <w:r w:rsidR="006E5767" w:rsidRPr="003315EE">
        <w:rPr>
          <w:b/>
        </w:rPr>
        <w:t>upils with high needs</w:t>
      </w:r>
      <w:r w:rsidR="006E5767" w:rsidRPr="003315EE">
        <w:rPr>
          <w:b/>
        </w:rPr>
        <w:t>, including SEN</w:t>
      </w:r>
    </w:p>
    <w:p w:rsidR="003315EE" w:rsidRDefault="003315EE" w:rsidP="000D6A47">
      <w:pPr>
        <w:pStyle w:val="DeptBullets"/>
        <w:numPr>
          <w:ilvl w:val="0"/>
          <w:numId w:val="0"/>
        </w:numPr>
        <w:spacing w:after="0"/>
        <w:ind w:left="720"/>
      </w:pPr>
      <w:r>
        <w:t xml:space="preserve">We have accepted applications for exclusions that relate to the costs of provision for pupils with high and additional needs including SEN and alternative provision. Provision for pupils with high needs is outside the scope of LACSEG and Academies will receive funding for high needs pupils under separate arrangements. </w:t>
      </w:r>
    </w:p>
    <w:p w:rsidR="003315EE" w:rsidRDefault="003315EE" w:rsidP="003315EE">
      <w:pPr>
        <w:pStyle w:val="DeptBullets"/>
        <w:numPr>
          <w:ilvl w:val="0"/>
          <w:numId w:val="0"/>
        </w:numPr>
        <w:spacing w:after="0"/>
        <w:ind w:left="360"/>
      </w:pPr>
    </w:p>
    <w:p w:rsidR="003315EE" w:rsidRDefault="0038017F" w:rsidP="000D6A47">
      <w:pPr>
        <w:pStyle w:val="DeptBullets"/>
        <w:numPr>
          <w:ilvl w:val="0"/>
          <w:numId w:val="0"/>
        </w:numPr>
        <w:spacing w:after="0"/>
        <w:ind w:firstLine="720"/>
        <w:rPr>
          <w:b/>
        </w:rPr>
      </w:pPr>
      <w:r>
        <w:rPr>
          <w:b/>
        </w:rPr>
        <w:t>2</w:t>
      </w:r>
      <w:r w:rsidR="003315EE" w:rsidRPr="003315EE">
        <w:rPr>
          <w:b/>
        </w:rPr>
        <w:t>. Equal pay</w:t>
      </w:r>
    </w:p>
    <w:p w:rsidR="006E5767" w:rsidRDefault="003315EE" w:rsidP="000D6A47">
      <w:pPr>
        <w:pStyle w:val="DeptBullets"/>
        <w:numPr>
          <w:ilvl w:val="0"/>
          <w:numId w:val="0"/>
        </w:numPr>
        <w:spacing w:after="0"/>
        <w:ind w:left="720"/>
        <w:rPr>
          <w:b/>
        </w:rPr>
      </w:pPr>
      <w:r w:rsidRPr="00583167">
        <w:t>Local authorities are responsible for resolving historic</w:t>
      </w:r>
      <w:r>
        <w:t xml:space="preserve"> back pay, most of which will have been</w:t>
      </w:r>
      <w:r w:rsidRPr="00583167">
        <w:t xml:space="preserve"> incur</w:t>
      </w:r>
      <w:r>
        <w:t xml:space="preserve">red while the academy was </w:t>
      </w:r>
      <w:r w:rsidRPr="00583167">
        <w:t>a</w:t>
      </w:r>
      <w:r>
        <w:t xml:space="preserve"> local authority</w:t>
      </w:r>
      <w:r w:rsidRPr="00583167">
        <w:t xml:space="preserve"> </w:t>
      </w:r>
      <w:r w:rsidRPr="009A7AFE">
        <w:t xml:space="preserve">maintained school. </w:t>
      </w:r>
      <w:r w:rsidR="009A7AFE" w:rsidRPr="009A7AFE">
        <w:t>We expect authorities to fund Academies for these liabilities on the same basis as maintained schools.</w:t>
      </w:r>
    </w:p>
    <w:p w:rsidR="003315EE" w:rsidRPr="003315EE" w:rsidRDefault="003315EE" w:rsidP="003315EE">
      <w:pPr>
        <w:pStyle w:val="DeptBullets"/>
        <w:numPr>
          <w:ilvl w:val="0"/>
          <w:numId w:val="0"/>
        </w:numPr>
        <w:spacing w:after="0"/>
        <w:ind w:left="360"/>
        <w:rPr>
          <w:b/>
        </w:rPr>
      </w:pPr>
    </w:p>
    <w:p w:rsidR="003315EE" w:rsidRDefault="0038017F" w:rsidP="000D6A47">
      <w:pPr>
        <w:pStyle w:val="DeptBullets"/>
        <w:numPr>
          <w:ilvl w:val="0"/>
          <w:numId w:val="0"/>
        </w:numPr>
        <w:spacing w:after="0"/>
        <w:ind w:left="720"/>
        <w:rPr>
          <w:b/>
        </w:rPr>
      </w:pPr>
      <w:r>
        <w:rPr>
          <w:b/>
        </w:rPr>
        <w:t>3</w:t>
      </w:r>
      <w:r w:rsidR="003315EE" w:rsidRPr="003315EE">
        <w:rPr>
          <w:b/>
        </w:rPr>
        <w:t>. R</w:t>
      </w:r>
      <w:r w:rsidR="006E5767" w:rsidRPr="003315EE">
        <w:rPr>
          <w:b/>
        </w:rPr>
        <w:t>ates and rates revaluatio</w:t>
      </w:r>
      <w:r w:rsidR="003315EE" w:rsidRPr="003315EE">
        <w:rPr>
          <w:b/>
        </w:rPr>
        <w:t>n</w:t>
      </w:r>
    </w:p>
    <w:p w:rsidR="003315EE" w:rsidRDefault="003315EE" w:rsidP="000D6A47">
      <w:pPr>
        <w:pStyle w:val="DeptBullets"/>
        <w:numPr>
          <w:ilvl w:val="0"/>
          <w:numId w:val="0"/>
        </w:numPr>
        <w:spacing w:after="0"/>
        <w:ind w:left="720"/>
      </w:pPr>
      <w:r>
        <w:t>Rates are already included in academy funding allocations on the basis of actual costs.</w:t>
      </w:r>
    </w:p>
    <w:p w:rsidR="003315EE" w:rsidRDefault="003315EE" w:rsidP="003315EE">
      <w:pPr>
        <w:pStyle w:val="DeptBullets"/>
        <w:numPr>
          <w:ilvl w:val="0"/>
          <w:numId w:val="0"/>
        </w:numPr>
        <w:spacing w:after="0"/>
        <w:ind w:left="360"/>
      </w:pPr>
    </w:p>
    <w:p w:rsidR="003315EE" w:rsidRDefault="0038017F" w:rsidP="000D6A47">
      <w:pPr>
        <w:pStyle w:val="DeptBullets"/>
        <w:numPr>
          <w:ilvl w:val="0"/>
          <w:numId w:val="0"/>
        </w:numPr>
        <w:spacing w:after="0"/>
        <w:ind w:firstLine="720"/>
        <w:rPr>
          <w:b/>
        </w:rPr>
      </w:pPr>
      <w:r>
        <w:rPr>
          <w:b/>
        </w:rPr>
        <w:t>4</w:t>
      </w:r>
      <w:r w:rsidR="003315EE" w:rsidRPr="003315EE">
        <w:rPr>
          <w:b/>
        </w:rPr>
        <w:t>. S</w:t>
      </w:r>
      <w:r w:rsidR="003315EE" w:rsidRPr="003315EE">
        <w:rPr>
          <w:b/>
        </w:rPr>
        <w:t>chools in financial difficulties</w:t>
      </w:r>
    </w:p>
    <w:p w:rsidR="006E5767" w:rsidRDefault="003315EE" w:rsidP="000D6A47">
      <w:pPr>
        <w:pStyle w:val="DeptBullets"/>
        <w:numPr>
          <w:ilvl w:val="0"/>
          <w:numId w:val="0"/>
        </w:numPr>
        <w:spacing w:after="0"/>
        <w:ind w:left="720"/>
        <w:rPr>
          <w:b/>
        </w:rPr>
      </w:pPr>
      <w:r>
        <w:t>Where funding is earmarked for specific schools, this is outside the scope of LACSEG. This category also includes provision for the deficits of closing schools.</w:t>
      </w:r>
    </w:p>
    <w:p w:rsidR="003315EE" w:rsidRPr="003315EE" w:rsidRDefault="003315EE" w:rsidP="003315EE">
      <w:pPr>
        <w:pStyle w:val="DeptBullets"/>
        <w:numPr>
          <w:ilvl w:val="0"/>
          <w:numId w:val="0"/>
        </w:numPr>
        <w:spacing w:after="0"/>
        <w:ind w:left="360"/>
        <w:rPr>
          <w:b/>
        </w:rPr>
      </w:pPr>
    </w:p>
    <w:p w:rsidR="006E5767" w:rsidRDefault="0038017F" w:rsidP="000D6A47">
      <w:pPr>
        <w:pStyle w:val="DeptBullets"/>
        <w:numPr>
          <w:ilvl w:val="0"/>
          <w:numId w:val="0"/>
        </w:numPr>
        <w:spacing w:after="0"/>
        <w:ind w:left="720"/>
        <w:rPr>
          <w:b/>
        </w:rPr>
      </w:pPr>
      <w:r>
        <w:rPr>
          <w:b/>
        </w:rPr>
        <w:t>5</w:t>
      </w:r>
      <w:r w:rsidR="003315EE" w:rsidRPr="003315EE">
        <w:rPr>
          <w:b/>
        </w:rPr>
        <w:t>. P</w:t>
      </w:r>
      <w:r w:rsidR="006E5767" w:rsidRPr="003315EE">
        <w:rPr>
          <w:b/>
        </w:rPr>
        <w:t>rovision for LACSEG recoupment</w:t>
      </w:r>
    </w:p>
    <w:p w:rsidR="003315EE" w:rsidRDefault="003315EE" w:rsidP="000D6A47">
      <w:pPr>
        <w:pStyle w:val="DeptBullets"/>
        <w:numPr>
          <w:ilvl w:val="0"/>
          <w:numId w:val="0"/>
        </w:numPr>
        <w:spacing w:after="0"/>
        <w:ind w:left="720"/>
      </w:pPr>
      <w:r>
        <w:t xml:space="preserve">Provision for LACSEG recoupment should not be included in the LACSEG paid to academies because this would result in double funding for the academy. </w:t>
      </w:r>
    </w:p>
    <w:p w:rsidR="0038017F" w:rsidRDefault="0038017F" w:rsidP="0038017F">
      <w:pPr>
        <w:pStyle w:val="DeptBullets"/>
        <w:numPr>
          <w:ilvl w:val="0"/>
          <w:numId w:val="0"/>
        </w:numPr>
        <w:spacing w:after="0"/>
        <w:ind w:left="720" w:hanging="360"/>
      </w:pPr>
    </w:p>
    <w:p w:rsidR="003315EE" w:rsidRPr="003315EE" w:rsidRDefault="0038017F" w:rsidP="000D6A47">
      <w:pPr>
        <w:pStyle w:val="DeptBullets"/>
        <w:numPr>
          <w:ilvl w:val="0"/>
          <w:numId w:val="0"/>
        </w:numPr>
        <w:spacing w:after="0"/>
        <w:ind w:left="360" w:firstLine="360"/>
        <w:rPr>
          <w:b/>
        </w:rPr>
      </w:pPr>
      <w:r>
        <w:rPr>
          <w:b/>
        </w:rPr>
        <w:t>6</w:t>
      </w:r>
      <w:r w:rsidR="003315EE" w:rsidRPr="003315EE">
        <w:rPr>
          <w:b/>
        </w:rPr>
        <w:t>. C</w:t>
      </w:r>
      <w:r w:rsidR="006E5767" w:rsidRPr="003315EE">
        <w:rPr>
          <w:b/>
        </w:rPr>
        <w:t xml:space="preserve">osts of infrastructure for </w:t>
      </w:r>
      <w:r w:rsidR="00C50F72">
        <w:rPr>
          <w:b/>
        </w:rPr>
        <w:t>individual</w:t>
      </w:r>
      <w:r w:rsidR="006E5767" w:rsidRPr="003315EE">
        <w:rPr>
          <w:b/>
        </w:rPr>
        <w:t xml:space="preserve"> schools</w:t>
      </w:r>
    </w:p>
    <w:p w:rsidR="003315EE" w:rsidRDefault="003315EE" w:rsidP="000D6A47">
      <w:pPr>
        <w:pStyle w:val="DeptBullets"/>
        <w:numPr>
          <w:ilvl w:val="0"/>
          <w:numId w:val="0"/>
        </w:numPr>
        <w:ind w:left="720"/>
      </w:pPr>
      <w:r>
        <w:t xml:space="preserve">We have accepted applications for exclusions that relate to the costs associated with school reorganisations, specific school or central services site costs and PFI contracts. </w:t>
      </w:r>
    </w:p>
    <w:p w:rsidR="006E5767" w:rsidRDefault="003315EE" w:rsidP="0038017F">
      <w:pPr>
        <w:pStyle w:val="DeptBullets"/>
        <w:numPr>
          <w:ilvl w:val="0"/>
          <w:numId w:val="17"/>
        </w:numPr>
        <w:spacing w:after="0"/>
        <w:rPr>
          <w:b/>
        </w:rPr>
      </w:pPr>
      <w:r w:rsidRPr="003315EE">
        <w:rPr>
          <w:b/>
        </w:rPr>
        <w:t>D</w:t>
      </w:r>
      <w:r w:rsidR="006E5767" w:rsidRPr="003315EE">
        <w:rPr>
          <w:b/>
        </w:rPr>
        <w:t>iploma funding</w:t>
      </w:r>
    </w:p>
    <w:p w:rsidR="003315EE" w:rsidRPr="000D6A47" w:rsidRDefault="000D6A47" w:rsidP="000D6A47">
      <w:pPr>
        <w:pStyle w:val="DeptBullets"/>
        <w:numPr>
          <w:ilvl w:val="0"/>
          <w:numId w:val="0"/>
        </w:numPr>
        <w:ind w:left="720"/>
      </w:pPr>
      <w:r>
        <w:t xml:space="preserve">The diploma grant is ending in 2012-13 and so special arrangements have been put in place for academies with diploma provision to be funded through their local authorities. </w:t>
      </w:r>
    </w:p>
    <w:p w:rsidR="000D6A47" w:rsidRDefault="003315EE" w:rsidP="0038017F">
      <w:pPr>
        <w:numPr>
          <w:ilvl w:val="0"/>
          <w:numId w:val="7"/>
        </w:numPr>
        <w:tabs>
          <w:tab w:val="clear" w:pos="720"/>
          <w:tab w:val="num" w:pos="360"/>
        </w:tabs>
        <w:ind w:left="360"/>
      </w:pPr>
      <w:r>
        <w:t>We considered requests for exclusions</w:t>
      </w:r>
      <w:r w:rsidRPr="004A2FFD">
        <w:t xml:space="preserve"> on a case by case basis</w:t>
      </w:r>
      <w:r>
        <w:t xml:space="preserve">. </w:t>
      </w:r>
      <w:r w:rsidR="006E5767" w:rsidRPr="006E5767">
        <w:t xml:space="preserve">Following the responses that we received, we also accepted exclusions which </w:t>
      </w:r>
      <w:r w:rsidR="006E5767" w:rsidRPr="006E5767">
        <w:t>related</w:t>
      </w:r>
      <w:r w:rsidR="000D6A47">
        <w:t xml:space="preserve"> to the following:</w:t>
      </w:r>
    </w:p>
    <w:p w:rsidR="000D6A47" w:rsidRDefault="000D6A47" w:rsidP="000D6A47"/>
    <w:p w:rsidR="000D6A47" w:rsidRDefault="000D6A47" w:rsidP="0038017F">
      <w:pPr>
        <w:numPr>
          <w:ilvl w:val="0"/>
          <w:numId w:val="17"/>
        </w:numPr>
        <w:rPr>
          <w:b/>
        </w:rPr>
      </w:pPr>
      <w:r w:rsidRPr="000D6A47">
        <w:rPr>
          <w:b/>
        </w:rPr>
        <w:t>E</w:t>
      </w:r>
      <w:r w:rsidR="006E5767" w:rsidRPr="000D6A47">
        <w:rPr>
          <w:b/>
        </w:rPr>
        <w:t xml:space="preserve">arly years funding </w:t>
      </w:r>
    </w:p>
    <w:p w:rsidR="000D6A47" w:rsidRPr="000D6A47" w:rsidRDefault="000D6A47" w:rsidP="000D6A47">
      <w:pPr>
        <w:pStyle w:val="DeptBullets"/>
        <w:numPr>
          <w:ilvl w:val="0"/>
          <w:numId w:val="0"/>
        </w:numPr>
        <w:ind w:firstLine="720"/>
      </w:pPr>
      <w:r>
        <w:t xml:space="preserve">Funding for early years is outside of the scope of LACSEG. </w:t>
      </w:r>
    </w:p>
    <w:p w:rsidR="000D6A47" w:rsidRDefault="000D6A47" w:rsidP="000D6A47">
      <w:pPr>
        <w:numPr>
          <w:ilvl w:val="0"/>
          <w:numId w:val="17"/>
        </w:numPr>
        <w:rPr>
          <w:b/>
        </w:rPr>
      </w:pPr>
      <w:r w:rsidRPr="000D6A47">
        <w:rPr>
          <w:b/>
        </w:rPr>
        <w:t>Insurance costs</w:t>
      </w:r>
    </w:p>
    <w:p w:rsidR="006E5767" w:rsidRPr="000D6A47" w:rsidRDefault="000D6A47" w:rsidP="000D6A47">
      <w:pPr>
        <w:pStyle w:val="DeptBullets"/>
        <w:numPr>
          <w:ilvl w:val="0"/>
          <w:numId w:val="0"/>
        </w:numPr>
        <w:ind w:left="720"/>
        <w:rPr>
          <w:rFonts w:cs="Arial"/>
        </w:rPr>
      </w:pPr>
      <w:r w:rsidRPr="000D6A47">
        <w:t>Insurance costs are excluded from LACSEG because Academies receive a separate payment for insurance</w:t>
      </w:r>
    </w:p>
    <w:p w:rsidR="000D6A47" w:rsidRDefault="0038017F" w:rsidP="0038017F">
      <w:pPr>
        <w:numPr>
          <w:ilvl w:val="0"/>
          <w:numId w:val="7"/>
        </w:numPr>
        <w:tabs>
          <w:tab w:val="clear" w:pos="720"/>
          <w:tab w:val="num" w:pos="360"/>
        </w:tabs>
        <w:ind w:left="360"/>
      </w:pPr>
      <w:r>
        <w:t>A number of</w:t>
      </w:r>
      <w:r w:rsidR="000D6A47">
        <w:t xml:space="preserve"> other contingencies were</w:t>
      </w:r>
      <w:r w:rsidR="00C50F72">
        <w:t xml:space="preserve"> also</w:t>
      </w:r>
      <w:r w:rsidR="000D6A47">
        <w:t xml:space="preserve"> accepted. These were:</w:t>
      </w:r>
    </w:p>
    <w:p w:rsidR="000D6A47" w:rsidRDefault="000D6A47" w:rsidP="000D6A47"/>
    <w:p w:rsidR="000D6A47" w:rsidRDefault="000D6A47" w:rsidP="000D6A47">
      <w:pPr>
        <w:pStyle w:val="DeptBullets"/>
        <w:numPr>
          <w:ilvl w:val="0"/>
          <w:numId w:val="15"/>
        </w:numPr>
      </w:pPr>
      <w:r>
        <w:t xml:space="preserve">Selective schools admissions costs </w:t>
      </w:r>
    </w:p>
    <w:p w:rsidR="000D6A47" w:rsidRDefault="000D6A47" w:rsidP="000D6A47">
      <w:pPr>
        <w:pStyle w:val="DeptBullets"/>
        <w:numPr>
          <w:ilvl w:val="0"/>
          <w:numId w:val="15"/>
        </w:numPr>
      </w:pPr>
      <w:r>
        <w:lastRenderedPageBreak/>
        <w:t>DSG overspend</w:t>
      </w:r>
    </w:p>
    <w:p w:rsidR="000D6A47" w:rsidRDefault="000D6A47" w:rsidP="000D6A47">
      <w:pPr>
        <w:pStyle w:val="DeptBullets"/>
        <w:numPr>
          <w:ilvl w:val="0"/>
          <w:numId w:val="15"/>
        </w:numPr>
      </w:pPr>
      <w:r>
        <w:t>Non-maintained special school costs</w:t>
      </w:r>
    </w:p>
    <w:p w:rsidR="000D6A47" w:rsidRDefault="000D6A47" w:rsidP="000D6A47">
      <w:pPr>
        <w:pStyle w:val="DeptBullets"/>
        <w:numPr>
          <w:ilvl w:val="0"/>
          <w:numId w:val="15"/>
        </w:numPr>
      </w:pPr>
      <w:r>
        <w:t>Carbon reduction commitment – LAs have to pay this on behalf of Academies</w:t>
      </w:r>
    </w:p>
    <w:p w:rsidR="000D6A47" w:rsidRDefault="000D6A47" w:rsidP="000D6A47">
      <w:pPr>
        <w:pStyle w:val="DeptBullets"/>
        <w:numPr>
          <w:ilvl w:val="0"/>
          <w:numId w:val="16"/>
        </w:numPr>
        <w:tabs>
          <w:tab w:val="clear" w:pos="1080"/>
          <w:tab w:val="num" w:pos="360"/>
        </w:tabs>
        <w:ind w:hanging="720"/>
      </w:pPr>
      <w:r>
        <w:t>Funding for City Learning Centres</w:t>
      </w:r>
    </w:p>
    <w:p w:rsidR="000D6A47" w:rsidRDefault="000D6A47" w:rsidP="000D6A47">
      <w:pPr>
        <w:pStyle w:val="DeptBullets"/>
        <w:numPr>
          <w:ilvl w:val="0"/>
          <w:numId w:val="15"/>
        </w:numPr>
      </w:pPr>
      <w:r>
        <w:t>FSM transport – rural schools without provision for hot meals</w:t>
      </w:r>
    </w:p>
    <w:p w:rsidR="000D6A47" w:rsidRDefault="000D6A47" w:rsidP="000D6A47">
      <w:pPr>
        <w:pStyle w:val="DeptBullets"/>
        <w:numPr>
          <w:ilvl w:val="0"/>
          <w:numId w:val="15"/>
        </w:numPr>
      </w:pPr>
      <w:r>
        <w:t>Hospital schools</w:t>
      </w:r>
    </w:p>
    <w:p w:rsidR="000D6A47" w:rsidRDefault="000D6A47" w:rsidP="000D6A47">
      <w:pPr>
        <w:pStyle w:val="DeptBullets"/>
        <w:numPr>
          <w:ilvl w:val="0"/>
          <w:numId w:val="15"/>
        </w:numPr>
      </w:pPr>
      <w:r>
        <w:t>Elective home education</w:t>
      </w:r>
    </w:p>
    <w:p w:rsidR="000D6A47" w:rsidRDefault="000D6A47" w:rsidP="000D6A47">
      <w:pPr>
        <w:pStyle w:val="DeptBullets"/>
        <w:numPr>
          <w:ilvl w:val="0"/>
          <w:numId w:val="15"/>
        </w:numPr>
      </w:pPr>
      <w:r>
        <w:t>Exit costs following the restructure of central services</w:t>
      </w:r>
    </w:p>
    <w:p w:rsidR="000D6A47" w:rsidRDefault="000D6A47" w:rsidP="000D6A47">
      <w:pPr>
        <w:pStyle w:val="DeptBullets"/>
        <w:numPr>
          <w:ilvl w:val="0"/>
          <w:numId w:val="15"/>
        </w:numPr>
      </w:pPr>
      <w:r>
        <w:t>Inflation to central services</w:t>
      </w:r>
    </w:p>
    <w:p w:rsidR="000D6A47" w:rsidRDefault="000D6A47" w:rsidP="000D6A47">
      <w:pPr>
        <w:pStyle w:val="DeptBullets"/>
        <w:numPr>
          <w:ilvl w:val="0"/>
          <w:numId w:val="15"/>
        </w:numPr>
      </w:pPr>
      <w:r>
        <w:t>Central services to additional pupils</w:t>
      </w:r>
    </w:p>
    <w:p w:rsidR="000D6A47" w:rsidRDefault="000D6A47" w:rsidP="000D6A47">
      <w:pPr>
        <w:pStyle w:val="DeptBullets"/>
        <w:numPr>
          <w:ilvl w:val="0"/>
          <w:numId w:val="15"/>
        </w:numPr>
      </w:pPr>
      <w:r>
        <w:t>Income target for buyback from academies</w:t>
      </w:r>
    </w:p>
    <w:p w:rsidR="000D6A47" w:rsidRDefault="000D6A47" w:rsidP="000D6A47">
      <w:pPr>
        <w:pStyle w:val="DeptBullets"/>
        <w:numPr>
          <w:ilvl w:val="0"/>
          <w:numId w:val="15"/>
        </w:numPr>
      </w:pPr>
      <w:r>
        <w:t>Grants to voluntary organisations</w:t>
      </w:r>
    </w:p>
    <w:p w:rsidR="000D6A47" w:rsidRDefault="000D6A47" w:rsidP="000D6A47">
      <w:pPr>
        <w:pStyle w:val="DeptBullets"/>
        <w:numPr>
          <w:ilvl w:val="0"/>
          <w:numId w:val="15"/>
        </w:numPr>
      </w:pPr>
      <w:r>
        <w:t>Social care costs</w:t>
      </w:r>
    </w:p>
    <w:p w:rsidR="006E5767" w:rsidRDefault="000D6A47" w:rsidP="0038017F">
      <w:pPr>
        <w:pStyle w:val="DeptBullets"/>
        <w:numPr>
          <w:ilvl w:val="0"/>
          <w:numId w:val="15"/>
        </w:numPr>
      </w:pPr>
      <w:r>
        <w:t>Schools taking on additional year groups as part of planned expansion of school</w:t>
      </w:r>
    </w:p>
    <w:p w:rsidR="0038017F" w:rsidRDefault="0038017F" w:rsidP="0038017F">
      <w:pPr>
        <w:numPr>
          <w:ilvl w:val="0"/>
          <w:numId w:val="7"/>
        </w:numPr>
        <w:tabs>
          <w:tab w:val="clear" w:pos="720"/>
          <w:tab w:val="num" w:pos="360"/>
        </w:tabs>
        <w:ind w:left="360"/>
      </w:pPr>
      <w:r>
        <w:t xml:space="preserve">If </w:t>
      </w:r>
      <w:r w:rsidRPr="006E5767">
        <w:t>you made a request for some elements of your contingencies spend to be excluded from the calculation, you will be able to see which exclusions were accepted</w:t>
      </w:r>
      <w:r>
        <w:t xml:space="preserve"> </w:t>
      </w:r>
      <w:r w:rsidR="00182C7D">
        <w:t xml:space="preserve">in the 2012/13 LACSEG underlying data on </w:t>
      </w:r>
      <w:r>
        <w:t>the Department for Education’s website</w:t>
      </w:r>
      <w:r w:rsidRPr="006E5767">
        <w:t>.</w:t>
      </w:r>
      <w:r w:rsidR="009A0280">
        <w:t xml:space="preserve"> </w:t>
      </w:r>
      <w:r w:rsidRPr="006E5767">
        <w:t>If you have any queries about this, please contact</w:t>
      </w:r>
      <w:r w:rsidRPr="006E5767">
        <w:t xml:space="preserve">: </w:t>
      </w:r>
      <w:hyperlink r:id="rId7" w:history="1">
        <w:r w:rsidRPr="006E5767">
          <w:t>lacsegteam.academies@education.gsi.gov.uk</w:t>
        </w:r>
      </w:hyperlink>
      <w:r w:rsidR="00590E2E">
        <w:t xml:space="preserve">. </w:t>
      </w:r>
    </w:p>
    <w:p w:rsidR="00DA6E72" w:rsidRPr="003873D2" w:rsidRDefault="00DA6E72" w:rsidP="003873D2">
      <w:pPr>
        <w:adjustRightInd/>
        <w:textAlignment w:val="auto"/>
        <w:rPr>
          <w:rFonts w:cs="Arial"/>
          <w:szCs w:val="24"/>
          <w:lang w:eastAsia="en-GB"/>
        </w:rPr>
      </w:pPr>
    </w:p>
    <w:p w:rsidR="0038017F" w:rsidRDefault="00F52AE7" w:rsidP="003873D2">
      <w:pPr>
        <w:widowControl/>
        <w:overflowPunct/>
        <w:autoSpaceDE/>
        <w:autoSpaceDN/>
        <w:adjustRightInd/>
        <w:textAlignment w:val="auto"/>
        <w:rPr>
          <w:rFonts w:cs="Arial"/>
          <w:color w:val="000000"/>
          <w:szCs w:val="24"/>
          <w:lang w:eastAsia="en-GB"/>
        </w:rPr>
      </w:pPr>
      <w:r w:rsidRPr="00F52AE7">
        <w:rPr>
          <w:rFonts w:cs="Arial"/>
          <w:b/>
          <w:color w:val="000000"/>
          <w:szCs w:val="24"/>
          <w:lang w:eastAsia="en-GB"/>
        </w:rPr>
        <w:t>Types of exclusion that have not been a</w:t>
      </w:r>
      <w:r w:rsidR="003873D2">
        <w:rPr>
          <w:rFonts w:cs="Arial"/>
          <w:b/>
          <w:color w:val="000000"/>
          <w:szCs w:val="24"/>
          <w:lang w:eastAsia="en-GB"/>
        </w:rPr>
        <w:t>ccepted</w:t>
      </w:r>
      <w:r>
        <w:rPr>
          <w:rFonts w:cs="Arial"/>
          <w:color w:val="000000"/>
          <w:szCs w:val="24"/>
          <w:lang w:eastAsia="en-GB"/>
        </w:rPr>
        <w:t xml:space="preserve"> </w:t>
      </w:r>
    </w:p>
    <w:p w:rsidR="00DA6E72" w:rsidRPr="002A4DB2" w:rsidRDefault="003873D2" w:rsidP="002A4DB2">
      <w:pPr>
        <w:numPr>
          <w:ilvl w:val="0"/>
          <w:numId w:val="7"/>
        </w:numPr>
        <w:tabs>
          <w:tab w:val="clear" w:pos="720"/>
          <w:tab w:val="num" w:pos="360"/>
        </w:tabs>
        <w:ind w:left="360"/>
        <w:rPr>
          <w:rFonts w:cs="Arial"/>
          <w:szCs w:val="24"/>
          <w:lang w:eastAsia="en-GB"/>
        </w:rPr>
      </w:pPr>
      <w:r>
        <w:t xml:space="preserve">We have generally not accepted requests for exclusions that fall into the categories below. The </w:t>
      </w:r>
      <w:r w:rsidR="00F52AE7" w:rsidRPr="0038017F">
        <w:t xml:space="preserve">funding for these will therefore </w:t>
      </w:r>
      <w:r w:rsidR="00DA6E72" w:rsidRPr="0038017F">
        <w:t>remain in LACSEG and Academies will receive a proportionate share. These items are all ones that could be delegated to individual schools and thus Academies should receive a share up-front, reflecting their independent status</w:t>
      </w:r>
      <w:r w:rsidR="00F52AE7" w:rsidRPr="0038017F">
        <w:t>.</w:t>
      </w:r>
      <w:r w:rsidR="0038017F" w:rsidRPr="0038017F">
        <w:t xml:space="preserve"> </w:t>
      </w:r>
    </w:p>
    <w:p w:rsidR="002A4DB2" w:rsidRPr="00F52AE7" w:rsidRDefault="002A4DB2" w:rsidP="002A4DB2">
      <w:pPr>
        <w:rPr>
          <w:rFonts w:cs="Arial"/>
          <w:szCs w:val="24"/>
          <w:lang w:eastAsia="en-GB"/>
        </w:rPr>
      </w:pPr>
    </w:p>
    <w:p w:rsidR="00DA6E72" w:rsidRPr="00F52AE7" w:rsidRDefault="00DA6E72" w:rsidP="0038017F">
      <w:pPr>
        <w:pStyle w:val="DeptBullets"/>
        <w:rPr>
          <w:lang w:eastAsia="en-GB"/>
        </w:rPr>
      </w:pPr>
      <w:r w:rsidRPr="0038017F">
        <w:rPr>
          <w:b/>
          <w:lang w:eastAsia="en-GB"/>
        </w:rPr>
        <w:t>Funding for additional pupil number growth</w:t>
      </w:r>
      <w:r w:rsidR="0038017F">
        <w:rPr>
          <w:lang w:eastAsia="en-GB"/>
        </w:rPr>
        <w:t xml:space="preserve"> - </w:t>
      </w:r>
      <w:r w:rsidRPr="00F52AE7">
        <w:rPr>
          <w:lang w:eastAsia="en-GB"/>
        </w:rPr>
        <w:t xml:space="preserve">particularly in primary schools where this may have a knock-on impact on class size or configuration through extra reception classes or infant class size adjustments. We will ensure this is consistent with how YPLA fund Academies and that they do not also fund Academies for such in-year adjustments. </w:t>
      </w:r>
    </w:p>
    <w:p w:rsidR="00DA6E72" w:rsidRPr="00F52AE7" w:rsidRDefault="00DA6E72" w:rsidP="0038017F">
      <w:pPr>
        <w:pStyle w:val="DeptBullets"/>
        <w:rPr>
          <w:lang w:eastAsia="en-GB"/>
        </w:rPr>
      </w:pPr>
      <w:r w:rsidRPr="0038017F">
        <w:rPr>
          <w:b/>
          <w:lang w:eastAsia="en-GB"/>
        </w:rPr>
        <w:t>Behaviour / hard to place pupils</w:t>
      </w:r>
      <w:r w:rsidR="0038017F">
        <w:rPr>
          <w:b/>
          <w:lang w:eastAsia="en-GB"/>
        </w:rPr>
        <w:t xml:space="preserve"> </w:t>
      </w:r>
      <w:r w:rsidR="0038017F">
        <w:rPr>
          <w:lang w:eastAsia="en-GB"/>
        </w:rPr>
        <w:t xml:space="preserve"> - t</w:t>
      </w:r>
      <w:r w:rsidRPr="00F52AE7">
        <w:rPr>
          <w:lang w:eastAsia="en-GB"/>
        </w:rPr>
        <w:t xml:space="preserve">he line on section 251 for </w:t>
      </w:r>
      <w:r w:rsidRPr="00F52AE7">
        <w:rPr>
          <w:lang w:eastAsia="en-GB"/>
        </w:rPr>
        <w:lastRenderedPageBreak/>
        <w:t xml:space="preserve">behaviour support services is already part of LACSEG, so any element of this funding that has been placed in contingencies instead should also be in LACSEG. </w:t>
      </w:r>
    </w:p>
    <w:p w:rsidR="00DA6E72" w:rsidRPr="00F52AE7" w:rsidRDefault="00DA6E72" w:rsidP="0038017F">
      <w:pPr>
        <w:pStyle w:val="DeptBullets"/>
        <w:rPr>
          <w:lang w:eastAsia="en-GB"/>
        </w:rPr>
      </w:pPr>
      <w:r w:rsidRPr="0038017F">
        <w:rPr>
          <w:b/>
          <w:lang w:eastAsia="en-GB"/>
        </w:rPr>
        <w:t>Funding for extended services</w:t>
      </w:r>
    </w:p>
    <w:p w:rsidR="00DA6E72" w:rsidRPr="00F52AE7" w:rsidRDefault="00DA6E72" w:rsidP="0038017F">
      <w:pPr>
        <w:pStyle w:val="DeptBullets"/>
        <w:rPr>
          <w:lang w:eastAsia="en-GB"/>
        </w:rPr>
      </w:pPr>
      <w:r w:rsidRPr="0038017F">
        <w:rPr>
          <w:b/>
          <w:lang w:eastAsia="en-GB"/>
        </w:rPr>
        <w:t>Funding for school support/intervention/schools causing concern</w:t>
      </w:r>
      <w:r w:rsidRPr="00F52AE7">
        <w:rPr>
          <w:lang w:eastAsia="en-GB"/>
        </w:rPr>
        <w:t xml:space="preserve"> – this is included because it is similar to school improvement which is in LACSEG and which should be devolved to Academies. </w:t>
      </w:r>
    </w:p>
    <w:p w:rsidR="00DA6E72" w:rsidRPr="00F52AE7" w:rsidRDefault="00DA6E72" w:rsidP="0038017F">
      <w:pPr>
        <w:pStyle w:val="DeptBullets"/>
        <w:rPr>
          <w:lang w:eastAsia="en-GB"/>
        </w:rPr>
      </w:pPr>
      <w:r w:rsidRPr="0038017F">
        <w:rPr>
          <w:b/>
          <w:lang w:eastAsia="en-GB"/>
        </w:rPr>
        <w:t>Funding for mainstreamed grants which has not been delegated to schools</w:t>
      </w:r>
      <w:r w:rsidRPr="00F52AE7">
        <w:rPr>
          <w:lang w:eastAsia="en-GB"/>
        </w:rPr>
        <w:t>: Academies should get a share of this</w:t>
      </w:r>
      <w:r w:rsidR="00883989">
        <w:rPr>
          <w:lang w:eastAsia="en-GB"/>
        </w:rPr>
        <w:t xml:space="preserve">. We will ensure that the YPLA do not also fund academies for this. </w:t>
      </w:r>
    </w:p>
    <w:p w:rsidR="00DA6E72" w:rsidRPr="00F52AE7" w:rsidRDefault="00DA6E72" w:rsidP="0038017F">
      <w:pPr>
        <w:pStyle w:val="DeptBullets"/>
        <w:rPr>
          <w:lang w:eastAsia="en-GB"/>
        </w:rPr>
      </w:pPr>
      <w:r w:rsidRPr="00F52AE7">
        <w:rPr>
          <w:lang w:eastAsia="en-GB"/>
        </w:rPr>
        <w:t>General in-year allocations relating to formul</w:t>
      </w:r>
      <w:r w:rsidR="00F52AE7">
        <w:rPr>
          <w:lang w:eastAsia="en-GB"/>
        </w:rPr>
        <w:t>a factors such as NQTs or ASTs.</w:t>
      </w:r>
    </w:p>
    <w:p w:rsidR="00590E2E" w:rsidRPr="00590E2E" w:rsidRDefault="00590E2E" w:rsidP="00590E2E">
      <w:pPr>
        <w:rPr>
          <w:b/>
          <w:szCs w:val="24"/>
        </w:rPr>
      </w:pPr>
      <w:r w:rsidRPr="00590E2E">
        <w:rPr>
          <w:b/>
          <w:szCs w:val="24"/>
        </w:rPr>
        <w:t xml:space="preserve">Dedicated Schools </w:t>
      </w:r>
      <w:smartTag w:uri="urn:schemas:contacts" w:element="GivenName">
        <w:r w:rsidRPr="00590E2E">
          <w:rPr>
            <w:b/>
            <w:szCs w:val="24"/>
          </w:rPr>
          <w:t>Grant</w:t>
        </w:r>
      </w:smartTag>
      <w:r w:rsidRPr="00590E2E">
        <w:rPr>
          <w:b/>
          <w:szCs w:val="24"/>
        </w:rPr>
        <w:t xml:space="preserve"> recoupment</w:t>
      </w:r>
    </w:p>
    <w:p w:rsidR="00590E2E" w:rsidRPr="00590E2E" w:rsidRDefault="00590E2E" w:rsidP="00590E2E">
      <w:pPr>
        <w:numPr>
          <w:ilvl w:val="0"/>
          <w:numId w:val="7"/>
        </w:numPr>
        <w:tabs>
          <w:tab w:val="clear" w:pos="720"/>
          <w:tab w:val="num" w:pos="360"/>
        </w:tabs>
        <w:ind w:left="360"/>
      </w:pPr>
      <w:r w:rsidRPr="00FE1D94">
        <w:rPr>
          <w:rFonts w:cs="Arial"/>
          <w:szCs w:val="24"/>
          <w:lang w:eastAsia="en-GB"/>
        </w:rPr>
        <w:t xml:space="preserve">Recoupment </w:t>
      </w:r>
      <w:r>
        <w:rPr>
          <w:rFonts w:cs="Arial"/>
          <w:szCs w:val="24"/>
          <w:lang w:eastAsia="en-GB"/>
        </w:rPr>
        <w:t>of the</w:t>
      </w:r>
      <w:r w:rsidRPr="00FE1D94">
        <w:rPr>
          <w:rFonts w:cs="Arial"/>
          <w:szCs w:val="24"/>
          <w:lang w:eastAsia="en-GB"/>
        </w:rPr>
        <w:t xml:space="preserve"> Dedicated Schools Grant</w:t>
      </w:r>
      <w:r>
        <w:rPr>
          <w:rFonts w:cs="Arial"/>
          <w:szCs w:val="24"/>
          <w:lang w:eastAsia="en-GB"/>
        </w:rPr>
        <w:t xml:space="preserve"> element of LACSEG, including contingencies, w</w:t>
      </w:r>
      <w:r w:rsidRPr="00FE1D94">
        <w:rPr>
          <w:rFonts w:cs="Arial"/>
          <w:szCs w:val="24"/>
          <w:lang w:eastAsia="en-GB"/>
        </w:rPr>
        <w:t>ill be based on the local authorit</w:t>
      </w:r>
      <w:r>
        <w:rPr>
          <w:rFonts w:cs="Arial"/>
          <w:szCs w:val="24"/>
          <w:lang w:eastAsia="en-GB"/>
        </w:rPr>
        <w:t xml:space="preserve">y’s 2012-13 section 251 </w:t>
      </w:r>
      <w:proofErr w:type="gramStart"/>
      <w:r>
        <w:rPr>
          <w:rFonts w:cs="Arial"/>
          <w:szCs w:val="24"/>
          <w:lang w:eastAsia="en-GB"/>
        </w:rPr>
        <w:t>return</w:t>
      </w:r>
      <w:proofErr w:type="gramEnd"/>
      <w:r>
        <w:rPr>
          <w:rFonts w:cs="Arial"/>
          <w:szCs w:val="24"/>
          <w:lang w:eastAsia="en-GB"/>
        </w:rPr>
        <w:t>. F</w:t>
      </w:r>
      <w:r w:rsidRPr="00FE1D94">
        <w:rPr>
          <w:rFonts w:cs="Arial"/>
          <w:szCs w:val="24"/>
          <w:lang w:eastAsia="en-GB"/>
        </w:rPr>
        <w:t xml:space="preserve">urther guidance will be issued before the start of the financial year, including arrangements for requesting exclusions from contingencies and other lines. </w:t>
      </w:r>
    </w:p>
    <w:p w:rsidR="00590E2E" w:rsidRPr="00BE522C" w:rsidRDefault="00590E2E" w:rsidP="00590E2E"/>
    <w:p w:rsidR="00590E2E" w:rsidRPr="00BE522C" w:rsidRDefault="00590E2E" w:rsidP="00590E2E">
      <w:pPr>
        <w:numPr>
          <w:ilvl w:val="0"/>
          <w:numId w:val="7"/>
        </w:numPr>
        <w:tabs>
          <w:tab w:val="clear" w:pos="720"/>
          <w:tab w:val="num" w:pos="360"/>
        </w:tabs>
        <w:ind w:left="360"/>
      </w:pPr>
      <w:r w:rsidRPr="00BE522C">
        <w:rPr>
          <w:rFonts w:cs="Arial"/>
          <w:szCs w:val="24"/>
          <w:lang w:eastAsia="en-GB"/>
        </w:rPr>
        <w:t>As in previous years, we will not recoup funding for SEN support services in 2012-13</w:t>
      </w:r>
      <w:r w:rsidR="00BE522C" w:rsidRPr="00BE522C">
        <w:rPr>
          <w:rFonts w:cs="Arial"/>
          <w:szCs w:val="24"/>
          <w:lang w:eastAsia="en-GB"/>
        </w:rPr>
        <w:t>.</w:t>
      </w:r>
      <w:r w:rsidRPr="00BE522C">
        <w:rPr>
          <w:rFonts w:cs="Arial"/>
          <w:szCs w:val="24"/>
          <w:lang w:eastAsia="en-GB"/>
        </w:rPr>
        <w:t xml:space="preserve"> </w:t>
      </w:r>
      <w:r w:rsidR="00BE522C" w:rsidRPr="00BE522C">
        <w:t>We expect authorities to fund Academies for these liabilities on the same basis as maintained schools</w:t>
      </w:r>
      <w:r w:rsidRPr="00BE522C">
        <w:rPr>
          <w:rFonts w:cs="Arial"/>
          <w:szCs w:val="24"/>
          <w:lang w:eastAsia="en-GB"/>
        </w:rPr>
        <w:t>. Decisions for 2013-14 and subsequent years will be made as part of the wider review of school funding.</w:t>
      </w:r>
    </w:p>
    <w:p w:rsidR="00590E2E" w:rsidRPr="00590E2E" w:rsidRDefault="00590E2E" w:rsidP="00590E2E"/>
    <w:sectPr w:rsidR="00590E2E" w:rsidRPr="00590E2E">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257" w:rsidRDefault="002E7257">
      <w:r>
        <w:separator/>
      </w:r>
    </w:p>
  </w:endnote>
  <w:endnote w:type="continuationSeparator" w:id="0">
    <w:p w:rsidR="002E7257" w:rsidRDefault="002E72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AFE" w:rsidRDefault="009A7AFE" w:rsidP="00B61A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7AFE" w:rsidRDefault="009A7AFE" w:rsidP="0038017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AFE" w:rsidRDefault="009A7AFE" w:rsidP="00B61A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1400">
      <w:rPr>
        <w:rStyle w:val="PageNumber"/>
        <w:noProof/>
      </w:rPr>
      <w:t>1</w:t>
    </w:r>
    <w:r>
      <w:rPr>
        <w:rStyle w:val="PageNumber"/>
      </w:rPr>
      <w:fldChar w:fldCharType="end"/>
    </w:r>
  </w:p>
  <w:p w:rsidR="009A7AFE" w:rsidRDefault="009A7AFE" w:rsidP="0038017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257" w:rsidRDefault="002E7257">
      <w:r>
        <w:separator/>
      </w:r>
    </w:p>
  </w:footnote>
  <w:footnote w:type="continuationSeparator" w:id="0">
    <w:p w:rsidR="002E7257" w:rsidRDefault="002E72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A2021"/>
    <w:multiLevelType w:val="hybridMultilevel"/>
    <w:tmpl w:val="A0B84D38"/>
    <w:lvl w:ilvl="0" w:tplc="DBF008BE">
      <w:start w:val="7"/>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1735707C"/>
    <w:multiLevelType w:val="hybridMultilevel"/>
    <w:tmpl w:val="2FC05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nsid w:val="1E804677"/>
    <w:multiLevelType w:val="hybridMultilevel"/>
    <w:tmpl w:val="0CAA286E"/>
    <w:lvl w:ilvl="0" w:tplc="069AB2C0">
      <w:start w:val="1"/>
      <w:numFmt w:val="bullet"/>
      <w:lvlRestart w:val="0"/>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4">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
    <w:nsid w:val="267B07B1"/>
    <w:multiLevelType w:val="hybridMultilevel"/>
    <w:tmpl w:val="6678A10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3DAD661B"/>
    <w:multiLevelType w:val="hybridMultilevel"/>
    <w:tmpl w:val="E68E6D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
    <w:nsid w:val="49AD2B62"/>
    <w:multiLevelType w:val="multilevel"/>
    <w:tmpl w:val="47248FD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49CC6D14"/>
    <w:multiLevelType w:val="hybridMultilevel"/>
    <w:tmpl w:val="D3C23A0A"/>
    <w:lvl w:ilvl="0" w:tplc="08090019">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60086D87"/>
    <w:multiLevelType w:val="hybridMultilevel"/>
    <w:tmpl w:val="4E6A9DD2"/>
    <w:lvl w:ilvl="0" w:tplc="069AB2C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60B96CBD"/>
    <w:multiLevelType w:val="multilevel"/>
    <w:tmpl w:val="83DC2C66"/>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62B9291E"/>
    <w:multiLevelType w:val="hybridMultilevel"/>
    <w:tmpl w:val="772AFF6A"/>
    <w:lvl w:ilvl="0" w:tplc="08090019">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nsid w:val="743D0EB2"/>
    <w:multiLevelType w:val="hybridMultilevel"/>
    <w:tmpl w:val="7C6E0852"/>
    <w:lvl w:ilvl="0" w:tplc="C958C2D2">
      <w:start w:val="7"/>
      <w:numFmt w:val="upperLetter"/>
      <w:lvlText w:val="%1."/>
      <w:lvlJc w:val="left"/>
      <w:pPr>
        <w:tabs>
          <w:tab w:val="num" w:pos="1095"/>
        </w:tabs>
        <w:ind w:left="1095" w:hanging="375"/>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4"/>
  </w:num>
  <w:num w:numId="3">
    <w:abstractNumId w:val="15"/>
  </w:num>
  <w:num w:numId="4">
    <w:abstractNumId w:val="2"/>
  </w:num>
  <w:num w:numId="5">
    <w:abstractNumId w:val="10"/>
  </w:num>
  <w:num w:numId="6">
    <w:abstractNumId w:val="3"/>
  </w:num>
  <w:num w:numId="7">
    <w:abstractNumId w:val="6"/>
  </w:num>
  <w:num w:numId="8">
    <w:abstractNumId w:val="13"/>
  </w:num>
  <w:num w:numId="9">
    <w:abstractNumId w:val="8"/>
  </w:num>
  <w:num w:numId="10">
    <w:abstractNumId w:val="5"/>
  </w:num>
  <w:num w:numId="11">
    <w:abstractNumId w:val="12"/>
  </w:num>
  <w:num w:numId="12">
    <w:abstractNumId w:val="9"/>
  </w:num>
  <w:num w:numId="13">
    <w:abstractNumId w:val="7"/>
  </w:num>
  <w:num w:numId="14">
    <w:abstractNumId w:val="14"/>
  </w:num>
  <w:num w:numId="15">
    <w:abstractNumId w:val="1"/>
  </w:num>
  <w:num w:numId="16">
    <w:abstractNumId w:val="1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540AE4"/>
    <w:rsid w:val="00004111"/>
    <w:rsid w:val="00011F78"/>
    <w:rsid w:val="00014656"/>
    <w:rsid w:val="00022DB6"/>
    <w:rsid w:val="00031400"/>
    <w:rsid w:val="00041864"/>
    <w:rsid w:val="00044930"/>
    <w:rsid w:val="0004776A"/>
    <w:rsid w:val="000636E3"/>
    <w:rsid w:val="000734EA"/>
    <w:rsid w:val="0007685E"/>
    <w:rsid w:val="000833EF"/>
    <w:rsid w:val="0009058E"/>
    <w:rsid w:val="000940F5"/>
    <w:rsid w:val="000945AE"/>
    <w:rsid w:val="000954A7"/>
    <w:rsid w:val="00096A97"/>
    <w:rsid w:val="000A0C1B"/>
    <w:rsid w:val="000A7078"/>
    <w:rsid w:val="000B0635"/>
    <w:rsid w:val="000B1468"/>
    <w:rsid w:val="000B2FFA"/>
    <w:rsid w:val="000B7245"/>
    <w:rsid w:val="000D2555"/>
    <w:rsid w:val="000D6A47"/>
    <w:rsid w:val="000E057D"/>
    <w:rsid w:val="000E7BEA"/>
    <w:rsid w:val="000F044A"/>
    <w:rsid w:val="000F16EC"/>
    <w:rsid w:val="000F4E59"/>
    <w:rsid w:val="000F4FF7"/>
    <w:rsid w:val="00102064"/>
    <w:rsid w:val="00105126"/>
    <w:rsid w:val="0010591A"/>
    <w:rsid w:val="00112ED3"/>
    <w:rsid w:val="00116F59"/>
    <w:rsid w:val="00117873"/>
    <w:rsid w:val="001302D6"/>
    <w:rsid w:val="001340C6"/>
    <w:rsid w:val="001362FD"/>
    <w:rsid w:val="001366BB"/>
    <w:rsid w:val="001372F2"/>
    <w:rsid w:val="0015145F"/>
    <w:rsid w:val="00152C4B"/>
    <w:rsid w:val="00153607"/>
    <w:rsid w:val="00153F85"/>
    <w:rsid w:val="00163BBC"/>
    <w:rsid w:val="001661B4"/>
    <w:rsid w:val="001804E6"/>
    <w:rsid w:val="00180A06"/>
    <w:rsid w:val="00182783"/>
    <w:rsid w:val="00182C7D"/>
    <w:rsid w:val="0019383C"/>
    <w:rsid w:val="00195F8E"/>
    <w:rsid w:val="001A0A2C"/>
    <w:rsid w:val="001A179A"/>
    <w:rsid w:val="001A54FA"/>
    <w:rsid w:val="001A63C0"/>
    <w:rsid w:val="001A6C5B"/>
    <w:rsid w:val="001B05C8"/>
    <w:rsid w:val="001B6DF9"/>
    <w:rsid w:val="001D2212"/>
    <w:rsid w:val="001D712E"/>
    <w:rsid w:val="001D7FB3"/>
    <w:rsid w:val="001E4784"/>
    <w:rsid w:val="001F0A62"/>
    <w:rsid w:val="002009C2"/>
    <w:rsid w:val="00211C37"/>
    <w:rsid w:val="00212D24"/>
    <w:rsid w:val="00217581"/>
    <w:rsid w:val="00222766"/>
    <w:rsid w:val="002231E9"/>
    <w:rsid w:val="00225484"/>
    <w:rsid w:val="00226696"/>
    <w:rsid w:val="00231A1B"/>
    <w:rsid w:val="002335B0"/>
    <w:rsid w:val="002338A1"/>
    <w:rsid w:val="00244020"/>
    <w:rsid w:val="00246A4A"/>
    <w:rsid w:val="00257020"/>
    <w:rsid w:val="00257CBE"/>
    <w:rsid w:val="002651BE"/>
    <w:rsid w:val="00275C1C"/>
    <w:rsid w:val="0027611C"/>
    <w:rsid w:val="002840D0"/>
    <w:rsid w:val="00295EFC"/>
    <w:rsid w:val="002A2B59"/>
    <w:rsid w:val="002A4DB2"/>
    <w:rsid w:val="002B2E01"/>
    <w:rsid w:val="002B381C"/>
    <w:rsid w:val="002B651E"/>
    <w:rsid w:val="002C3F1B"/>
    <w:rsid w:val="002D01E0"/>
    <w:rsid w:val="002D2A7A"/>
    <w:rsid w:val="002D3001"/>
    <w:rsid w:val="002E28FA"/>
    <w:rsid w:val="002E7257"/>
    <w:rsid w:val="00300113"/>
    <w:rsid w:val="00310708"/>
    <w:rsid w:val="00310B03"/>
    <w:rsid w:val="00312BD3"/>
    <w:rsid w:val="00314CD7"/>
    <w:rsid w:val="00325FEB"/>
    <w:rsid w:val="00327A02"/>
    <w:rsid w:val="003315EE"/>
    <w:rsid w:val="00347A3B"/>
    <w:rsid w:val="00367EEB"/>
    <w:rsid w:val="00370439"/>
    <w:rsid w:val="00370895"/>
    <w:rsid w:val="00370CB3"/>
    <w:rsid w:val="003768ED"/>
    <w:rsid w:val="0038017F"/>
    <w:rsid w:val="00380337"/>
    <w:rsid w:val="0038100D"/>
    <w:rsid w:val="00381604"/>
    <w:rsid w:val="00383F8B"/>
    <w:rsid w:val="0038424B"/>
    <w:rsid w:val="00386DDF"/>
    <w:rsid w:val="003873D2"/>
    <w:rsid w:val="00392AE9"/>
    <w:rsid w:val="00393BC2"/>
    <w:rsid w:val="003A1019"/>
    <w:rsid w:val="003C1438"/>
    <w:rsid w:val="003D3F7A"/>
    <w:rsid w:val="003D74A2"/>
    <w:rsid w:val="003D7A13"/>
    <w:rsid w:val="003E1B86"/>
    <w:rsid w:val="00402829"/>
    <w:rsid w:val="00405955"/>
    <w:rsid w:val="00407A4B"/>
    <w:rsid w:val="00407EDB"/>
    <w:rsid w:val="00413C8E"/>
    <w:rsid w:val="00416291"/>
    <w:rsid w:val="004204C6"/>
    <w:rsid w:val="00422BE6"/>
    <w:rsid w:val="00430C38"/>
    <w:rsid w:val="00430DC5"/>
    <w:rsid w:val="00437065"/>
    <w:rsid w:val="00442E8D"/>
    <w:rsid w:val="004470D6"/>
    <w:rsid w:val="0044791B"/>
    <w:rsid w:val="00450D89"/>
    <w:rsid w:val="00452ACE"/>
    <w:rsid w:val="004533A7"/>
    <w:rsid w:val="00457075"/>
    <w:rsid w:val="00460505"/>
    <w:rsid w:val="00463122"/>
    <w:rsid w:val="00480E77"/>
    <w:rsid w:val="00484C39"/>
    <w:rsid w:val="00486A8F"/>
    <w:rsid w:val="004879C1"/>
    <w:rsid w:val="004955D9"/>
    <w:rsid w:val="004A7FE9"/>
    <w:rsid w:val="004B73CF"/>
    <w:rsid w:val="004D08C4"/>
    <w:rsid w:val="004D4205"/>
    <w:rsid w:val="004E0394"/>
    <w:rsid w:val="004E1AD2"/>
    <w:rsid w:val="004E633C"/>
    <w:rsid w:val="00505A73"/>
    <w:rsid w:val="005066E3"/>
    <w:rsid w:val="00511CA5"/>
    <w:rsid w:val="00512BC5"/>
    <w:rsid w:val="00514269"/>
    <w:rsid w:val="005150CE"/>
    <w:rsid w:val="00523C16"/>
    <w:rsid w:val="00523FD2"/>
    <w:rsid w:val="00530814"/>
    <w:rsid w:val="00533DA6"/>
    <w:rsid w:val="00540AE4"/>
    <w:rsid w:val="00545301"/>
    <w:rsid w:val="00564263"/>
    <w:rsid w:val="00565333"/>
    <w:rsid w:val="00567E06"/>
    <w:rsid w:val="00582067"/>
    <w:rsid w:val="00590E2E"/>
    <w:rsid w:val="005912EF"/>
    <w:rsid w:val="00591B39"/>
    <w:rsid w:val="005A013F"/>
    <w:rsid w:val="005A554D"/>
    <w:rsid w:val="005A69D6"/>
    <w:rsid w:val="005B1CC3"/>
    <w:rsid w:val="005B1D04"/>
    <w:rsid w:val="005B31F2"/>
    <w:rsid w:val="005B5A07"/>
    <w:rsid w:val="005C1372"/>
    <w:rsid w:val="005C7F98"/>
    <w:rsid w:val="005D2546"/>
    <w:rsid w:val="005D4FCF"/>
    <w:rsid w:val="005E24FD"/>
    <w:rsid w:val="005F584D"/>
    <w:rsid w:val="005F7411"/>
    <w:rsid w:val="00604C86"/>
    <w:rsid w:val="00607A4B"/>
    <w:rsid w:val="006112E0"/>
    <w:rsid w:val="00615AB6"/>
    <w:rsid w:val="00625032"/>
    <w:rsid w:val="0062704E"/>
    <w:rsid w:val="00634682"/>
    <w:rsid w:val="0063507E"/>
    <w:rsid w:val="006363E9"/>
    <w:rsid w:val="00640E29"/>
    <w:rsid w:val="00647F69"/>
    <w:rsid w:val="0065613C"/>
    <w:rsid w:val="00663FE6"/>
    <w:rsid w:val="00664DA5"/>
    <w:rsid w:val="006722AF"/>
    <w:rsid w:val="00674BF8"/>
    <w:rsid w:val="006858D6"/>
    <w:rsid w:val="00687908"/>
    <w:rsid w:val="00695493"/>
    <w:rsid w:val="006A0189"/>
    <w:rsid w:val="006A1127"/>
    <w:rsid w:val="006A28EB"/>
    <w:rsid w:val="006A29B2"/>
    <w:rsid w:val="006A2F72"/>
    <w:rsid w:val="006B6460"/>
    <w:rsid w:val="006C7153"/>
    <w:rsid w:val="006D3EBD"/>
    <w:rsid w:val="006E402B"/>
    <w:rsid w:val="006E40AA"/>
    <w:rsid w:val="006E5767"/>
    <w:rsid w:val="006E6F0B"/>
    <w:rsid w:val="006F38F0"/>
    <w:rsid w:val="006F3F54"/>
    <w:rsid w:val="006F5D26"/>
    <w:rsid w:val="0070114A"/>
    <w:rsid w:val="00707146"/>
    <w:rsid w:val="007077ED"/>
    <w:rsid w:val="007104E4"/>
    <w:rsid w:val="0071299F"/>
    <w:rsid w:val="00716652"/>
    <w:rsid w:val="00716864"/>
    <w:rsid w:val="0071751B"/>
    <w:rsid w:val="0073169A"/>
    <w:rsid w:val="00741388"/>
    <w:rsid w:val="007429ED"/>
    <w:rsid w:val="0074397F"/>
    <w:rsid w:val="007442BB"/>
    <w:rsid w:val="00746846"/>
    <w:rsid w:val="007510C3"/>
    <w:rsid w:val="00751283"/>
    <w:rsid w:val="007615AC"/>
    <w:rsid w:val="00762155"/>
    <w:rsid w:val="007640F2"/>
    <w:rsid w:val="0076458E"/>
    <w:rsid w:val="0076528C"/>
    <w:rsid w:val="00770474"/>
    <w:rsid w:val="00774922"/>
    <w:rsid w:val="00781892"/>
    <w:rsid w:val="0079190A"/>
    <w:rsid w:val="007940AE"/>
    <w:rsid w:val="007A10F9"/>
    <w:rsid w:val="007A4C02"/>
    <w:rsid w:val="007B2056"/>
    <w:rsid w:val="007B3F5F"/>
    <w:rsid w:val="007B49CD"/>
    <w:rsid w:val="007B5A46"/>
    <w:rsid w:val="007D0DBA"/>
    <w:rsid w:val="007D4DB0"/>
    <w:rsid w:val="007D5CB9"/>
    <w:rsid w:val="007E3B41"/>
    <w:rsid w:val="007F073B"/>
    <w:rsid w:val="007F473E"/>
    <w:rsid w:val="00805C72"/>
    <w:rsid w:val="008261AC"/>
    <w:rsid w:val="00827132"/>
    <w:rsid w:val="00831225"/>
    <w:rsid w:val="00833F96"/>
    <w:rsid w:val="008428AB"/>
    <w:rsid w:val="00851E6E"/>
    <w:rsid w:val="00852C94"/>
    <w:rsid w:val="00861254"/>
    <w:rsid w:val="00862D1B"/>
    <w:rsid w:val="00863664"/>
    <w:rsid w:val="008645B0"/>
    <w:rsid w:val="00875CE0"/>
    <w:rsid w:val="0088151C"/>
    <w:rsid w:val="008817AB"/>
    <w:rsid w:val="00883989"/>
    <w:rsid w:val="008843A4"/>
    <w:rsid w:val="00891E2D"/>
    <w:rsid w:val="0089496E"/>
    <w:rsid w:val="008A0351"/>
    <w:rsid w:val="008B1C49"/>
    <w:rsid w:val="008B519B"/>
    <w:rsid w:val="008B67CC"/>
    <w:rsid w:val="008B7E4B"/>
    <w:rsid w:val="008C1280"/>
    <w:rsid w:val="008D1228"/>
    <w:rsid w:val="008D3DE1"/>
    <w:rsid w:val="008E3BDA"/>
    <w:rsid w:val="008E5D69"/>
    <w:rsid w:val="008F4375"/>
    <w:rsid w:val="008F452F"/>
    <w:rsid w:val="0090280A"/>
    <w:rsid w:val="009052C4"/>
    <w:rsid w:val="00905ADC"/>
    <w:rsid w:val="00906C33"/>
    <w:rsid w:val="009131DC"/>
    <w:rsid w:val="00913348"/>
    <w:rsid w:val="009173AF"/>
    <w:rsid w:val="00922462"/>
    <w:rsid w:val="00932946"/>
    <w:rsid w:val="0093620A"/>
    <w:rsid w:val="009405B0"/>
    <w:rsid w:val="009426CB"/>
    <w:rsid w:val="00953973"/>
    <w:rsid w:val="00955AB8"/>
    <w:rsid w:val="009578E5"/>
    <w:rsid w:val="00963073"/>
    <w:rsid w:val="0097315A"/>
    <w:rsid w:val="00992867"/>
    <w:rsid w:val="00996A81"/>
    <w:rsid w:val="009A0280"/>
    <w:rsid w:val="009A37A3"/>
    <w:rsid w:val="009A3F0A"/>
    <w:rsid w:val="009A7AFE"/>
    <w:rsid w:val="009B3EFE"/>
    <w:rsid w:val="009B493A"/>
    <w:rsid w:val="009B61A9"/>
    <w:rsid w:val="009B665E"/>
    <w:rsid w:val="009B740E"/>
    <w:rsid w:val="009C13B8"/>
    <w:rsid w:val="009D3D73"/>
    <w:rsid w:val="009D5919"/>
    <w:rsid w:val="009D7ABB"/>
    <w:rsid w:val="009E513D"/>
    <w:rsid w:val="009E73AD"/>
    <w:rsid w:val="009F5357"/>
    <w:rsid w:val="009F7653"/>
    <w:rsid w:val="00A00569"/>
    <w:rsid w:val="00A0765D"/>
    <w:rsid w:val="00A1256B"/>
    <w:rsid w:val="00A136A7"/>
    <w:rsid w:val="00A13FB5"/>
    <w:rsid w:val="00A16E3B"/>
    <w:rsid w:val="00A22480"/>
    <w:rsid w:val="00A2712A"/>
    <w:rsid w:val="00A31B55"/>
    <w:rsid w:val="00A33439"/>
    <w:rsid w:val="00A36044"/>
    <w:rsid w:val="00A366A9"/>
    <w:rsid w:val="00A36ACF"/>
    <w:rsid w:val="00A41D6B"/>
    <w:rsid w:val="00A46912"/>
    <w:rsid w:val="00A50B69"/>
    <w:rsid w:val="00A615CB"/>
    <w:rsid w:val="00A64099"/>
    <w:rsid w:val="00A75F18"/>
    <w:rsid w:val="00A77A5E"/>
    <w:rsid w:val="00A81818"/>
    <w:rsid w:val="00A96425"/>
    <w:rsid w:val="00AA7F05"/>
    <w:rsid w:val="00AB1591"/>
    <w:rsid w:val="00AB6016"/>
    <w:rsid w:val="00AC2A37"/>
    <w:rsid w:val="00AC4C76"/>
    <w:rsid w:val="00AD0E50"/>
    <w:rsid w:val="00AD632D"/>
    <w:rsid w:val="00AE0345"/>
    <w:rsid w:val="00AE58C5"/>
    <w:rsid w:val="00AF0554"/>
    <w:rsid w:val="00B006DF"/>
    <w:rsid w:val="00B0241A"/>
    <w:rsid w:val="00B05ECD"/>
    <w:rsid w:val="00B06172"/>
    <w:rsid w:val="00B15BF3"/>
    <w:rsid w:val="00B16A24"/>
    <w:rsid w:val="00B16A8C"/>
    <w:rsid w:val="00B22807"/>
    <w:rsid w:val="00B23FFF"/>
    <w:rsid w:val="00B275C1"/>
    <w:rsid w:val="00B3400F"/>
    <w:rsid w:val="00B422C4"/>
    <w:rsid w:val="00B43A2E"/>
    <w:rsid w:val="00B44F07"/>
    <w:rsid w:val="00B51E97"/>
    <w:rsid w:val="00B52316"/>
    <w:rsid w:val="00B61A14"/>
    <w:rsid w:val="00B6513B"/>
    <w:rsid w:val="00B6522B"/>
    <w:rsid w:val="00B65709"/>
    <w:rsid w:val="00B67DF2"/>
    <w:rsid w:val="00B71EF9"/>
    <w:rsid w:val="00B74150"/>
    <w:rsid w:val="00B80C38"/>
    <w:rsid w:val="00B83401"/>
    <w:rsid w:val="00B83A69"/>
    <w:rsid w:val="00B87D51"/>
    <w:rsid w:val="00B939CC"/>
    <w:rsid w:val="00B96C1A"/>
    <w:rsid w:val="00B972F8"/>
    <w:rsid w:val="00BA78E7"/>
    <w:rsid w:val="00BC344E"/>
    <w:rsid w:val="00BC547B"/>
    <w:rsid w:val="00BD4B6C"/>
    <w:rsid w:val="00BE3DBA"/>
    <w:rsid w:val="00BE522C"/>
    <w:rsid w:val="00BE7DCE"/>
    <w:rsid w:val="00BF6335"/>
    <w:rsid w:val="00C0519F"/>
    <w:rsid w:val="00C077CF"/>
    <w:rsid w:val="00C10830"/>
    <w:rsid w:val="00C15EAF"/>
    <w:rsid w:val="00C3017C"/>
    <w:rsid w:val="00C37933"/>
    <w:rsid w:val="00C40E4C"/>
    <w:rsid w:val="00C47CB7"/>
    <w:rsid w:val="00C47EEA"/>
    <w:rsid w:val="00C50F72"/>
    <w:rsid w:val="00C519D0"/>
    <w:rsid w:val="00C60E08"/>
    <w:rsid w:val="00C63EB3"/>
    <w:rsid w:val="00C643BE"/>
    <w:rsid w:val="00C6563A"/>
    <w:rsid w:val="00C66920"/>
    <w:rsid w:val="00C70737"/>
    <w:rsid w:val="00C70ACB"/>
    <w:rsid w:val="00C71CB0"/>
    <w:rsid w:val="00C76DE7"/>
    <w:rsid w:val="00C94A42"/>
    <w:rsid w:val="00C97B9A"/>
    <w:rsid w:val="00CA4FEC"/>
    <w:rsid w:val="00CA56EC"/>
    <w:rsid w:val="00CB003F"/>
    <w:rsid w:val="00CB3C6E"/>
    <w:rsid w:val="00CB60FE"/>
    <w:rsid w:val="00CE084B"/>
    <w:rsid w:val="00CE1ABC"/>
    <w:rsid w:val="00CE5EC0"/>
    <w:rsid w:val="00CE7034"/>
    <w:rsid w:val="00CF409A"/>
    <w:rsid w:val="00CF7CBA"/>
    <w:rsid w:val="00D02D57"/>
    <w:rsid w:val="00D0698F"/>
    <w:rsid w:val="00D118D6"/>
    <w:rsid w:val="00D13D54"/>
    <w:rsid w:val="00D20266"/>
    <w:rsid w:val="00D20C29"/>
    <w:rsid w:val="00D33842"/>
    <w:rsid w:val="00D35019"/>
    <w:rsid w:val="00D47915"/>
    <w:rsid w:val="00D529BC"/>
    <w:rsid w:val="00D60BA9"/>
    <w:rsid w:val="00D73EA6"/>
    <w:rsid w:val="00D77C56"/>
    <w:rsid w:val="00D81CC8"/>
    <w:rsid w:val="00D8490B"/>
    <w:rsid w:val="00D9480C"/>
    <w:rsid w:val="00DA0694"/>
    <w:rsid w:val="00DA1821"/>
    <w:rsid w:val="00DA231B"/>
    <w:rsid w:val="00DA4CD6"/>
    <w:rsid w:val="00DA6E72"/>
    <w:rsid w:val="00DB2F16"/>
    <w:rsid w:val="00DC0F93"/>
    <w:rsid w:val="00DC2500"/>
    <w:rsid w:val="00DD24D8"/>
    <w:rsid w:val="00DD27F5"/>
    <w:rsid w:val="00DD78E8"/>
    <w:rsid w:val="00DE21E8"/>
    <w:rsid w:val="00E0081E"/>
    <w:rsid w:val="00E01977"/>
    <w:rsid w:val="00E02094"/>
    <w:rsid w:val="00E1025E"/>
    <w:rsid w:val="00E10F4C"/>
    <w:rsid w:val="00E14BAD"/>
    <w:rsid w:val="00E2419F"/>
    <w:rsid w:val="00E352C7"/>
    <w:rsid w:val="00E366D6"/>
    <w:rsid w:val="00E45200"/>
    <w:rsid w:val="00E5310F"/>
    <w:rsid w:val="00E639AA"/>
    <w:rsid w:val="00E63D8B"/>
    <w:rsid w:val="00E7780B"/>
    <w:rsid w:val="00E80B61"/>
    <w:rsid w:val="00E81F4B"/>
    <w:rsid w:val="00E84369"/>
    <w:rsid w:val="00E9193C"/>
    <w:rsid w:val="00E95FE8"/>
    <w:rsid w:val="00EA11BE"/>
    <w:rsid w:val="00EA199C"/>
    <w:rsid w:val="00EA6EE9"/>
    <w:rsid w:val="00EC644A"/>
    <w:rsid w:val="00EC6A3F"/>
    <w:rsid w:val="00ED5EB3"/>
    <w:rsid w:val="00EE07C4"/>
    <w:rsid w:val="00EE6C16"/>
    <w:rsid w:val="00EF5ED3"/>
    <w:rsid w:val="00F01EE7"/>
    <w:rsid w:val="00F05E9B"/>
    <w:rsid w:val="00F1202D"/>
    <w:rsid w:val="00F22101"/>
    <w:rsid w:val="00F2371D"/>
    <w:rsid w:val="00F23E93"/>
    <w:rsid w:val="00F26929"/>
    <w:rsid w:val="00F30554"/>
    <w:rsid w:val="00F30FE1"/>
    <w:rsid w:val="00F348D2"/>
    <w:rsid w:val="00F353A7"/>
    <w:rsid w:val="00F35519"/>
    <w:rsid w:val="00F3589C"/>
    <w:rsid w:val="00F43486"/>
    <w:rsid w:val="00F4485F"/>
    <w:rsid w:val="00F44B6A"/>
    <w:rsid w:val="00F521C7"/>
    <w:rsid w:val="00F52AE7"/>
    <w:rsid w:val="00F52B32"/>
    <w:rsid w:val="00F628C3"/>
    <w:rsid w:val="00F6386C"/>
    <w:rsid w:val="00F64543"/>
    <w:rsid w:val="00F64863"/>
    <w:rsid w:val="00F74CDA"/>
    <w:rsid w:val="00F8170D"/>
    <w:rsid w:val="00F84F81"/>
    <w:rsid w:val="00F92884"/>
    <w:rsid w:val="00F93041"/>
    <w:rsid w:val="00F960C1"/>
    <w:rsid w:val="00FA0331"/>
    <w:rsid w:val="00FC049C"/>
    <w:rsid w:val="00FC1C0E"/>
    <w:rsid w:val="00FC219B"/>
    <w:rsid w:val="00FC5ED8"/>
    <w:rsid w:val="00FD13FD"/>
    <w:rsid w:val="00FE26C7"/>
    <w:rsid w:val="00FE459F"/>
    <w:rsid w:val="00FF0AF6"/>
    <w:rsid w:val="00FF13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0E2E"/>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38017F"/>
    <w:pPr>
      <w:keepNext/>
      <w:keepLines/>
      <w:spacing w:before="240" w:after="240"/>
      <w:outlineLvl w:val="0"/>
    </w:pPr>
    <w:rPr>
      <w:b/>
      <w:kern w:val="28"/>
    </w:rPr>
  </w:style>
  <w:style w:type="paragraph" w:styleId="Heading2">
    <w:name w:val="heading 2"/>
    <w:aliases w:val="Numbered - 2"/>
    <w:basedOn w:val="Heading1"/>
    <w:next w:val="Normal"/>
    <w:qFormat/>
    <w:rsid w:val="0038017F"/>
    <w:pPr>
      <w:outlineLvl w:val="1"/>
    </w:pPr>
  </w:style>
  <w:style w:type="paragraph" w:styleId="Heading3">
    <w:name w:val="heading 3"/>
    <w:aliases w:val="Numbered - 3"/>
    <w:basedOn w:val="Heading2"/>
    <w:next w:val="Normal"/>
    <w:qFormat/>
    <w:rsid w:val="0038017F"/>
    <w:pPr>
      <w:keepNext w:val="0"/>
      <w:keepLines w:val="0"/>
      <w:spacing w:before="0" w:after="0"/>
      <w:outlineLvl w:val="2"/>
    </w:pPr>
    <w:rPr>
      <w:b w:val="0"/>
    </w:rPr>
  </w:style>
  <w:style w:type="paragraph" w:styleId="Heading4">
    <w:name w:val="heading 4"/>
    <w:aliases w:val="Numbered - 4"/>
    <w:basedOn w:val="Heading3"/>
    <w:next w:val="Normal"/>
    <w:qFormat/>
    <w:rsid w:val="0038017F"/>
    <w:pPr>
      <w:outlineLvl w:val="3"/>
    </w:pPr>
  </w:style>
  <w:style w:type="paragraph" w:styleId="Heading5">
    <w:name w:val="heading 5"/>
    <w:aliases w:val="Numbered - 5"/>
    <w:basedOn w:val="Heading4"/>
    <w:next w:val="Normal"/>
    <w:qFormat/>
    <w:rsid w:val="0038017F"/>
    <w:pPr>
      <w:outlineLvl w:val="4"/>
    </w:pPr>
  </w:style>
  <w:style w:type="paragraph" w:styleId="Heading6">
    <w:name w:val="heading 6"/>
    <w:aliases w:val="Numbered - 6"/>
    <w:basedOn w:val="Heading5"/>
    <w:next w:val="Normal"/>
    <w:qFormat/>
    <w:rsid w:val="0038017F"/>
    <w:pPr>
      <w:outlineLvl w:val="5"/>
    </w:pPr>
  </w:style>
  <w:style w:type="paragraph" w:styleId="Heading7">
    <w:name w:val="heading 7"/>
    <w:aliases w:val="Numbered - 7"/>
    <w:basedOn w:val="Heading6"/>
    <w:next w:val="Normal"/>
    <w:qFormat/>
    <w:rsid w:val="0038017F"/>
    <w:pPr>
      <w:outlineLvl w:val="6"/>
    </w:pPr>
  </w:style>
  <w:style w:type="paragraph" w:styleId="Heading8">
    <w:name w:val="heading 8"/>
    <w:aliases w:val="Numbered - 8"/>
    <w:basedOn w:val="Heading7"/>
    <w:next w:val="Normal"/>
    <w:qFormat/>
    <w:rsid w:val="0038017F"/>
    <w:pPr>
      <w:outlineLvl w:val="7"/>
    </w:pPr>
  </w:style>
  <w:style w:type="paragraph" w:styleId="Heading9">
    <w:name w:val="heading 9"/>
    <w:aliases w:val="Numbered - 9"/>
    <w:basedOn w:val="Heading8"/>
    <w:next w:val="Normal"/>
    <w:qFormat/>
    <w:rsid w:val="0038017F"/>
    <w:pPr>
      <w:outlineLvl w:val="8"/>
    </w:pPr>
  </w:style>
  <w:style w:type="character" w:default="1" w:styleId="DefaultParagraphFont">
    <w:name w:val="Default Paragraph Font"/>
    <w:semiHidden/>
    <w:rsid w:val="0038017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8017F"/>
  </w:style>
  <w:style w:type="paragraph" w:styleId="BodyText">
    <w:name w:val="Body Text"/>
    <w:basedOn w:val="Normal"/>
    <w:rsid w:val="0038017F"/>
  </w:style>
  <w:style w:type="paragraph" w:styleId="BodyTextIndent">
    <w:name w:val="Body Text Indent"/>
    <w:basedOn w:val="Normal"/>
    <w:rsid w:val="0038017F"/>
    <w:pPr>
      <w:ind w:left="288"/>
    </w:pPr>
  </w:style>
  <w:style w:type="paragraph" w:customStyle="1" w:styleId="DeptBullets">
    <w:name w:val="DeptBullets"/>
    <w:basedOn w:val="Normal"/>
    <w:rsid w:val="0038017F"/>
    <w:pPr>
      <w:numPr>
        <w:numId w:val="1"/>
      </w:numPr>
      <w:spacing w:after="240"/>
    </w:pPr>
  </w:style>
  <w:style w:type="paragraph" w:customStyle="1" w:styleId="DeptOutNumbered">
    <w:name w:val="DeptOutNumbered"/>
    <w:basedOn w:val="Normal"/>
    <w:rsid w:val="0038017F"/>
    <w:pPr>
      <w:numPr>
        <w:numId w:val="2"/>
      </w:numPr>
      <w:spacing w:after="240"/>
    </w:pPr>
  </w:style>
  <w:style w:type="paragraph" w:styleId="Footer">
    <w:name w:val="footer"/>
    <w:basedOn w:val="Normal"/>
    <w:rsid w:val="0038017F"/>
    <w:pPr>
      <w:tabs>
        <w:tab w:val="center" w:pos="4153"/>
        <w:tab w:val="right" w:pos="8306"/>
      </w:tabs>
    </w:pPr>
  </w:style>
  <w:style w:type="paragraph" w:styleId="Header">
    <w:name w:val="header"/>
    <w:basedOn w:val="Normal"/>
    <w:rsid w:val="0038017F"/>
    <w:pPr>
      <w:tabs>
        <w:tab w:val="center" w:pos="4153"/>
        <w:tab w:val="right" w:pos="8306"/>
      </w:tabs>
    </w:pPr>
  </w:style>
  <w:style w:type="paragraph" w:customStyle="1" w:styleId="Heading">
    <w:name w:val="Heading"/>
    <w:basedOn w:val="Normal"/>
    <w:next w:val="Normal"/>
    <w:rsid w:val="0038017F"/>
    <w:pPr>
      <w:keepNext/>
      <w:keepLines/>
      <w:spacing w:before="240" w:after="240"/>
      <w:ind w:left="-720"/>
    </w:pPr>
    <w:rPr>
      <w:b/>
    </w:rPr>
  </w:style>
  <w:style w:type="paragraph" w:customStyle="1" w:styleId="MinuteTop">
    <w:name w:val="Minute Top"/>
    <w:basedOn w:val="Normal"/>
    <w:rsid w:val="0038017F"/>
    <w:pPr>
      <w:tabs>
        <w:tab w:val="left" w:pos="4680"/>
        <w:tab w:val="left" w:pos="5587"/>
      </w:tabs>
    </w:pPr>
  </w:style>
  <w:style w:type="paragraph" w:customStyle="1" w:styleId="Numbered">
    <w:name w:val="Numbered"/>
    <w:basedOn w:val="Normal"/>
    <w:rsid w:val="0038017F"/>
    <w:pPr>
      <w:spacing w:after="240"/>
    </w:pPr>
  </w:style>
  <w:style w:type="character" w:styleId="PageNumber">
    <w:name w:val="page number"/>
    <w:basedOn w:val="DefaultParagraphFont"/>
    <w:rsid w:val="0038017F"/>
  </w:style>
  <w:style w:type="character" w:styleId="Hyperlink">
    <w:name w:val="Hyperlink"/>
    <w:basedOn w:val="DefaultParagraphFont"/>
    <w:rsid w:val="00540AE4"/>
    <w:rPr>
      <w:color w:val="0000FF"/>
      <w:u w:val="single"/>
    </w:rPr>
  </w:style>
  <w:style w:type="character" w:styleId="CommentReference">
    <w:name w:val="annotation reference"/>
    <w:basedOn w:val="DefaultParagraphFont"/>
    <w:semiHidden/>
    <w:rsid w:val="00F52AE7"/>
    <w:rPr>
      <w:sz w:val="16"/>
      <w:szCs w:val="16"/>
    </w:rPr>
  </w:style>
  <w:style w:type="paragraph" w:customStyle="1" w:styleId="Sub-Heading">
    <w:name w:val="Sub-Heading"/>
    <w:basedOn w:val="Heading"/>
    <w:next w:val="Numbered"/>
    <w:rsid w:val="0038017F"/>
    <w:pPr>
      <w:spacing w:before="0"/>
    </w:pPr>
  </w:style>
  <w:style w:type="paragraph" w:styleId="Subtitle">
    <w:name w:val="Subtitle"/>
    <w:basedOn w:val="Normal"/>
    <w:qFormat/>
    <w:rsid w:val="0038017F"/>
    <w:pPr>
      <w:spacing w:after="60"/>
      <w:jc w:val="center"/>
    </w:pPr>
    <w:rPr>
      <w:i/>
    </w:rPr>
  </w:style>
  <w:style w:type="paragraph" w:customStyle="1" w:styleId="DfESOutNumbered">
    <w:name w:val="DfESOutNumbered"/>
    <w:basedOn w:val="Normal"/>
    <w:rsid w:val="0038017F"/>
    <w:pPr>
      <w:numPr>
        <w:numId w:val="4"/>
      </w:numPr>
      <w:spacing w:after="240"/>
    </w:pPr>
    <w:rPr>
      <w:rFonts w:cs="Arial"/>
      <w:sz w:val="22"/>
    </w:rPr>
  </w:style>
  <w:style w:type="paragraph" w:customStyle="1" w:styleId="DfESBullets">
    <w:name w:val="DfESBullets"/>
    <w:basedOn w:val="Normal"/>
    <w:rsid w:val="0038017F"/>
    <w:pPr>
      <w:numPr>
        <w:numId w:val="5"/>
      </w:numPr>
      <w:spacing w:after="240"/>
    </w:pPr>
    <w:rPr>
      <w:rFonts w:cs="Arial"/>
      <w:sz w:val="22"/>
    </w:rPr>
  </w:style>
  <w:style w:type="paragraph" w:styleId="CommentText">
    <w:name w:val="annotation text"/>
    <w:basedOn w:val="Normal"/>
    <w:semiHidden/>
    <w:rsid w:val="00F52AE7"/>
    <w:rPr>
      <w:sz w:val="20"/>
    </w:rPr>
  </w:style>
  <w:style w:type="paragraph" w:styleId="CommentSubject">
    <w:name w:val="annotation subject"/>
    <w:basedOn w:val="CommentText"/>
    <w:next w:val="CommentText"/>
    <w:semiHidden/>
    <w:rsid w:val="00F52AE7"/>
    <w:rPr>
      <w:b/>
      <w:bCs/>
    </w:rPr>
  </w:style>
  <w:style w:type="paragraph" w:styleId="BalloonText">
    <w:name w:val="Balloon Text"/>
    <w:basedOn w:val="Normal"/>
    <w:semiHidden/>
    <w:rsid w:val="00F52AE7"/>
    <w:rPr>
      <w:rFonts w:ascii="MS Shell Dlg" w:hAnsi="MS Shell Dlg" w:cs="MS Shell Dlg"/>
      <w:sz w:val="16"/>
      <w:szCs w:val="16"/>
    </w:rPr>
  </w:style>
  <w:style w:type="character" w:customStyle="1" w:styleId="NAYTON">
    <w:name w:val="EmailStyle34"/>
    <w:aliases w:val="EmailStyle34"/>
    <w:basedOn w:val="DefaultParagraphFont"/>
    <w:semiHidden/>
    <w:personal/>
    <w:personalReply/>
    <w:rsid w:val="001A0A2C"/>
    <w:rPr>
      <w:rFonts w:ascii="Arial" w:hAnsi="Arial" w:cs="Arial"/>
      <w:b w:val="0"/>
      <w:bCs w:val="0"/>
      <w:i w:val="0"/>
      <w:iCs w:val="0"/>
      <w:strike w:val="0"/>
      <w:color w:val="000080"/>
      <w:sz w:val="22"/>
      <w:szCs w:val="22"/>
      <w:u w:val="none"/>
    </w:rPr>
  </w:style>
  <w:style w:type="character" w:customStyle="1" w:styleId="PersonalComposeStyle">
    <w:name w:val="EmailStyle35"/>
    <w:aliases w:val="EmailStyle35"/>
    <w:basedOn w:val="DefaultParagraphFont"/>
    <w:personal/>
    <w:personalCompose/>
    <w:rsid w:val="0038017F"/>
    <w:rPr>
      <w:rFonts w:ascii="Arial" w:hAnsi="Arial" w:cs="Arial"/>
      <w:color w:val="auto"/>
      <w:sz w:val="20"/>
    </w:rPr>
  </w:style>
  <w:style w:type="character" w:customStyle="1" w:styleId="PersonalReplyStyle">
    <w:name w:val="EmailStyle36"/>
    <w:aliases w:val="EmailStyle36"/>
    <w:basedOn w:val="DefaultParagraphFont"/>
    <w:personal/>
    <w:personalReply/>
    <w:rsid w:val="0038017F"/>
    <w:rPr>
      <w:rFonts w:ascii="Arial" w:hAnsi="Arial" w:cs="Arial"/>
      <w:color w:val="auto"/>
      <w:sz w:val="20"/>
    </w:rPr>
  </w:style>
</w:styles>
</file>

<file path=word/webSettings.xml><?xml version="1.0" encoding="utf-8"?>
<w:webSettings xmlns:r="http://schemas.openxmlformats.org/officeDocument/2006/relationships" xmlns:w="http://schemas.openxmlformats.org/wordprocessingml/2006/main">
  <w:divs>
    <w:div w:id="1062943480">
      <w:bodyDiv w:val="1"/>
      <w:marLeft w:val="0"/>
      <w:marRight w:val="0"/>
      <w:marTop w:val="0"/>
      <w:marBottom w:val="0"/>
      <w:divBdr>
        <w:top w:val="none" w:sz="0" w:space="0" w:color="auto"/>
        <w:left w:val="none" w:sz="0" w:space="0" w:color="auto"/>
        <w:bottom w:val="none" w:sz="0" w:space="0" w:color="auto"/>
        <w:right w:val="none" w:sz="0" w:space="0" w:color="auto"/>
      </w:divBdr>
    </w:div>
    <w:div w:id="1952857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acsegteam.academies@education.gs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1155</Words>
  <Characters>6585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Note re: contingency exclusions [for website]</vt:lpstr>
    </vt:vector>
  </TitlesOfParts>
  <Company>.</Company>
  <LinksUpToDate>false</LinksUpToDate>
  <CharactersWithSpaces>7725</CharactersWithSpaces>
  <SharedDoc>false</SharedDoc>
  <HLinks>
    <vt:vector size="6" baseType="variant">
      <vt:variant>
        <vt:i4>3735636</vt:i4>
      </vt:variant>
      <vt:variant>
        <vt:i4>0</vt:i4>
      </vt:variant>
      <vt:variant>
        <vt:i4>0</vt:i4>
      </vt:variant>
      <vt:variant>
        <vt:i4>5</vt:i4>
      </vt:variant>
      <vt:variant>
        <vt:lpwstr>mailto:lacsegteam.academies@education.gsi.gov.uk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re: contingency exclusions [for website]</dc:title>
  <dc:creator>tjones</dc:creator>
  <cp:lastModifiedBy>ICS</cp:lastModifiedBy>
  <cp:revision>2</cp:revision>
  <dcterms:created xsi:type="dcterms:W3CDTF">2012-12-19T18:06:00Z</dcterms:created>
  <dcterms:modified xsi:type="dcterms:W3CDTF">2012-12-19T18:06:00Z</dcterms:modified>
</cp:coreProperties>
</file>