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87" w:rsidRPr="00636652" w:rsidRDefault="00DF7F87" w:rsidP="00A712C0">
      <w:pPr>
        <w:pStyle w:val="NoSpacing"/>
        <w:rPr>
          <w:rFonts w:cs="Arial"/>
          <w:sz w:val="36"/>
          <w:szCs w:val="36"/>
        </w:rPr>
      </w:pPr>
      <w:r w:rsidRPr="00636652">
        <w:rPr>
          <w:rFonts w:cs="Arial"/>
          <w:b/>
          <w:sz w:val="36"/>
          <w:szCs w:val="36"/>
        </w:rPr>
        <w:t xml:space="preserve">Proposed changes to the newly qualified teacher induction regulations for </w:t>
      </w:r>
      <w:smartTag w:uri="urn:schemas-microsoft-com:office:smarttags" w:element="PlaceType">
        <w:smartTag w:uri="urn:schemas-microsoft-com:office:smarttags" w:element="place">
          <w:smartTag w:uri="urn:schemas-microsoft-com:office:smarttags" w:element="country-region">
            <w:r w:rsidRPr="00636652">
              <w:rPr>
                <w:rFonts w:cs="Arial"/>
                <w:b/>
                <w:sz w:val="36"/>
                <w:szCs w:val="36"/>
              </w:rPr>
              <w:t>England</w:t>
            </w:r>
          </w:smartTag>
        </w:smartTag>
      </w:smartTag>
      <w:r w:rsidRPr="00636652">
        <w:rPr>
          <w:rFonts w:cs="Arial"/>
          <w:b/>
          <w:sz w:val="36"/>
          <w:szCs w:val="36"/>
        </w:rPr>
        <w:t xml:space="preserve"> consultation</w:t>
      </w:r>
    </w:p>
    <w:p w:rsidR="00DF7F87" w:rsidRDefault="00DF7F87" w:rsidP="00A712C0">
      <w:pPr>
        <w:pStyle w:val="NoSpacing"/>
        <w:rPr>
          <w:rFonts w:cs="Arial"/>
          <w:szCs w:val="24"/>
        </w:rPr>
      </w:pPr>
    </w:p>
    <w:p w:rsidR="00DF7F87" w:rsidRDefault="00DF7F87" w:rsidP="00A712C0">
      <w:pPr>
        <w:pStyle w:val="NoSpacing"/>
        <w:rPr>
          <w:rFonts w:cs="Arial"/>
          <w:szCs w:val="24"/>
        </w:rPr>
      </w:pPr>
    </w:p>
    <w:p w:rsidR="00DF7F87" w:rsidRDefault="00DF7F87" w:rsidP="00A712C0">
      <w:pPr>
        <w:pStyle w:val="NoSpacing"/>
        <w:rPr>
          <w:rFonts w:cs="Arial"/>
          <w:b/>
          <w:szCs w:val="24"/>
        </w:rPr>
      </w:pPr>
      <w:r>
        <w:rPr>
          <w:rFonts w:cs="Arial"/>
          <w:b/>
          <w:szCs w:val="24"/>
        </w:rPr>
        <w:t>Analysis of responses to the consultation document</w:t>
      </w:r>
    </w:p>
    <w:p w:rsidR="00DF7F87" w:rsidRDefault="00DF7F87" w:rsidP="00A712C0">
      <w:pPr>
        <w:pStyle w:val="NoSpacing"/>
        <w:rPr>
          <w:rFonts w:cs="Arial"/>
          <w:b/>
          <w:szCs w:val="24"/>
        </w:rPr>
      </w:pPr>
    </w:p>
    <w:p w:rsidR="00DF7F87" w:rsidRPr="00C741D5" w:rsidRDefault="00DF7F87" w:rsidP="00A712C0">
      <w:pPr>
        <w:pStyle w:val="NoSpacing"/>
        <w:rPr>
          <w:rFonts w:cs="Arial"/>
          <w:b/>
          <w:szCs w:val="24"/>
        </w:rPr>
      </w:pPr>
      <w:r w:rsidRPr="00C741D5">
        <w:rPr>
          <w:rFonts w:cs="Arial"/>
          <w:b/>
          <w:szCs w:val="24"/>
        </w:rPr>
        <w:t>Introduction</w:t>
      </w:r>
    </w:p>
    <w:p w:rsidR="00DF7F87" w:rsidRPr="00C741D5" w:rsidRDefault="00DF7F87" w:rsidP="00A712C0">
      <w:pPr>
        <w:pStyle w:val="NoSpacing"/>
        <w:rPr>
          <w:rFonts w:cs="Arial"/>
          <w:szCs w:val="24"/>
        </w:rPr>
      </w:pPr>
    </w:p>
    <w:p w:rsidR="00DF7F87" w:rsidRPr="00744B49" w:rsidRDefault="00DF7F87" w:rsidP="00A712C0">
      <w:pPr>
        <w:pStyle w:val="NoSpacing"/>
        <w:numPr>
          <w:ilvl w:val="0"/>
          <w:numId w:val="14"/>
        </w:numPr>
        <w:ind w:left="357" w:hanging="357"/>
        <w:rPr>
          <w:rFonts w:cs="Arial"/>
          <w:szCs w:val="24"/>
        </w:rPr>
      </w:pPr>
      <w:r w:rsidRPr="00744B49">
        <w:rPr>
          <w:szCs w:val="24"/>
        </w:rPr>
        <w:t>This report has been based on 157 responses to the consultation. The organisational breakdown of respondents was as follows:</w:t>
      </w:r>
    </w:p>
    <w:p w:rsidR="00DF7F87" w:rsidRPr="00744B49" w:rsidRDefault="00DF7F87" w:rsidP="00A712C0">
      <w:pPr>
        <w:pStyle w:val="NoSpacing"/>
        <w:ind w:left="357"/>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8"/>
        <w:gridCol w:w="979"/>
        <w:gridCol w:w="830"/>
      </w:tblGrid>
      <w:tr w:rsidR="00DF7F87" w:rsidRPr="00744B49" w:rsidTr="00A712C0">
        <w:tc>
          <w:tcPr>
            <w:tcW w:w="3658" w:type="dxa"/>
          </w:tcPr>
          <w:p w:rsidR="00DF7F87" w:rsidRPr="003D105C" w:rsidRDefault="00DF7F87" w:rsidP="00A712C0">
            <w:pPr>
              <w:pStyle w:val="NoSpacing"/>
              <w:ind w:left="720"/>
              <w:rPr>
                <w:rFonts w:cs="Arial"/>
                <w:b/>
                <w:szCs w:val="24"/>
              </w:rPr>
            </w:pPr>
            <w:r w:rsidRPr="003D105C">
              <w:rPr>
                <w:rFonts w:cs="Arial"/>
                <w:b/>
                <w:szCs w:val="24"/>
              </w:rPr>
              <w:t>Respondent type</w:t>
            </w:r>
          </w:p>
        </w:tc>
        <w:tc>
          <w:tcPr>
            <w:tcW w:w="1497" w:type="dxa"/>
            <w:gridSpan w:val="2"/>
          </w:tcPr>
          <w:p w:rsidR="00DF7F87" w:rsidRPr="003D105C" w:rsidRDefault="00DF7F87" w:rsidP="00A712C0">
            <w:pPr>
              <w:pStyle w:val="NoSpacing"/>
              <w:jc w:val="center"/>
              <w:rPr>
                <w:rFonts w:cs="Arial"/>
                <w:b/>
                <w:szCs w:val="24"/>
              </w:rPr>
            </w:pPr>
            <w:r w:rsidRPr="003D105C">
              <w:rPr>
                <w:rFonts w:cs="Arial"/>
                <w:b/>
                <w:szCs w:val="24"/>
              </w:rPr>
              <w:t>Responses</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Local Authority</w:t>
            </w:r>
          </w:p>
        </w:tc>
        <w:tc>
          <w:tcPr>
            <w:tcW w:w="979" w:type="dxa"/>
          </w:tcPr>
          <w:p w:rsidR="00DF7F87" w:rsidRPr="003D105C" w:rsidRDefault="00DF7F87" w:rsidP="00A712C0">
            <w:pPr>
              <w:pStyle w:val="NoSpacing"/>
              <w:jc w:val="center"/>
              <w:rPr>
                <w:rFonts w:cs="Arial"/>
                <w:szCs w:val="24"/>
              </w:rPr>
            </w:pPr>
            <w:r w:rsidRPr="003D105C">
              <w:rPr>
                <w:rFonts w:cs="Arial"/>
                <w:szCs w:val="24"/>
              </w:rPr>
              <w:t>49</w:t>
            </w:r>
          </w:p>
        </w:tc>
        <w:tc>
          <w:tcPr>
            <w:tcW w:w="518" w:type="dxa"/>
          </w:tcPr>
          <w:p w:rsidR="00DF7F87" w:rsidRPr="003D105C" w:rsidRDefault="00DF7F87" w:rsidP="00A712C0">
            <w:pPr>
              <w:pStyle w:val="NoSpacing"/>
              <w:jc w:val="center"/>
              <w:rPr>
                <w:rFonts w:cs="Arial"/>
                <w:szCs w:val="24"/>
              </w:rPr>
            </w:pPr>
            <w:r w:rsidRPr="003D105C">
              <w:rPr>
                <w:rFonts w:cs="Arial"/>
                <w:szCs w:val="24"/>
              </w:rPr>
              <w:t>31%</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Teacher</w:t>
            </w:r>
          </w:p>
        </w:tc>
        <w:tc>
          <w:tcPr>
            <w:tcW w:w="979" w:type="dxa"/>
          </w:tcPr>
          <w:p w:rsidR="00DF7F87" w:rsidRPr="003D105C" w:rsidRDefault="00DF7F87" w:rsidP="00A712C0">
            <w:pPr>
              <w:pStyle w:val="NoSpacing"/>
              <w:jc w:val="center"/>
              <w:rPr>
                <w:rFonts w:cs="Arial"/>
                <w:szCs w:val="24"/>
              </w:rPr>
            </w:pPr>
            <w:r w:rsidRPr="003D105C">
              <w:rPr>
                <w:rFonts w:cs="Arial"/>
                <w:szCs w:val="24"/>
              </w:rPr>
              <w:t>36</w:t>
            </w:r>
          </w:p>
        </w:tc>
        <w:tc>
          <w:tcPr>
            <w:tcW w:w="518" w:type="dxa"/>
          </w:tcPr>
          <w:p w:rsidR="00DF7F87" w:rsidRPr="003D105C" w:rsidRDefault="00DF7F87" w:rsidP="00A712C0">
            <w:pPr>
              <w:pStyle w:val="NoSpacing"/>
              <w:jc w:val="center"/>
              <w:rPr>
                <w:rFonts w:cs="Arial"/>
                <w:szCs w:val="24"/>
              </w:rPr>
            </w:pPr>
            <w:r w:rsidRPr="003D105C">
              <w:rPr>
                <w:rFonts w:cs="Arial"/>
                <w:szCs w:val="24"/>
              </w:rPr>
              <w:t>23%</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Head teacher/Principal</w:t>
            </w:r>
          </w:p>
        </w:tc>
        <w:tc>
          <w:tcPr>
            <w:tcW w:w="979" w:type="dxa"/>
          </w:tcPr>
          <w:p w:rsidR="00DF7F87" w:rsidRPr="003D105C" w:rsidRDefault="00DF7F87" w:rsidP="00A712C0">
            <w:pPr>
              <w:pStyle w:val="NoSpacing"/>
              <w:jc w:val="center"/>
              <w:rPr>
                <w:rFonts w:cs="Arial"/>
                <w:szCs w:val="24"/>
              </w:rPr>
            </w:pPr>
            <w:r w:rsidRPr="003D105C">
              <w:rPr>
                <w:rFonts w:cs="Arial"/>
                <w:szCs w:val="24"/>
              </w:rPr>
              <w:t>31</w:t>
            </w:r>
          </w:p>
        </w:tc>
        <w:tc>
          <w:tcPr>
            <w:tcW w:w="518" w:type="dxa"/>
          </w:tcPr>
          <w:p w:rsidR="00DF7F87" w:rsidRPr="003D105C" w:rsidRDefault="00DF7F87" w:rsidP="00A712C0">
            <w:pPr>
              <w:pStyle w:val="NoSpacing"/>
              <w:jc w:val="center"/>
              <w:rPr>
                <w:rFonts w:cs="Arial"/>
                <w:szCs w:val="24"/>
              </w:rPr>
            </w:pPr>
            <w:r w:rsidRPr="003D105C">
              <w:rPr>
                <w:rFonts w:cs="Arial"/>
                <w:szCs w:val="24"/>
              </w:rPr>
              <w:t>20%</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Governor/Chair of Governors</w:t>
            </w:r>
          </w:p>
        </w:tc>
        <w:tc>
          <w:tcPr>
            <w:tcW w:w="979" w:type="dxa"/>
          </w:tcPr>
          <w:p w:rsidR="00DF7F87" w:rsidRPr="003D105C" w:rsidRDefault="00DF7F87" w:rsidP="00A712C0">
            <w:pPr>
              <w:pStyle w:val="NoSpacing"/>
              <w:jc w:val="center"/>
              <w:rPr>
                <w:rFonts w:cs="Arial"/>
                <w:szCs w:val="24"/>
              </w:rPr>
            </w:pPr>
            <w:r w:rsidRPr="003D105C">
              <w:rPr>
                <w:rFonts w:cs="Arial"/>
                <w:szCs w:val="24"/>
              </w:rPr>
              <w:t>29</w:t>
            </w:r>
          </w:p>
        </w:tc>
        <w:tc>
          <w:tcPr>
            <w:tcW w:w="518" w:type="dxa"/>
          </w:tcPr>
          <w:p w:rsidR="00DF7F87" w:rsidRPr="003D105C" w:rsidRDefault="00DF7F87" w:rsidP="00A712C0">
            <w:pPr>
              <w:pStyle w:val="NoSpacing"/>
              <w:jc w:val="center"/>
              <w:rPr>
                <w:rFonts w:cs="Arial"/>
                <w:szCs w:val="24"/>
              </w:rPr>
            </w:pPr>
            <w:r w:rsidRPr="003D105C">
              <w:rPr>
                <w:rFonts w:cs="Arial"/>
                <w:szCs w:val="24"/>
              </w:rPr>
              <w:t>18%</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Union/Professional Association</w:t>
            </w:r>
          </w:p>
        </w:tc>
        <w:tc>
          <w:tcPr>
            <w:tcW w:w="979" w:type="dxa"/>
          </w:tcPr>
          <w:p w:rsidR="00DF7F87" w:rsidRPr="003D105C" w:rsidRDefault="00DF7F87" w:rsidP="00A712C0">
            <w:pPr>
              <w:pStyle w:val="NoSpacing"/>
              <w:jc w:val="center"/>
              <w:rPr>
                <w:rFonts w:cs="Arial"/>
                <w:szCs w:val="24"/>
              </w:rPr>
            </w:pPr>
            <w:r w:rsidRPr="003D105C">
              <w:rPr>
                <w:rFonts w:cs="Arial"/>
                <w:szCs w:val="24"/>
              </w:rPr>
              <w:t>5</w:t>
            </w:r>
          </w:p>
        </w:tc>
        <w:tc>
          <w:tcPr>
            <w:tcW w:w="518" w:type="dxa"/>
          </w:tcPr>
          <w:p w:rsidR="00DF7F87" w:rsidRPr="003D105C" w:rsidRDefault="00DF7F87" w:rsidP="00A712C0">
            <w:pPr>
              <w:pStyle w:val="NoSpacing"/>
              <w:jc w:val="center"/>
              <w:rPr>
                <w:rFonts w:cs="Arial"/>
                <w:szCs w:val="24"/>
              </w:rPr>
            </w:pPr>
            <w:r w:rsidRPr="003D105C">
              <w:rPr>
                <w:rFonts w:cs="Arial"/>
                <w:szCs w:val="24"/>
              </w:rPr>
              <w:t>3%</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Parent/Carer</w:t>
            </w:r>
          </w:p>
        </w:tc>
        <w:tc>
          <w:tcPr>
            <w:tcW w:w="979" w:type="dxa"/>
          </w:tcPr>
          <w:p w:rsidR="00DF7F87" w:rsidRPr="003D105C" w:rsidRDefault="00DF7F87" w:rsidP="00A712C0">
            <w:pPr>
              <w:pStyle w:val="NoSpacing"/>
              <w:jc w:val="center"/>
              <w:rPr>
                <w:rFonts w:cs="Arial"/>
                <w:szCs w:val="24"/>
              </w:rPr>
            </w:pPr>
            <w:r w:rsidRPr="003D105C">
              <w:rPr>
                <w:rFonts w:cs="Arial"/>
                <w:szCs w:val="24"/>
              </w:rPr>
              <w:t>4</w:t>
            </w:r>
          </w:p>
        </w:tc>
        <w:tc>
          <w:tcPr>
            <w:tcW w:w="518" w:type="dxa"/>
          </w:tcPr>
          <w:p w:rsidR="00DF7F87" w:rsidRPr="003D105C" w:rsidRDefault="00DF7F87" w:rsidP="00A712C0">
            <w:pPr>
              <w:pStyle w:val="NoSpacing"/>
              <w:jc w:val="center"/>
              <w:rPr>
                <w:rFonts w:cs="Arial"/>
                <w:szCs w:val="24"/>
              </w:rPr>
            </w:pPr>
            <w:r w:rsidRPr="003D105C">
              <w:rPr>
                <w:rFonts w:cs="Arial"/>
                <w:szCs w:val="24"/>
              </w:rPr>
              <w:t>3%</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Overseas School/Organisation</w:t>
            </w:r>
          </w:p>
        </w:tc>
        <w:tc>
          <w:tcPr>
            <w:tcW w:w="979" w:type="dxa"/>
          </w:tcPr>
          <w:p w:rsidR="00DF7F87" w:rsidRPr="003D105C" w:rsidRDefault="00DF7F87" w:rsidP="00A712C0">
            <w:pPr>
              <w:pStyle w:val="NoSpacing"/>
              <w:jc w:val="center"/>
              <w:rPr>
                <w:rFonts w:cs="Arial"/>
                <w:szCs w:val="24"/>
              </w:rPr>
            </w:pPr>
            <w:r w:rsidRPr="003D105C">
              <w:rPr>
                <w:rFonts w:cs="Arial"/>
                <w:szCs w:val="24"/>
              </w:rPr>
              <w:t>2</w:t>
            </w:r>
          </w:p>
        </w:tc>
        <w:tc>
          <w:tcPr>
            <w:tcW w:w="518" w:type="dxa"/>
          </w:tcPr>
          <w:p w:rsidR="00DF7F87" w:rsidRPr="003D105C" w:rsidRDefault="00DF7F87" w:rsidP="00A712C0">
            <w:pPr>
              <w:pStyle w:val="NoSpacing"/>
              <w:jc w:val="center"/>
              <w:rPr>
                <w:rFonts w:cs="Arial"/>
                <w:szCs w:val="24"/>
              </w:rPr>
            </w:pPr>
            <w:r w:rsidRPr="003D105C">
              <w:rPr>
                <w:rFonts w:cs="Arial"/>
                <w:szCs w:val="24"/>
              </w:rPr>
              <w:t>1%</w:t>
            </w:r>
          </w:p>
        </w:tc>
      </w:tr>
      <w:tr w:rsidR="00DF7F87" w:rsidRPr="00744B49" w:rsidTr="00A712C0">
        <w:tc>
          <w:tcPr>
            <w:tcW w:w="3658" w:type="dxa"/>
          </w:tcPr>
          <w:p w:rsidR="00DF7F87" w:rsidRPr="003D105C" w:rsidRDefault="00DF7F87" w:rsidP="00A712C0">
            <w:pPr>
              <w:pStyle w:val="NoSpacing"/>
              <w:rPr>
                <w:rFonts w:cs="Arial"/>
                <w:szCs w:val="24"/>
              </w:rPr>
            </w:pPr>
            <w:r w:rsidRPr="003D105C">
              <w:rPr>
                <w:rFonts w:cs="Arial"/>
                <w:szCs w:val="24"/>
              </w:rPr>
              <w:t>Other</w:t>
            </w:r>
          </w:p>
        </w:tc>
        <w:tc>
          <w:tcPr>
            <w:tcW w:w="979" w:type="dxa"/>
          </w:tcPr>
          <w:p w:rsidR="00DF7F87" w:rsidRPr="003D105C" w:rsidRDefault="00DF7F87" w:rsidP="00A712C0">
            <w:pPr>
              <w:pStyle w:val="NoSpacing"/>
              <w:jc w:val="center"/>
              <w:rPr>
                <w:rFonts w:cs="Arial"/>
                <w:szCs w:val="24"/>
              </w:rPr>
            </w:pPr>
            <w:r w:rsidRPr="003D105C">
              <w:rPr>
                <w:rFonts w:cs="Arial"/>
                <w:szCs w:val="24"/>
              </w:rPr>
              <w:t>1</w:t>
            </w:r>
          </w:p>
        </w:tc>
        <w:tc>
          <w:tcPr>
            <w:tcW w:w="518" w:type="dxa"/>
          </w:tcPr>
          <w:p w:rsidR="00DF7F87" w:rsidRPr="003D105C" w:rsidRDefault="00DF7F87" w:rsidP="00A712C0">
            <w:pPr>
              <w:pStyle w:val="NoSpacing"/>
              <w:jc w:val="center"/>
              <w:rPr>
                <w:rFonts w:cs="Arial"/>
                <w:szCs w:val="24"/>
              </w:rPr>
            </w:pPr>
            <w:r w:rsidRPr="003D105C">
              <w:rPr>
                <w:rFonts w:cs="Arial"/>
                <w:szCs w:val="24"/>
              </w:rPr>
              <w:t>1%</w:t>
            </w:r>
          </w:p>
        </w:tc>
      </w:tr>
      <w:tr w:rsidR="00DF7F87" w:rsidRPr="00744B49" w:rsidTr="00A712C0">
        <w:tc>
          <w:tcPr>
            <w:tcW w:w="3658" w:type="dxa"/>
          </w:tcPr>
          <w:p w:rsidR="00DF7F87" w:rsidRPr="003D105C" w:rsidRDefault="00DF7F87" w:rsidP="00A712C0">
            <w:pPr>
              <w:pStyle w:val="NoSpacing"/>
              <w:rPr>
                <w:rFonts w:cs="Arial"/>
                <w:b/>
                <w:szCs w:val="24"/>
              </w:rPr>
            </w:pPr>
            <w:r w:rsidRPr="003D105C">
              <w:rPr>
                <w:rFonts w:cs="Arial"/>
                <w:b/>
                <w:szCs w:val="24"/>
              </w:rPr>
              <w:t>Total</w:t>
            </w:r>
          </w:p>
        </w:tc>
        <w:tc>
          <w:tcPr>
            <w:tcW w:w="979" w:type="dxa"/>
          </w:tcPr>
          <w:p w:rsidR="00DF7F87" w:rsidRPr="003D105C" w:rsidRDefault="00DF7F87" w:rsidP="00A712C0">
            <w:pPr>
              <w:pStyle w:val="NoSpacing"/>
              <w:jc w:val="center"/>
              <w:rPr>
                <w:rFonts w:cs="Arial"/>
                <w:szCs w:val="24"/>
              </w:rPr>
            </w:pPr>
            <w:r w:rsidRPr="003D105C">
              <w:rPr>
                <w:rFonts w:cs="Arial"/>
                <w:szCs w:val="24"/>
              </w:rPr>
              <w:t>157</w:t>
            </w:r>
          </w:p>
        </w:tc>
        <w:tc>
          <w:tcPr>
            <w:tcW w:w="518" w:type="dxa"/>
          </w:tcPr>
          <w:p w:rsidR="00DF7F87" w:rsidRPr="003D105C" w:rsidRDefault="00DF7F87" w:rsidP="00A712C0">
            <w:pPr>
              <w:pStyle w:val="NoSpacing"/>
              <w:jc w:val="center"/>
              <w:rPr>
                <w:rFonts w:cs="Arial"/>
                <w:szCs w:val="24"/>
              </w:rPr>
            </w:pPr>
            <w:r w:rsidRPr="003D105C">
              <w:rPr>
                <w:rFonts w:cs="Arial"/>
                <w:szCs w:val="24"/>
              </w:rPr>
              <w:t>100%</w:t>
            </w:r>
          </w:p>
        </w:tc>
      </w:tr>
    </w:tbl>
    <w:p w:rsidR="00DF7F87" w:rsidRPr="00744B49" w:rsidRDefault="00DF7F87" w:rsidP="00A712C0">
      <w:pPr>
        <w:pStyle w:val="NoSpacing"/>
        <w:ind w:left="357"/>
        <w:rPr>
          <w:rFonts w:cs="Arial"/>
          <w:szCs w:val="24"/>
        </w:rPr>
      </w:pPr>
    </w:p>
    <w:p w:rsidR="00DF7F87" w:rsidRDefault="00DF7F87" w:rsidP="00A712C0">
      <w:pPr>
        <w:pStyle w:val="NoSpacing"/>
        <w:ind w:left="357"/>
        <w:rPr>
          <w:szCs w:val="24"/>
        </w:rPr>
      </w:pPr>
      <w:r w:rsidRPr="00744B49">
        <w:rPr>
          <w:szCs w:val="24"/>
        </w:rPr>
        <w:t>The Annex lists all respondents to the consultation, excluding those who expressed a wish for confidentiality.</w:t>
      </w:r>
    </w:p>
    <w:p w:rsidR="00DF7F87" w:rsidRDefault="00DF7F87" w:rsidP="00A712C0">
      <w:pPr>
        <w:pStyle w:val="NoSpacing"/>
        <w:ind w:left="357"/>
        <w:rPr>
          <w:szCs w:val="24"/>
        </w:rPr>
      </w:pPr>
    </w:p>
    <w:p w:rsidR="00DF7F87" w:rsidRPr="00067988" w:rsidRDefault="00DF7F87" w:rsidP="00A712C0">
      <w:pPr>
        <w:pStyle w:val="NoSpacing"/>
        <w:numPr>
          <w:ilvl w:val="0"/>
          <w:numId w:val="14"/>
        </w:numPr>
        <w:rPr>
          <w:rFonts w:cs="Arial"/>
          <w:szCs w:val="24"/>
        </w:rPr>
      </w:pPr>
      <w:r w:rsidRPr="00744B49">
        <w:rPr>
          <w:rFonts w:cs="Arial"/>
          <w:szCs w:val="24"/>
        </w:rPr>
        <w:t>This report</w:t>
      </w:r>
      <w:r w:rsidRPr="0054590B">
        <w:rPr>
          <w:rFonts w:cs="Arial"/>
          <w:szCs w:val="24"/>
        </w:rPr>
        <w:t xml:space="preserve"> summarises responses to the consultation document which provides details of the proposed changes to the newly qualified teacher (NQT) induction regulations for </w:t>
      </w:r>
      <w:smartTag w:uri="urn:schemas-microsoft-com:office:smarttags" w:element="PlaceType">
        <w:smartTag w:uri="urn:schemas-microsoft-com:office:smarttags" w:element="place">
          <w:smartTag w:uri="urn:schemas-microsoft-com:office:smarttags" w:element="country-region">
            <w:r w:rsidRPr="0054590B">
              <w:rPr>
                <w:rFonts w:cs="Arial"/>
                <w:szCs w:val="24"/>
              </w:rPr>
              <w:t>England</w:t>
            </w:r>
          </w:smartTag>
        </w:smartTag>
      </w:smartTag>
      <w:r w:rsidRPr="0054590B">
        <w:rPr>
          <w:rFonts w:cs="Arial"/>
          <w:szCs w:val="24"/>
        </w:rPr>
        <w:t xml:space="preserve">. </w:t>
      </w:r>
      <w:r>
        <w:rPr>
          <w:rFonts w:cs="Arial"/>
          <w:szCs w:val="24"/>
        </w:rPr>
        <w:t>The overview section gives details of those proposals which received support, and those which were less favoured, along with a synopsis of responses from unions and other key stakeholders. The summary section examines responses in more detail, and Annex A gives a statistical breakdown of responses to each question.</w:t>
      </w:r>
    </w:p>
    <w:p w:rsidR="00DF7F87" w:rsidRDefault="00DF7F87" w:rsidP="00A712C0">
      <w:pPr>
        <w:pStyle w:val="NoSpacing"/>
        <w:ind w:left="360"/>
        <w:rPr>
          <w:rFonts w:cs="Arial"/>
          <w:szCs w:val="24"/>
        </w:rPr>
      </w:pPr>
    </w:p>
    <w:p w:rsidR="00DF7F87" w:rsidRPr="00744B49" w:rsidRDefault="00DF7F87" w:rsidP="00A712C0">
      <w:pPr>
        <w:pStyle w:val="NoSpacing"/>
        <w:rPr>
          <w:rFonts w:cs="Arial"/>
          <w:b/>
          <w:szCs w:val="24"/>
        </w:rPr>
      </w:pPr>
      <w:r w:rsidRPr="00744B49">
        <w:rPr>
          <w:rFonts w:cs="Arial"/>
          <w:b/>
          <w:szCs w:val="24"/>
        </w:rPr>
        <w:t>Overview</w:t>
      </w:r>
    </w:p>
    <w:p w:rsidR="00DF7F87" w:rsidRPr="00067988" w:rsidRDefault="00DF7F87" w:rsidP="00A712C0">
      <w:pPr>
        <w:pStyle w:val="NoSpacing"/>
        <w:ind w:left="360"/>
        <w:rPr>
          <w:rFonts w:cs="Arial"/>
          <w:szCs w:val="24"/>
        </w:rPr>
      </w:pPr>
    </w:p>
    <w:p w:rsidR="00DF7F87" w:rsidRPr="00067988" w:rsidRDefault="00DF7F87" w:rsidP="00A712C0">
      <w:pPr>
        <w:pStyle w:val="NoSpacing"/>
        <w:numPr>
          <w:ilvl w:val="0"/>
          <w:numId w:val="14"/>
        </w:numPr>
        <w:rPr>
          <w:rFonts w:cs="Arial"/>
          <w:szCs w:val="24"/>
        </w:rPr>
      </w:pPr>
      <w:r w:rsidRPr="00067988">
        <w:rPr>
          <w:rFonts w:cs="Arial"/>
          <w:szCs w:val="24"/>
        </w:rPr>
        <w:t>Of the 14 proposals put forward in the consultation document, 10 were accepted by all main groups of respondents (</w:t>
      </w:r>
      <w:r>
        <w:rPr>
          <w:rFonts w:cs="Arial"/>
          <w:szCs w:val="24"/>
        </w:rPr>
        <w:t>head teacher</w:t>
      </w:r>
      <w:r w:rsidRPr="00067988">
        <w:rPr>
          <w:rFonts w:cs="Arial"/>
          <w:szCs w:val="24"/>
        </w:rPr>
        <w:t xml:space="preserve">s/principals, teachers, LAs and others). There was particularly strong support </w:t>
      </w:r>
      <w:r>
        <w:rPr>
          <w:rFonts w:cs="Arial"/>
          <w:szCs w:val="24"/>
        </w:rPr>
        <w:t xml:space="preserve">for: </w:t>
      </w:r>
      <w:r w:rsidRPr="00067988">
        <w:rPr>
          <w:rFonts w:cs="Arial"/>
          <w:szCs w:val="24"/>
        </w:rPr>
        <w:t>retaining the requirement that NQTs have no mor</w:t>
      </w:r>
      <w:r>
        <w:rPr>
          <w:rFonts w:cs="Arial"/>
          <w:szCs w:val="24"/>
        </w:rPr>
        <w:t xml:space="preserve">e than a 90% teaching timetable (this is currently in the School Teachers’ Pay and Conditions Document (STPCD)); </w:t>
      </w:r>
      <w:r w:rsidRPr="00067988">
        <w:rPr>
          <w:rFonts w:cs="Arial"/>
          <w:szCs w:val="24"/>
        </w:rPr>
        <w:t>appropriate bodies being able to use their discretion to decide that induction has been completed where data reco</w:t>
      </w:r>
      <w:r>
        <w:rPr>
          <w:rFonts w:cs="Arial"/>
          <w:szCs w:val="24"/>
        </w:rPr>
        <w:t xml:space="preserve">rds are incomplete or incorrect; and </w:t>
      </w:r>
      <w:r w:rsidRPr="00067988">
        <w:rPr>
          <w:rFonts w:cs="Arial"/>
          <w:szCs w:val="24"/>
        </w:rPr>
        <w:t>the decision about where induction can be served being based on whether the setting is able to meet the required conditions.</w:t>
      </w:r>
    </w:p>
    <w:p w:rsidR="00DF7F87" w:rsidRPr="00067988" w:rsidRDefault="00DF7F87" w:rsidP="00A712C0">
      <w:pPr>
        <w:pStyle w:val="NoSpacing"/>
        <w:ind w:left="360"/>
        <w:rPr>
          <w:rFonts w:cs="Arial"/>
          <w:szCs w:val="24"/>
        </w:rPr>
      </w:pPr>
    </w:p>
    <w:p w:rsidR="00DF7F87" w:rsidRDefault="00DF7F87" w:rsidP="00A712C0">
      <w:pPr>
        <w:pStyle w:val="NoSpacing"/>
        <w:numPr>
          <w:ilvl w:val="0"/>
          <w:numId w:val="14"/>
        </w:numPr>
        <w:rPr>
          <w:rFonts w:cs="Arial"/>
          <w:szCs w:val="24"/>
        </w:rPr>
      </w:pPr>
      <w:r w:rsidRPr="00067988">
        <w:rPr>
          <w:rFonts w:cs="Arial"/>
          <w:szCs w:val="24"/>
        </w:rPr>
        <w:t>There was less strong support for the proposals</w:t>
      </w:r>
      <w:r>
        <w:rPr>
          <w:rFonts w:cs="Arial"/>
          <w:szCs w:val="24"/>
        </w:rPr>
        <w:t xml:space="preserve"> that: a new appropriate body for A</w:t>
      </w:r>
      <w:r w:rsidRPr="00067988">
        <w:rPr>
          <w:rFonts w:cs="Arial"/>
          <w:szCs w:val="24"/>
        </w:rPr>
        <w:t xml:space="preserve">cademies and </w:t>
      </w:r>
      <w:r>
        <w:rPr>
          <w:rFonts w:cs="Arial"/>
          <w:szCs w:val="24"/>
        </w:rPr>
        <w:t>Free Schools should be established; Teaching S</w:t>
      </w:r>
      <w:r w:rsidRPr="00067988">
        <w:rPr>
          <w:rFonts w:cs="Arial"/>
          <w:szCs w:val="24"/>
        </w:rPr>
        <w:t xml:space="preserve">chools should be able to act </w:t>
      </w:r>
      <w:r>
        <w:rPr>
          <w:rFonts w:cs="Arial"/>
          <w:szCs w:val="24"/>
        </w:rPr>
        <w:t xml:space="preserve">in the role of appropriate body; </w:t>
      </w:r>
      <w:r w:rsidRPr="00067988">
        <w:rPr>
          <w:rFonts w:cs="Arial"/>
          <w:szCs w:val="24"/>
        </w:rPr>
        <w:t>NQTs should not have to teach the national curriculum during induc</w:t>
      </w:r>
      <w:r>
        <w:rPr>
          <w:rFonts w:cs="Arial"/>
          <w:szCs w:val="24"/>
        </w:rPr>
        <w:t>tion; and</w:t>
      </w:r>
      <w:r w:rsidRPr="00067988">
        <w:rPr>
          <w:rFonts w:cs="Arial"/>
          <w:szCs w:val="24"/>
        </w:rPr>
        <w:t xml:space="preserve"> appropriate bodies s</w:t>
      </w:r>
      <w:r>
        <w:rPr>
          <w:rFonts w:cs="Arial"/>
          <w:szCs w:val="24"/>
        </w:rPr>
        <w:t>hould be able to charge schools.</w:t>
      </w:r>
    </w:p>
    <w:p w:rsidR="00DF7F87" w:rsidRDefault="00DF7F87" w:rsidP="00A712C0">
      <w:pPr>
        <w:pStyle w:val="NoSpacing"/>
        <w:ind w:left="360"/>
        <w:rPr>
          <w:rFonts w:cs="Arial"/>
          <w:szCs w:val="24"/>
        </w:rPr>
      </w:pPr>
    </w:p>
    <w:p w:rsidR="00DF7F87" w:rsidRPr="00067988" w:rsidRDefault="00DF7F87" w:rsidP="00A712C0">
      <w:pPr>
        <w:pStyle w:val="NoSpacing"/>
        <w:numPr>
          <w:ilvl w:val="0"/>
          <w:numId w:val="14"/>
        </w:numPr>
        <w:rPr>
          <w:rFonts w:cs="Arial"/>
          <w:szCs w:val="24"/>
        </w:rPr>
      </w:pPr>
      <w:r>
        <w:rPr>
          <w:rFonts w:cs="Arial"/>
          <w:szCs w:val="24"/>
        </w:rPr>
        <w:t>Responses from teacher unions and other key stakeholders were more mixed, although the majority of such respondents were in favour of most of the proposals. Main concerns were about proposals that lead to the establishment of more appropriate bodies, and that rather than make changes to regulations, it would be preferable to improve implementation of existing provisions.</w:t>
      </w:r>
    </w:p>
    <w:p w:rsidR="00DF7F87" w:rsidRPr="00067988" w:rsidRDefault="00DF7F87" w:rsidP="00A712C0">
      <w:pPr>
        <w:pStyle w:val="NoSpacing"/>
        <w:ind w:left="360"/>
        <w:rPr>
          <w:rFonts w:cs="Arial"/>
          <w:szCs w:val="24"/>
        </w:rPr>
      </w:pPr>
    </w:p>
    <w:p w:rsidR="00DF7F87" w:rsidRPr="00067988" w:rsidRDefault="00DF7F87" w:rsidP="00A712C0">
      <w:pPr>
        <w:pStyle w:val="NoSpacing"/>
        <w:rPr>
          <w:rFonts w:cs="Arial"/>
          <w:b/>
          <w:szCs w:val="24"/>
        </w:rPr>
      </w:pPr>
      <w:r>
        <w:rPr>
          <w:rFonts w:cs="Arial"/>
          <w:b/>
          <w:szCs w:val="24"/>
        </w:rPr>
        <w:t>Summary</w:t>
      </w:r>
    </w:p>
    <w:p w:rsidR="00DF7F87" w:rsidRPr="00067988" w:rsidRDefault="00DF7F87" w:rsidP="00A712C0">
      <w:pPr>
        <w:pStyle w:val="NoSpacing"/>
        <w:ind w:left="360"/>
        <w:rPr>
          <w:rFonts w:cs="Arial"/>
          <w:szCs w:val="24"/>
        </w:rPr>
      </w:pPr>
    </w:p>
    <w:p w:rsidR="00DF7F87" w:rsidRPr="00067988" w:rsidRDefault="00DF7F87" w:rsidP="00A712C0">
      <w:pPr>
        <w:pStyle w:val="NoSpacing"/>
        <w:numPr>
          <w:ilvl w:val="0"/>
          <w:numId w:val="14"/>
        </w:numPr>
        <w:rPr>
          <w:rFonts w:cs="Arial"/>
          <w:szCs w:val="24"/>
        </w:rPr>
      </w:pPr>
      <w:r w:rsidRPr="00067988">
        <w:rPr>
          <w:rFonts w:cs="Arial"/>
          <w:szCs w:val="24"/>
        </w:rPr>
        <w:t>All main groups of respondents were in favour of proposals that:</w:t>
      </w:r>
    </w:p>
    <w:p w:rsidR="00DF7F87" w:rsidRDefault="00DF7F87" w:rsidP="00A712C0">
      <w:pPr>
        <w:pStyle w:val="NoSpacing"/>
        <w:ind w:left="360"/>
        <w:rPr>
          <w:rFonts w:cs="Arial"/>
          <w:szCs w:val="24"/>
        </w:rPr>
      </w:pPr>
    </w:p>
    <w:p w:rsidR="00DF7F87" w:rsidRPr="00067988" w:rsidRDefault="00DF7F87" w:rsidP="00A712C0">
      <w:pPr>
        <w:pStyle w:val="NoSpacing"/>
        <w:numPr>
          <w:ilvl w:val="0"/>
          <w:numId w:val="10"/>
        </w:numPr>
        <w:rPr>
          <w:rFonts w:cs="Arial"/>
          <w:szCs w:val="24"/>
        </w:rPr>
      </w:pPr>
      <w:r w:rsidRPr="00067988">
        <w:rPr>
          <w:rFonts w:cs="Arial"/>
          <w:szCs w:val="24"/>
        </w:rPr>
        <w:t>Induction can be served in any setting which is able to meet the required conditions (97% of teachers and 84% overall);</w:t>
      </w:r>
    </w:p>
    <w:p w:rsidR="00DF7F87" w:rsidRPr="00067988" w:rsidRDefault="00DF7F87" w:rsidP="00A712C0">
      <w:pPr>
        <w:pStyle w:val="NoSpacing"/>
        <w:numPr>
          <w:ilvl w:val="0"/>
          <w:numId w:val="10"/>
        </w:numPr>
        <w:rPr>
          <w:rFonts w:cs="Arial"/>
          <w:szCs w:val="24"/>
        </w:rPr>
      </w:pPr>
      <w:r w:rsidRPr="00067988">
        <w:rPr>
          <w:rFonts w:cs="Arial"/>
          <w:szCs w:val="24"/>
        </w:rPr>
        <w:t xml:space="preserve">Schools should be able to decide which local authority could act as its </w:t>
      </w:r>
      <w:r>
        <w:rPr>
          <w:rFonts w:cs="Arial"/>
          <w:szCs w:val="24"/>
        </w:rPr>
        <w:t>appropriate body</w:t>
      </w:r>
      <w:r w:rsidRPr="00067988">
        <w:rPr>
          <w:rFonts w:cs="Arial"/>
          <w:szCs w:val="24"/>
        </w:rPr>
        <w:t xml:space="preserve"> (65% overall);</w:t>
      </w:r>
    </w:p>
    <w:p w:rsidR="00DF7F87" w:rsidRPr="00067988" w:rsidRDefault="00DF7F87" w:rsidP="00A712C0">
      <w:pPr>
        <w:pStyle w:val="NoSpacing"/>
        <w:numPr>
          <w:ilvl w:val="0"/>
          <w:numId w:val="10"/>
        </w:numPr>
        <w:rPr>
          <w:rFonts w:cs="Arial"/>
          <w:szCs w:val="24"/>
        </w:rPr>
      </w:pPr>
      <w:r>
        <w:rPr>
          <w:rFonts w:cs="Arial"/>
          <w:szCs w:val="24"/>
        </w:rPr>
        <w:t>Appropriate bodies</w:t>
      </w:r>
      <w:r w:rsidRPr="00067988">
        <w:rPr>
          <w:rFonts w:cs="Arial"/>
          <w:szCs w:val="24"/>
        </w:rPr>
        <w:t xml:space="preserve"> should have discretion to offer a reduced induction period for experienced teachers (71% overall);</w:t>
      </w:r>
    </w:p>
    <w:p w:rsidR="00DF7F87" w:rsidRPr="00067988" w:rsidRDefault="00DF7F87" w:rsidP="00A712C0">
      <w:pPr>
        <w:pStyle w:val="NoSpacing"/>
        <w:numPr>
          <w:ilvl w:val="0"/>
          <w:numId w:val="10"/>
        </w:numPr>
        <w:rPr>
          <w:rFonts w:cs="Arial"/>
          <w:szCs w:val="24"/>
        </w:rPr>
      </w:pPr>
      <w:r>
        <w:rPr>
          <w:rFonts w:cs="Arial"/>
          <w:szCs w:val="24"/>
        </w:rPr>
        <w:t>appropriate bodie</w:t>
      </w:r>
      <w:r w:rsidRPr="00067988">
        <w:rPr>
          <w:rFonts w:cs="Arial"/>
          <w:szCs w:val="24"/>
        </w:rPr>
        <w:t>s should have direction to account for matters such as the date of commencement of induction, the operating day and ad hoc absences (80% overall);</w:t>
      </w:r>
    </w:p>
    <w:p w:rsidR="00DF7F87" w:rsidRPr="00067988" w:rsidRDefault="00DF7F87" w:rsidP="00A712C0">
      <w:pPr>
        <w:pStyle w:val="NoSpacing"/>
        <w:numPr>
          <w:ilvl w:val="0"/>
          <w:numId w:val="10"/>
        </w:numPr>
        <w:rPr>
          <w:rFonts w:cs="Arial"/>
          <w:szCs w:val="24"/>
        </w:rPr>
      </w:pPr>
      <w:r w:rsidRPr="00067988">
        <w:rPr>
          <w:rFonts w:cs="Arial"/>
          <w:szCs w:val="24"/>
        </w:rPr>
        <w:t>The 16-month limit on short-term supply work should be replaced with a maximum 5-year period from the date of achieving QTS before having to undertake induction (68% overall);</w:t>
      </w:r>
    </w:p>
    <w:p w:rsidR="00DF7F87" w:rsidRPr="00067988" w:rsidRDefault="00DF7F87" w:rsidP="00A712C0">
      <w:pPr>
        <w:pStyle w:val="NoSpacing"/>
        <w:numPr>
          <w:ilvl w:val="0"/>
          <w:numId w:val="10"/>
        </w:numPr>
        <w:rPr>
          <w:rFonts w:cs="Arial"/>
          <w:szCs w:val="24"/>
        </w:rPr>
      </w:pPr>
      <w:r>
        <w:rPr>
          <w:rFonts w:cs="Arial"/>
          <w:szCs w:val="24"/>
        </w:rPr>
        <w:t>appropriate bodie</w:t>
      </w:r>
      <w:r w:rsidRPr="00067988">
        <w:rPr>
          <w:rFonts w:cs="Arial"/>
          <w:szCs w:val="24"/>
        </w:rPr>
        <w:t>s should be able to use their discretion to decide that induction has been completed where data records are incomplete or incorrect (86% overall);</w:t>
      </w:r>
    </w:p>
    <w:p w:rsidR="00DF7F87" w:rsidRPr="00067988" w:rsidRDefault="00DF7F87" w:rsidP="00A712C0">
      <w:pPr>
        <w:pStyle w:val="NoSpacing"/>
        <w:numPr>
          <w:ilvl w:val="0"/>
          <w:numId w:val="10"/>
        </w:numPr>
        <w:rPr>
          <w:rFonts w:cs="Arial"/>
          <w:szCs w:val="24"/>
        </w:rPr>
      </w:pPr>
      <w:r w:rsidRPr="00067988">
        <w:rPr>
          <w:rFonts w:cs="Arial"/>
          <w:szCs w:val="24"/>
        </w:rPr>
        <w:t>Head</w:t>
      </w:r>
      <w:r>
        <w:rPr>
          <w:rFonts w:cs="Arial"/>
          <w:szCs w:val="24"/>
        </w:rPr>
        <w:t xml:space="preserve"> </w:t>
      </w:r>
      <w:r w:rsidRPr="00067988">
        <w:rPr>
          <w:rFonts w:cs="Arial"/>
          <w:szCs w:val="24"/>
        </w:rPr>
        <w:t xml:space="preserve">teachers/principals should have the option of recommending an extension to an NQT’s induction period (97% </w:t>
      </w:r>
      <w:r>
        <w:rPr>
          <w:rFonts w:cs="Arial"/>
          <w:szCs w:val="24"/>
        </w:rPr>
        <w:t>head teacher</w:t>
      </w:r>
      <w:r w:rsidRPr="00067988">
        <w:rPr>
          <w:rFonts w:cs="Arial"/>
          <w:szCs w:val="24"/>
        </w:rPr>
        <w:t>s/principals and 82% overall);</w:t>
      </w:r>
    </w:p>
    <w:p w:rsidR="00DF7F87" w:rsidRPr="00067988" w:rsidRDefault="00DF7F87" w:rsidP="00A712C0">
      <w:pPr>
        <w:pStyle w:val="NoSpacing"/>
        <w:numPr>
          <w:ilvl w:val="0"/>
          <w:numId w:val="10"/>
        </w:numPr>
        <w:rPr>
          <w:rFonts w:cs="Arial"/>
          <w:szCs w:val="24"/>
        </w:rPr>
      </w:pPr>
      <w:r w:rsidRPr="00067988">
        <w:rPr>
          <w:rFonts w:cs="Arial"/>
          <w:szCs w:val="24"/>
        </w:rPr>
        <w:t>The requirement for no more than a 90% teaching timetable for NQTs serving induction should be retained (94% of teachers, 100% of LAs and 92% overall);</w:t>
      </w:r>
    </w:p>
    <w:p w:rsidR="00DF7F87" w:rsidRPr="00067988" w:rsidRDefault="00DF7F87" w:rsidP="00A712C0">
      <w:pPr>
        <w:pStyle w:val="NoSpacing"/>
        <w:numPr>
          <w:ilvl w:val="0"/>
          <w:numId w:val="10"/>
        </w:numPr>
        <w:rPr>
          <w:rFonts w:cs="Arial"/>
          <w:szCs w:val="24"/>
        </w:rPr>
      </w:pPr>
      <w:r w:rsidRPr="00067988">
        <w:rPr>
          <w:rFonts w:cs="Arial"/>
          <w:szCs w:val="24"/>
        </w:rPr>
        <w:t>NQTs should continue to be allowed to serve only one induction period (93% of LAs and 81% overall);</w:t>
      </w:r>
      <w:r>
        <w:rPr>
          <w:rFonts w:cs="Arial"/>
          <w:szCs w:val="24"/>
        </w:rPr>
        <w:t xml:space="preserve"> and</w:t>
      </w:r>
    </w:p>
    <w:p w:rsidR="00DF7F87" w:rsidRPr="00067988" w:rsidRDefault="00DF7F87" w:rsidP="00A712C0">
      <w:pPr>
        <w:pStyle w:val="NoSpacing"/>
        <w:numPr>
          <w:ilvl w:val="0"/>
          <w:numId w:val="10"/>
        </w:numPr>
        <w:rPr>
          <w:rFonts w:cs="Arial"/>
          <w:szCs w:val="24"/>
        </w:rPr>
      </w:pPr>
      <w:r w:rsidRPr="00067988">
        <w:rPr>
          <w:rFonts w:cs="Arial"/>
          <w:szCs w:val="24"/>
        </w:rPr>
        <w:t>The facility for teachers who failed probation prior to 1992 to apply to the Secretary of State for consent to carry out specified work should be removed (70% overall).</w:t>
      </w:r>
    </w:p>
    <w:p w:rsidR="00DF7F87" w:rsidRPr="00067988" w:rsidRDefault="00DF7F87" w:rsidP="00A712C0">
      <w:pPr>
        <w:pStyle w:val="NoSpacing"/>
        <w:ind w:left="360"/>
        <w:rPr>
          <w:rFonts w:cs="Arial"/>
          <w:szCs w:val="24"/>
        </w:rPr>
      </w:pPr>
    </w:p>
    <w:p w:rsidR="00DF7F87" w:rsidRPr="00067988" w:rsidRDefault="00DF7F87" w:rsidP="00A712C0">
      <w:pPr>
        <w:pStyle w:val="NoSpacing"/>
        <w:numPr>
          <w:ilvl w:val="0"/>
          <w:numId w:val="14"/>
        </w:numPr>
        <w:rPr>
          <w:rFonts w:cs="Arial"/>
          <w:szCs w:val="24"/>
        </w:rPr>
      </w:pPr>
      <w:r w:rsidRPr="00067988">
        <w:rPr>
          <w:rFonts w:cs="Arial"/>
          <w:szCs w:val="24"/>
        </w:rPr>
        <w:t>There was general</w:t>
      </w:r>
      <w:r>
        <w:rPr>
          <w:rFonts w:cs="Arial"/>
          <w:szCs w:val="24"/>
        </w:rPr>
        <w:t>,</w:t>
      </w:r>
      <w:r w:rsidRPr="00067988">
        <w:rPr>
          <w:rFonts w:cs="Arial"/>
          <w:szCs w:val="24"/>
        </w:rPr>
        <w:t xml:space="preserve"> though not unqualified</w:t>
      </w:r>
      <w:r>
        <w:rPr>
          <w:rFonts w:cs="Arial"/>
          <w:szCs w:val="24"/>
        </w:rPr>
        <w:t>,</w:t>
      </w:r>
      <w:r w:rsidRPr="00067988">
        <w:rPr>
          <w:rFonts w:cs="Arial"/>
          <w:szCs w:val="24"/>
        </w:rPr>
        <w:t xml:space="preserve"> support for the proposal that it is not necessary for teachers to be teaching the national curriculum at the relevant key stage for the pupils they are teaching during their induction. Head</w:t>
      </w:r>
      <w:r>
        <w:rPr>
          <w:rFonts w:cs="Arial"/>
          <w:szCs w:val="24"/>
        </w:rPr>
        <w:t xml:space="preserve"> </w:t>
      </w:r>
      <w:r w:rsidRPr="00067988">
        <w:rPr>
          <w:rFonts w:cs="Arial"/>
          <w:szCs w:val="24"/>
        </w:rPr>
        <w:t>teachers/</w:t>
      </w:r>
      <w:r>
        <w:rPr>
          <w:rFonts w:cs="Arial"/>
          <w:szCs w:val="24"/>
        </w:rPr>
        <w:t xml:space="preserve"> </w:t>
      </w:r>
      <w:r w:rsidRPr="00067988">
        <w:rPr>
          <w:rFonts w:cs="Arial"/>
          <w:szCs w:val="24"/>
        </w:rPr>
        <w:t>principals, LAs and teachers supported the proposal. However, other miscellaneous respondents were marginally against it, with comments expressing concern that its implementation could be detrimental to teachers in independent schools wishing to secure employment in the maintained sector.</w:t>
      </w:r>
      <w:r>
        <w:rPr>
          <w:rFonts w:cs="Arial"/>
          <w:szCs w:val="24"/>
        </w:rPr>
        <w:t xml:space="preserve"> Teacher unions were split in response to this proposal.</w:t>
      </w:r>
    </w:p>
    <w:p w:rsidR="00DF7F87" w:rsidRPr="00067988" w:rsidRDefault="00DF7F87" w:rsidP="00A712C0">
      <w:pPr>
        <w:pStyle w:val="NoSpacing"/>
        <w:ind w:left="360"/>
        <w:rPr>
          <w:rFonts w:cs="Arial"/>
          <w:szCs w:val="24"/>
        </w:rPr>
      </w:pPr>
    </w:p>
    <w:p w:rsidR="00DF7F87" w:rsidRPr="00DC00DA" w:rsidRDefault="00DF7F87" w:rsidP="00A712C0">
      <w:pPr>
        <w:pStyle w:val="NoSpacing"/>
        <w:numPr>
          <w:ilvl w:val="0"/>
          <w:numId w:val="14"/>
        </w:numPr>
        <w:rPr>
          <w:rFonts w:cs="Arial"/>
          <w:szCs w:val="24"/>
        </w:rPr>
      </w:pPr>
      <w:r w:rsidRPr="00DC00DA">
        <w:rPr>
          <w:rFonts w:cs="Arial"/>
          <w:szCs w:val="24"/>
        </w:rPr>
        <w:t xml:space="preserve">LAs strongly opposed (77% against) </w:t>
      </w:r>
      <w:r>
        <w:rPr>
          <w:rFonts w:cs="Arial"/>
          <w:szCs w:val="24"/>
        </w:rPr>
        <w:t>the establishment of an appropriate body for A</w:t>
      </w:r>
      <w:r w:rsidRPr="00DC00DA">
        <w:rPr>
          <w:rFonts w:cs="Arial"/>
          <w:szCs w:val="24"/>
        </w:rPr>
        <w:t xml:space="preserve">cademies and </w:t>
      </w:r>
      <w:smartTag w:uri="urn:schemas-microsoft-com:office:smarttags" w:element="place">
        <w:smartTag w:uri="urn:schemas-microsoft-com:office:smarttags" w:element="PlaceName">
          <w:r>
            <w:rPr>
              <w:rFonts w:cs="Arial"/>
              <w:szCs w:val="24"/>
            </w:rPr>
            <w:t>Free</w:t>
          </w:r>
        </w:smartTag>
        <w:r>
          <w:rPr>
            <w:rFonts w:cs="Arial"/>
            <w:szCs w:val="24"/>
          </w:rPr>
          <w:t xml:space="preserve"> </w:t>
        </w:r>
        <w:smartTag w:uri="urn:schemas-microsoft-com:office:smarttags" w:element="PlaceType">
          <w:r>
            <w:rPr>
              <w:rFonts w:cs="Arial"/>
              <w:szCs w:val="24"/>
            </w:rPr>
            <w:t>School</w:t>
          </w:r>
          <w:r w:rsidRPr="00DC00DA">
            <w:rPr>
              <w:rFonts w:cs="Arial"/>
              <w:szCs w:val="24"/>
            </w:rPr>
            <w:t>s</w:t>
          </w:r>
        </w:smartTag>
      </w:smartTag>
      <w:r w:rsidRPr="00DC00DA">
        <w:rPr>
          <w:rFonts w:cs="Arial"/>
          <w:szCs w:val="24"/>
        </w:rPr>
        <w:t>, with many noting the range of options already available to these schools. Several responses also no</w:t>
      </w:r>
      <w:r>
        <w:rPr>
          <w:rFonts w:cs="Arial"/>
          <w:szCs w:val="24"/>
        </w:rPr>
        <w:t>ted that many A</w:t>
      </w:r>
      <w:r w:rsidRPr="00DC00DA">
        <w:rPr>
          <w:rFonts w:cs="Arial"/>
          <w:szCs w:val="24"/>
        </w:rPr>
        <w:t xml:space="preserve">cademies already enjoy productive relationships with LAs, and that locally available support is valuable to schools of all types. More generally, a number of LAs suggested that any proliferation of </w:t>
      </w:r>
      <w:r>
        <w:rPr>
          <w:rFonts w:cs="Arial"/>
          <w:szCs w:val="24"/>
        </w:rPr>
        <w:t>appropriate bodie</w:t>
      </w:r>
      <w:r w:rsidRPr="00DC00DA">
        <w:rPr>
          <w:rFonts w:cs="Arial"/>
          <w:szCs w:val="24"/>
        </w:rPr>
        <w:t xml:space="preserve">s is likely to lead to greater inconsistency of practice. Teacher unions were similarly opposed, though GTCE and Ofsted supported the proposal. 75% of </w:t>
      </w:r>
      <w:r>
        <w:rPr>
          <w:rFonts w:cs="Arial"/>
          <w:szCs w:val="24"/>
        </w:rPr>
        <w:t>head teacher</w:t>
      </w:r>
      <w:r w:rsidRPr="00DC00DA">
        <w:rPr>
          <w:rFonts w:cs="Arial"/>
          <w:szCs w:val="24"/>
        </w:rPr>
        <w:t xml:space="preserve">s/principals favoured the proposal. </w:t>
      </w:r>
    </w:p>
    <w:p w:rsidR="00DF7F87" w:rsidRPr="00067988" w:rsidRDefault="00DF7F87" w:rsidP="00A712C0">
      <w:pPr>
        <w:pStyle w:val="NoSpacing"/>
        <w:ind w:left="360"/>
        <w:rPr>
          <w:rFonts w:cs="Arial"/>
          <w:szCs w:val="24"/>
        </w:rPr>
      </w:pPr>
    </w:p>
    <w:p w:rsidR="00DF7F87" w:rsidRDefault="00DF7F87" w:rsidP="00A712C0">
      <w:pPr>
        <w:pStyle w:val="NoSpacing"/>
        <w:numPr>
          <w:ilvl w:val="0"/>
          <w:numId w:val="14"/>
        </w:numPr>
        <w:rPr>
          <w:rFonts w:cs="Arial"/>
          <w:szCs w:val="24"/>
        </w:rPr>
      </w:pPr>
      <w:r w:rsidRPr="00D10205">
        <w:rPr>
          <w:rFonts w:cs="Arial"/>
          <w:szCs w:val="24"/>
        </w:rPr>
        <w:t xml:space="preserve">LAs also opposed (61% against) the proposal that </w:t>
      </w:r>
      <w:r>
        <w:rPr>
          <w:rFonts w:cs="Arial"/>
          <w:szCs w:val="24"/>
        </w:rPr>
        <w:t>T</w:t>
      </w:r>
      <w:r w:rsidRPr="00D10205">
        <w:rPr>
          <w:rFonts w:cs="Arial"/>
          <w:szCs w:val="24"/>
        </w:rPr>
        <w:t xml:space="preserve">eaching </w:t>
      </w:r>
      <w:r>
        <w:rPr>
          <w:rFonts w:cs="Arial"/>
          <w:szCs w:val="24"/>
        </w:rPr>
        <w:t>S</w:t>
      </w:r>
      <w:r w:rsidRPr="00D10205">
        <w:rPr>
          <w:rFonts w:cs="Arial"/>
          <w:szCs w:val="24"/>
        </w:rPr>
        <w:t xml:space="preserve">chools </w:t>
      </w:r>
      <w:r>
        <w:rPr>
          <w:rFonts w:cs="Arial"/>
          <w:szCs w:val="24"/>
        </w:rPr>
        <w:t xml:space="preserve">should be able to </w:t>
      </w:r>
      <w:r w:rsidRPr="00D10205">
        <w:rPr>
          <w:rFonts w:cs="Arial"/>
          <w:szCs w:val="24"/>
        </w:rPr>
        <w:t xml:space="preserve">act in the role of </w:t>
      </w:r>
      <w:r>
        <w:rPr>
          <w:rFonts w:cs="Arial"/>
          <w:szCs w:val="24"/>
        </w:rPr>
        <w:t>appropriate body</w:t>
      </w:r>
      <w:r w:rsidRPr="00D10205">
        <w:rPr>
          <w:rFonts w:cs="Arial"/>
          <w:szCs w:val="24"/>
        </w:rPr>
        <w:t>, with several comments suggesting tha</w:t>
      </w:r>
      <w:r>
        <w:rPr>
          <w:rFonts w:cs="Arial"/>
          <w:szCs w:val="24"/>
        </w:rPr>
        <w:t>t it would not be possible for Teaching S</w:t>
      </w:r>
      <w:r w:rsidRPr="00D10205">
        <w:rPr>
          <w:rFonts w:cs="Arial"/>
          <w:szCs w:val="24"/>
        </w:rPr>
        <w:t xml:space="preserve">chools to provide impartial judgements on NQTs; many comments also suggested that LAs are better placed to offer this objective assessment. Further reservations were expressed regarding the potential lack of capacity </w:t>
      </w:r>
      <w:r>
        <w:rPr>
          <w:rFonts w:cs="Arial"/>
          <w:szCs w:val="24"/>
        </w:rPr>
        <w:t>and expertise available within Teaching S</w:t>
      </w:r>
      <w:r w:rsidRPr="00D10205">
        <w:rPr>
          <w:rFonts w:cs="Arial"/>
          <w:szCs w:val="24"/>
        </w:rPr>
        <w:t>chools. Teacher unions, while not universally against the proposal, identified similar concerns to those of LAs</w:t>
      </w:r>
      <w:r>
        <w:rPr>
          <w:rFonts w:cs="Arial"/>
          <w:szCs w:val="24"/>
        </w:rPr>
        <w:t xml:space="preserve">. </w:t>
      </w:r>
      <w:r w:rsidRPr="00D10205">
        <w:rPr>
          <w:rFonts w:cs="Arial"/>
          <w:szCs w:val="24"/>
        </w:rPr>
        <w:t>66% of head</w:t>
      </w:r>
      <w:r>
        <w:rPr>
          <w:rFonts w:cs="Arial"/>
          <w:szCs w:val="24"/>
        </w:rPr>
        <w:t xml:space="preserve"> </w:t>
      </w:r>
      <w:r w:rsidRPr="00D10205">
        <w:rPr>
          <w:rFonts w:cs="Arial"/>
          <w:szCs w:val="24"/>
        </w:rPr>
        <w:t>teachers/</w:t>
      </w:r>
      <w:r>
        <w:rPr>
          <w:rFonts w:cs="Arial"/>
          <w:szCs w:val="24"/>
        </w:rPr>
        <w:t xml:space="preserve"> </w:t>
      </w:r>
      <w:r w:rsidRPr="00D10205">
        <w:rPr>
          <w:rFonts w:cs="Arial"/>
          <w:szCs w:val="24"/>
        </w:rPr>
        <w:t>principals were in favour of the proposal.</w:t>
      </w:r>
    </w:p>
    <w:p w:rsidR="00DF7F87" w:rsidRDefault="00DF7F87" w:rsidP="00A712C0">
      <w:pPr>
        <w:pStyle w:val="ListParagraph"/>
        <w:ind w:left="360"/>
        <w:rPr>
          <w:rFonts w:cs="Arial"/>
        </w:rPr>
      </w:pPr>
    </w:p>
    <w:p w:rsidR="00DF7F87" w:rsidRDefault="00DF7F87" w:rsidP="00A712C0">
      <w:pPr>
        <w:pStyle w:val="NoSpacing"/>
        <w:numPr>
          <w:ilvl w:val="0"/>
          <w:numId w:val="14"/>
        </w:numPr>
        <w:rPr>
          <w:rFonts w:cs="Arial"/>
          <w:szCs w:val="24"/>
        </w:rPr>
      </w:pPr>
      <w:r w:rsidRPr="00067988">
        <w:rPr>
          <w:rFonts w:cs="Arial"/>
          <w:szCs w:val="24"/>
        </w:rPr>
        <w:t xml:space="preserve">LAs were strongly in favour of being able to charge all schools for carrying out the </w:t>
      </w:r>
      <w:r>
        <w:rPr>
          <w:rFonts w:cs="Arial"/>
          <w:szCs w:val="24"/>
        </w:rPr>
        <w:t>appropriate body</w:t>
      </w:r>
      <w:r w:rsidRPr="00067988">
        <w:rPr>
          <w:rFonts w:cs="Arial"/>
          <w:szCs w:val="24"/>
        </w:rPr>
        <w:t xml:space="preserve"> function, with </w:t>
      </w:r>
      <w:r>
        <w:rPr>
          <w:rFonts w:cs="Arial"/>
          <w:szCs w:val="24"/>
        </w:rPr>
        <w:t>head teacher</w:t>
      </w:r>
      <w:r w:rsidRPr="00067988">
        <w:rPr>
          <w:rFonts w:cs="Arial"/>
          <w:szCs w:val="24"/>
        </w:rPr>
        <w:t>s/principals</w:t>
      </w:r>
      <w:r>
        <w:rPr>
          <w:rFonts w:cs="Arial"/>
          <w:szCs w:val="24"/>
        </w:rPr>
        <w:t xml:space="preserve"> also</w:t>
      </w:r>
      <w:r w:rsidRPr="00067988">
        <w:rPr>
          <w:rFonts w:cs="Arial"/>
          <w:szCs w:val="24"/>
        </w:rPr>
        <w:t xml:space="preserve"> showing widespread support for this proposal. 63% </w:t>
      </w:r>
      <w:r>
        <w:rPr>
          <w:rFonts w:cs="Arial"/>
          <w:szCs w:val="24"/>
        </w:rPr>
        <w:t xml:space="preserve">of </w:t>
      </w:r>
      <w:r w:rsidRPr="00067988">
        <w:rPr>
          <w:rFonts w:cs="Arial"/>
          <w:szCs w:val="24"/>
        </w:rPr>
        <w:t>teachers were against the proposal</w:t>
      </w:r>
      <w:r>
        <w:rPr>
          <w:rFonts w:cs="Arial"/>
          <w:szCs w:val="24"/>
        </w:rPr>
        <w:t xml:space="preserve">, though most failed to offer a reason for this response. The few </w:t>
      </w:r>
      <w:r w:rsidRPr="00067988">
        <w:rPr>
          <w:rFonts w:cs="Arial"/>
          <w:szCs w:val="24"/>
        </w:rPr>
        <w:t xml:space="preserve">comments </w:t>
      </w:r>
      <w:r>
        <w:rPr>
          <w:rFonts w:cs="Arial"/>
          <w:szCs w:val="24"/>
        </w:rPr>
        <w:t xml:space="preserve">that were provided </w:t>
      </w:r>
      <w:r w:rsidRPr="00067988">
        <w:rPr>
          <w:rFonts w:cs="Arial"/>
          <w:szCs w:val="24"/>
        </w:rPr>
        <w:t>express</w:t>
      </w:r>
      <w:r>
        <w:rPr>
          <w:rFonts w:cs="Arial"/>
          <w:szCs w:val="24"/>
        </w:rPr>
        <w:t>ed concern that implementing the proposal</w:t>
      </w:r>
      <w:r w:rsidRPr="00067988">
        <w:rPr>
          <w:rFonts w:cs="Arial"/>
          <w:szCs w:val="24"/>
        </w:rPr>
        <w:t xml:space="preserve"> would see schools making their choice of </w:t>
      </w:r>
      <w:r>
        <w:rPr>
          <w:rFonts w:cs="Arial"/>
          <w:szCs w:val="24"/>
        </w:rPr>
        <w:t>appropriate body</w:t>
      </w:r>
      <w:r w:rsidRPr="00067988">
        <w:rPr>
          <w:rFonts w:cs="Arial"/>
          <w:szCs w:val="24"/>
        </w:rPr>
        <w:t xml:space="preserve"> based on cost rather than quality.</w:t>
      </w:r>
      <w:r>
        <w:rPr>
          <w:rFonts w:cs="Arial"/>
          <w:szCs w:val="24"/>
        </w:rPr>
        <w:t xml:space="preserve"> Teacher unions and key stakeholders were split in response to this proposal.</w:t>
      </w:r>
    </w:p>
    <w:p w:rsidR="00DF7F87" w:rsidRDefault="00DF7F87" w:rsidP="00A712C0">
      <w:pPr>
        <w:pStyle w:val="ListParagraph"/>
        <w:ind w:left="360"/>
        <w:rPr>
          <w:rFonts w:cs="Arial"/>
        </w:rPr>
      </w:pPr>
    </w:p>
    <w:p w:rsidR="00DF7F87" w:rsidRDefault="00DF7F87" w:rsidP="00A712C0">
      <w:pPr>
        <w:pStyle w:val="NoSpacing"/>
        <w:numPr>
          <w:ilvl w:val="0"/>
          <w:numId w:val="14"/>
        </w:numPr>
        <w:rPr>
          <w:rFonts w:cs="Arial"/>
          <w:szCs w:val="24"/>
        </w:rPr>
      </w:pPr>
      <w:r>
        <w:rPr>
          <w:rFonts w:cs="Arial"/>
          <w:szCs w:val="24"/>
        </w:rPr>
        <w:t>Comments from schools and LAs generally supported the retention of the statutory guidance, with many endorsing the value of detailed materials in ensuring that provisions are applied consistently and equitably. Similarly, comments in response to other proposals noted the importance of clear guidance to support their implementation and to safeguard the quality of established procedures.</w:t>
      </w:r>
    </w:p>
    <w:p w:rsidR="00DF7F87" w:rsidRDefault="00DF7F87" w:rsidP="00A712C0">
      <w:pPr>
        <w:pStyle w:val="ListParagraph"/>
        <w:ind w:left="360"/>
        <w:rPr>
          <w:rFonts w:cs="Arial"/>
        </w:rPr>
      </w:pPr>
    </w:p>
    <w:p w:rsidR="00DF7F87" w:rsidRDefault="00DF7F87" w:rsidP="00A712C0">
      <w:pPr>
        <w:pStyle w:val="NoSpacing"/>
        <w:numPr>
          <w:ilvl w:val="0"/>
          <w:numId w:val="14"/>
        </w:numPr>
        <w:rPr>
          <w:rFonts w:cs="Arial"/>
          <w:szCs w:val="24"/>
        </w:rPr>
      </w:pPr>
      <w:r>
        <w:rPr>
          <w:rFonts w:cs="Arial"/>
          <w:szCs w:val="24"/>
        </w:rPr>
        <w:t>Teacher unions and key stakeholders endorsed the retention of the statutory guidance for similar reasons, though there was support from some for streamlining where possible. Again, comments in response to various proposals elsewhere noted the importance of clear criteria and guidelines, particularly where schools and/or appropriate bodies would be afforded the opportunity to apply discretionary powers. A number of responses from this group also welcomed the further opportunity which is being proposed for comment on proposed changes to the statutory guidance.</w:t>
      </w:r>
    </w:p>
    <w:p w:rsidR="00DF7F87" w:rsidRPr="000D6585" w:rsidRDefault="00DF7F87" w:rsidP="00A712C0">
      <w:pPr>
        <w:pStyle w:val="ListParagraph"/>
        <w:ind w:left="360"/>
        <w:rPr>
          <w:rFonts w:cs="Arial"/>
          <w:sz w:val="22"/>
          <w:szCs w:val="22"/>
        </w:rPr>
      </w:pPr>
    </w:p>
    <w:p w:rsidR="00DF7F87" w:rsidRPr="000D6585" w:rsidRDefault="00DF7F87" w:rsidP="00A712C0">
      <w:pPr>
        <w:pStyle w:val="NoSpacing"/>
        <w:rPr>
          <w:b/>
          <w:bCs/>
          <w:szCs w:val="24"/>
        </w:rPr>
      </w:pPr>
      <w:r w:rsidRPr="000D6585">
        <w:rPr>
          <w:b/>
          <w:bCs/>
          <w:szCs w:val="24"/>
        </w:rPr>
        <w:t>Next steps</w:t>
      </w:r>
    </w:p>
    <w:p w:rsidR="00DF7F87" w:rsidRPr="000D6585" w:rsidRDefault="00DF7F87" w:rsidP="00A712C0">
      <w:pPr>
        <w:pStyle w:val="NoSpacing"/>
        <w:ind w:left="360"/>
        <w:rPr>
          <w:b/>
          <w:bCs/>
          <w:szCs w:val="24"/>
        </w:rPr>
      </w:pPr>
    </w:p>
    <w:p w:rsidR="00DF7F87" w:rsidRPr="000D6585" w:rsidRDefault="00DF7F87" w:rsidP="00A712C0">
      <w:pPr>
        <w:pStyle w:val="NoSpacing"/>
        <w:numPr>
          <w:ilvl w:val="0"/>
          <w:numId w:val="14"/>
        </w:numPr>
        <w:rPr>
          <w:rFonts w:cs="Arial"/>
          <w:szCs w:val="24"/>
        </w:rPr>
      </w:pPr>
      <w:r>
        <w:rPr>
          <w:szCs w:val="24"/>
        </w:rPr>
        <w:t xml:space="preserve">The Government is currently considering how best to implement the new arrangements for the induction of newly qualified teachers in England. </w:t>
      </w:r>
      <w:r w:rsidRPr="000D6585">
        <w:rPr>
          <w:szCs w:val="24"/>
        </w:rPr>
        <w:t xml:space="preserve">Details </w:t>
      </w:r>
      <w:r>
        <w:rPr>
          <w:szCs w:val="24"/>
        </w:rPr>
        <w:t>will be</w:t>
      </w:r>
      <w:r w:rsidRPr="000D6585">
        <w:rPr>
          <w:szCs w:val="24"/>
        </w:rPr>
        <w:t xml:space="preserve"> available at: </w:t>
      </w:r>
      <w:hyperlink r:id="rId7" w:history="1">
        <w:r w:rsidRPr="00E20B8D">
          <w:rPr>
            <w:rStyle w:val="Hyperlink"/>
            <w:szCs w:val="24"/>
          </w:rPr>
          <w:t>http://www.education.gov.uk/</w:t>
        </w:r>
      </w:hyperlink>
      <w:r>
        <w:rPr>
          <w:szCs w:val="24"/>
        </w:rPr>
        <w:t xml:space="preserve"> </w:t>
      </w:r>
    </w:p>
    <w:p w:rsidR="00DF7F87" w:rsidRPr="00420363" w:rsidRDefault="00DF7F87" w:rsidP="00A712C0">
      <w:pPr>
        <w:jc w:val="right"/>
        <w:rPr>
          <w:b/>
        </w:rPr>
      </w:pPr>
      <w:r>
        <w:rPr>
          <w:b/>
        </w:rPr>
        <w:br w:type="page"/>
        <w:t>Annex A</w:t>
      </w:r>
    </w:p>
    <w:p w:rsidR="00DF7F87" w:rsidRPr="00420363" w:rsidRDefault="00DF7F87" w:rsidP="00A712C0">
      <w:pPr>
        <w:rPr>
          <w:rFonts w:cs="Arial"/>
          <w:b/>
          <w:bCs/>
          <w:sz w:val="36"/>
        </w:rPr>
      </w:pPr>
      <w:r w:rsidRPr="00420363">
        <w:rPr>
          <w:b/>
          <w:sz w:val="36"/>
        </w:rPr>
        <w:t>Statistical Breakdown of Responses</w:t>
      </w:r>
    </w:p>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r w:rsidRPr="00067988">
        <w:rPr>
          <w:rFonts w:cs="Arial"/>
          <w:szCs w:val="24"/>
        </w:rPr>
        <w:t xml:space="preserve">The following tables show responses by respondent </w:t>
      </w:r>
      <w:r>
        <w:rPr>
          <w:rFonts w:cs="Arial"/>
          <w:szCs w:val="24"/>
        </w:rPr>
        <w:t>category</w:t>
      </w:r>
      <w:r w:rsidRPr="00067988">
        <w:rPr>
          <w:rFonts w:cs="Arial"/>
          <w:szCs w:val="24"/>
        </w:rPr>
        <w:t xml:space="preserve">. </w:t>
      </w:r>
      <w:r>
        <w:rPr>
          <w:rFonts w:cs="Arial"/>
          <w:szCs w:val="24"/>
        </w:rPr>
        <w:t>There were limited responses in f</w:t>
      </w:r>
      <w:r w:rsidRPr="00067988">
        <w:rPr>
          <w:rFonts w:cs="Arial"/>
          <w:szCs w:val="24"/>
        </w:rPr>
        <w:t>our respondent categories (</w:t>
      </w:r>
      <w:r w:rsidRPr="00067988">
        <w:rPr>
          <w:rFonts w:cs="Arial"/>
          <w:bCs/>
          <w:color w:val="000000"/>
          <w:szCs w:val="24"/>
          <w:lang w:eastAsia="en-GB"/>
        </w:rPr>
        <w:t xml:space="preserve">Governor/Chair of Governors, Parent/Carer, Overseas School/Organisation and Union/Professional Association) </w:t>
      </w:r>
      <w:r>
        <w:rPr>
          <w:rFonts w:cs="Arial"/>
          <w:bCs/>
          <w:color w:val="000000"/>
          <w:szCs w:val="24"/>
          <w:lang w:eastAsia="en-GB"/>
        </w:rPr>
        <w:t xml:space="preserve">which </w:t>
      </w:r>
      <w:r w:rsidRPr="00067988">
        <w:rPr>
          <w:rFonts w:cs="Arial"/>
          <w:szCs w:val="24"/>
        </w:rPr>
        <w:t>h</w:t>
      </w:r>
      <w:r>
        <w:rPr>
          <w:rFonts w:cs="Arial"/>
          <w:szCs w:val="24"/>
        </w:rPr>
        <w:t>ave not been shown individually;</w:t>
      </w:r>
      <w:r w:rsidRPr="00067988">
        <w:rPr>
          <w:rFonts w:cs="Arial"/>
          <w:szCs w:val="24"/>
        </w:rPr>
        <w:t xml:space="preserve"> therefore the figures in the total column in each table do not match exactly the figures from the previous four columns.</w:t>
      </w:r>
    </w:p>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1: Do you agree that the decision about where induction can be served or offered should be based on whether the setting is able to meet the required conditions, rather than the type of school/institution?</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rPr>
          <w:trHeight w:val="555"/>
        </w:trPr>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84%</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13%</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2: Do you agree th</w:t>
      </w:r>
      <w:r>
        <w:rPr>
          <w:rFonts w:cs="Arial"/>
          <w:b/>
          <w:szCs w:val="24"/>
        </w:rPr>
        <w:t>at a new appropriate body for A</w:t>
      </w:r>
      <w:r w:rsidRPr="00067988">
        <w:rPr>
          <w:rFonts w:cs="Arial"/>
          <w:b/>
          <w:szCs w:val="24"/>
        </w:rPr>
        <w:t xml:space="preserve">cademies and </w:t>
      </w:r>
      <w:r>
        <w:rPr>
          <w:rFonts w:cs="Arial"/>
          <w:b/>
          <w:szCs w:val="24"/>
        </w:rPr>
        <w:t>Free School</w:t>
      </w:r>
      <w:r w:rsidRPr="00067988">
        <w:rPr>
          <w:rFonts w:cs="Arial"/>
          <w:b/>
          <w:szCs w:val="24"/>
        </w:rPr>
        <w:t>s should be established?</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42%</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49%</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Pr>
          <w:rFonts w:cs="Arial"/>
          <w:b/>
          <w:szCs w:val="24"/>
        </w:rPr>
        <w:t>Question 3: Do you agree that Teaching S</w:t>
      </w:r>
      <w:r w:rsidRPr="00067988">
        <w:rPr>
          <w:rFonts w:cs="Arial"/>
          <w:b/>
          <w:szCs w:val="24"/>
        </w:rPr>
        <w:t>chools should be able to act in the role of appropriate body, offering an alternative to the local authority?</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1" w:type="dxa"/>
            <w:vAlign w:val="center"/>
          </w:tcPr>
          <w:p w:rsidR="00DF7F87" w:rsidRPr="0006278F" w:rsidRDefault="00DF7F87" w:rsidP="008F3390">
            <w:pPr>
              <w:jc w:val="center"/>
              <w:rPr>
                <w:rFonts w:cs="Arial"/>
                <w:color w:val="000000"/>
              </w:rPr>
            </w:pPr>
            <w:r w:rsidRPr="0006278F">
              <w:rPr>
                <w:rFonts w:cs="Arial"/>
                <w:color w:val="000000"/>
                <w:sz w:val="22"/>
              </w:rPr>
              <w:t>4</w:t>
            </w:r>
            <w:r>
              <w:rPr>
                <w:rFonts w:cs="Arial"/>
                <w:color w:val="000000"/>
                <w:sz w:val="22"/>
              </w:rPr>
              <w:t>0.6</w:t>
            </w:r>
            <w:r w:rsidRPr="0006278F">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44%</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w:t>
            </w:r>
          </w:p>
        </w:tc>
        <w:tc>
          <w:tcPr>
            <w:tcW w:w="851" w:type="dxa"/>
            <w:vAlign w:val="center"/>
          </w:tcPr>
          <w:p w:rsidR="00DF7F87" w:rsidRPr="0006278F" w:rsidRDefault="00DF7F87" w:rsidP="00A712C0">
            <w:pPr>
              <w:jc w:val="center"/>
              <w:rPr>
                <w:rFonts w:cs="Arial"/>
                <w:color w:val="000000"/>
              </w:rPr>
            </w:pPr>
            <w:r>
              <w:rPr>
                <w:rFonts w:cs="Arial"/>
                <w:color w:val="000000"/>
                <w:sz w:val="22"/>
              </w:rPr>
              <w:t>37.5</w:t>
            </w:r>
            <w:r w:rsidRPr="0006278F">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44%</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1" w:type="dxa"/>
            <w:vAlign w:val="center"/>
          </w:tcPr>
          <w:p w:rsidR="00DF7F87" w:rsidRPr="0006278F" w:rsidRDefault="00DF7F87" w:rsidP="00A712C0">
            <w:pPr>
              <w:jc w:val="center"/>
              <w:rPr>
                <w:rFonts w:cs="Arial"/>
                <w:color w:val="000000"/>
              </w:rPr>
            </w:pPr>
            <w:r>
              <w:rPr>
                <w:rFonts w:cs="Arial"/>
                <w:color w:val="000000"/>
                <w:sz w:val="22"/>
              </w:rPr>
              <w:t>21.9</w:t>
            </w:r>
            <w:r w:rsidRPr="0006278F">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12%</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r w:rsidRPr="00067988">
        <w:rPr>
          <w:rFonts w:cs="Arial"/>
          <w:b/>
          <w:szCs w:val="24"/>
        </w:rPr>
        <w:t>Question 4: Do you agree that schools should be able to decide which local authority can act as its appropriate body; but that the default position should be the local authority in the area in which the school is situated?</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09"/>
        <w:gridCol w:w="992"/>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297F3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23</w:t>
            </w:r>
          </w:p>
        </w:tc>
        <w:tc>
          <w:tcPr>
            <w:tcW w:w="992" w:type="dxa"/>
            <w:vAlign w:val="center"/>
          </w:tcPr>
          <w:p w:rsidR="00DF7F87" w:rsidRPr="00DC0CCB" w:rsidRDefault="00DF7F87" w:rsidP="00DC0CCB">
            <w:pPr>
              <w:jc w:val="center"/>
              <w:rPr>
                <w:rFonts w:cs="Arial"/>
                <w:color w:val="000000"/>
                <w:szCs w:val="22"/>
              </w:rPr>
            </w:pPr>
            <w:r w:rsidRPr="00DC0CCB">
              <w:rPr>
                <w:rFonts w:cs="Arial"/>
                <w:color w:val="000000"/>
                <w:sz w:val="22"/>
                <w:szCs w:val="22"/>
              </w:rPr>
              <w:t>79.31%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16</w:t>
            </w:r>
          </w:p>
        </w:tc>
        <w:tc>
          <w:tcPr>
            <w:tcW w:w="851" w:type="dxa"/>
            <w:vAlign w:val="center"/>
          </w:tcPr>
          <w:p w:rsidR="00DF7F87" w:rsidRPr="00297F30" w:rsidRDefault="00DF7F87" w:rsidP="00297F30">
            <w:pPr>
              <w:jc w:val="center"/>
              <w:rPr>
                <w:rFonts w:cs="Arial"/>
                <w:color w:val="000000"/>
                <w:szCs w:val="24"/>
              </w:rPr>
            </w:pPr>
            <w:r w:rsidRPr="00297F30">
              <w:rPr>
                <w:rFonts w:cs="Arial"/>
                <w:color w:val="000000"/>
                <w:sz w:val="22"/>
              </w:rPr>
              <w:t>61.5%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65%</w:t>
            </w:r>
          </w:p>
        </w:tc>
      </w:tr>
      <w:tr w:rsidR="00DF7F87" w:rsidRPr="0006278F" w:rsidTr="00297F3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992" w:type="dxa"/>
            <w:vAlign w:val="center"/>
          </w:tcPr>
          <w:p w:rsidR="00DF7F87" w:rsidRPr="00DC0CCB" w:rsidRDefault="00DF7F87" w:rsidP="00DC0CCB">
            <w:pPr>
              <w:jc w:val="center"/>
              <w:rPr>
                <w:rFonts w:cs="Arial"/>
                <w:color w:val="000000"/>
                <w:szCs w:val="22"/>
              </w:rPr>
            </w:pPr>
            <w:r w:rsidRPr="00DC0CCB">
              <w:rPr>
                <w:rFonts w:cs="Arial"/>
                <w:color w:val="000000"/>
                <w:sz w:val="22"/>
                <w:szCs w:val="22"/>
              </w:rPr>
              <w:t>17.24%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297F30" w:rsidRDefault="00DF7F87" w:rsidP="00297F30">
            <w:pPr>
              <w:jc w:val="center"/>
              <w:rPr>
                <w:rFonts w:cs="Arial"/>
                <w:color w:val="000000"/>
                <w:szCs w:val="24"/>
              </w:rPr>
            </w:pPr>
            <w:r w:rsidRPr="00297F30">
              <w:rPr>
                <w:rFonts w:cs="Arial"/>
                <w:color w:val="000000"/>
                <w:sz w:val="22"/>
              </w:rPr>
              <w:t>30.8%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29%</w:t>
            </w:r>
          </w:p>
        </w:tc>
      </w:tr>
      <w:tr w:rsidR="00DF7F87" w:rsidRPr="0006278F" w:rsidTr="00297F3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992" w:type="dxa"/>
            <w:vAlign w:val="center"/>
          </w:tcPr>
          <w:p w:rsidR="00DF7F87" w:rsidRPr="00DC0CCB" w:rsidRDefault="00DF7F87" w:rsidP="00DC0CCB">
            <w:pPr>
              <w:jc w:val="center"/>
              <w:rPr>
                <w:rFonts w:cs="Arial"/>
                <w:color w:val="000000"/>
                <w:szCs w:val="22"/>
              </w:rPr>
            </w:pPr>
            <w:r w:rsidRPr="00DC0CCB">
              <w:rPr>
                <w:rFonts w:cs="Arial"/>
                <w:color w:val="000000"/>
                <w:sz w:val="22"/>
                <w:szCs w:val="22"/>
              </w:rPr>
              <w:t>3.45%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297F30" w:rsidRDefault="00DF7F87" w:rsidP="00297F30">
            <w:pPr>
              <w:jc w:val="center"/>
              <w:rPr>
                <w:rFonts w:cs="Arial"/>
                <w:color w:val="000000"/>
                <w:szCs w:val="24"/>
              </w:rPr>
            </w:pPr>
            <w:r w:rsidRPr="00297F30">
              <w:rPr>
                <w:rFonts w:cs="Arial"/>
                <w:color w:val="000000"/>
                <w:sz w:val="22"/>
              </w:rPr>
              <w:t>7.7%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5: Do you agree that appropriate bodies should have discretion to offer a reduced statutory induction period to take account of a teacher's previous experience?</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29</w:t>
            </w:r>
          </w:p>
        </w:tc>
        <w:tc>
          <w:tcPr>
            <w:tcW w:w="851" w:type="dxa"/>
            <w:vAlign w:val="center"/>
          </w:tcPr>
          <w:p w:rsidR="00DF7F87" w:rsidRPr="001C5B9F" w:rsidRDefault="00DF7F87" w:rsidP="001C5B9F">
            <w:pPr>
              <w:jc w:val="center"/>
              <w:rPr>
                <w:rFonts w:cs="Arial"/>
                <w:color w:val="000000"/>
                <w:szCs w:val="24"/>
              </w:rPr>
            </w:pPr>
            <w:r w:rsidRPr="001C5B9F">
              <w:rPr>
                <w:rFonts w:cs="Arial"/>
                <w:color w:val="000000"/>
                <w:sz w:val="22"/>
              </w:rPr>
              <w:t>60.4%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106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71%</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1C5B9F" w:rsidRDefault="00DF7F87" w:rsidP="001C5B9F">
            <w:pPr>
              <w:jc w:val="center"/>
              <w:rPr>
                <w:rFonts w:cs="Arial"/>
                <w:color w:val="000000"/>
                <w:szCs w:val="24"/>
              </w:rPr>
            </w:pPr>
            <w:r w:rsidRPr="001C5B9F">
              <w:rPr>
                <w:rFonts w:cs="Arial"/>
                <w:color w:val="000000"/>
                <w:sz w:val="22"/>
              </w:rPr>
              <w:t>31.3%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26%</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1C5B9F" w:rsidRDefault="00DF7F87" w:rsidP="001C5B9F">
            <w:pPr>
              <w:jc w:val="center"/>
              <w:rPr>
                <w:rFonts w:cs="Arial"/>
                <w:color w:val="000000"/>
                <w:szCs w:val="24"/>
              </w:rPr>
            </w:pPr>
            <w:r w:rsidRPr="001C5B9F">
              <w:rPr>
                <w:rFonts w:cs="Arial"/>
                <w:color w:val="000000"/>
                <w:sz w:val="22"/>
              </w:rPr>
              <w:t>8.3%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6: Do you agree that appropriate bodies should have the discretion, once induction has started, to account for matters such as the date of commencement of induction, the operating day and ad hoc absences?</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709"/>
        <w:gridCol w:w="992"/>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72%</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22</w:t>
            </w:r>
          </w:p>
        </w:tc>
        <w:tc>
          <w:tcPr>
            <w:tcW w:w="992" w:type="dxa"/>
            <w:vAlign w:val="center"/>
          </w:tcPr>
          <w:p w:rsidR="00DF7F87" w:rsidRPr="001C5B9F" w:rsidRDefault="00DF7F87" w:rsidP="001C5B9F">
            <w:pPr>
              <w:jc w:val="center"/>
              <w:rPr>
                <w:rFonts w:cs="Arial"/>
                <w:color w:val="000000"/>
                <w:szCs w:val="24"/>
              </w:rPr>
            </w:pPr>
            <w:r w:rsidRPr="001C5B9F">
              <w:rPr>
                <w:rFonts w:cs="Arial"/>
                <w:color w:val="000000"/>
                <w:sz w:val="22"/>
              </w:rPr>
              <w:t>78.57</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117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80%</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992" w:type="dxa"/>
            <w:vAlign w:val="center"/>
          </w:tcPr>
          <w:p w:rsidR="00DF7F87" w:rsidRPr="001C5B9F" w:rsidRDefault="00DF7F87" w:rsidP="001C5B9F">
            <w:pPr>
              <w:jc w:val="center"/>
              <w:rPr>
                <w:rFonts w:cs="Arial"/>
                <w:color w:val="000000"/>
                <w:szCs w:val="24"/>
              </w:rPr>
            </w:pPr>
            <w:r w:rsidRPr="001C5B9F">
              <w:rPr>
                <w:rFonts w:cs="Arial"/>
                <w:color w:val="000000"/>
                <w:sz w:val="22"/>
              </w:rPr>
              <w:t>3.57</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w:t>
            </w:r>
          </w:p>
        </w:tc>
      </w:tr>
      <w:tr w:rsidR="00DF7F87" w:rsidRPr="0006278F" w:rsidTr="001C5B9F">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992" w:type="dxa"/>
            <w:vAlign w:val="center"/>
          </w:tcPr>
          <w:p w:rsidR="00DF7F87" w:rsidRPr="001C5B9F" w:rsidRDefault="00DF7F87" w:rsidP="001C5B9F">
            <w:pPr>
              <w:jc w:val="center"/>
              <w:rPr>
                <w:rFonts w:cs="Arial"/>
                <w:color w:val="000000"/>
                <w:szCs w:val="24"/>
              </w:rPr>
            </w:pPr>
            <w:r w:rsidRPr="001C5B9F">
              <w:rPr>
                <w:rFonts w:cs="Arial"/>
                <w:color w:val="000000"/>
                <w:sz w:val="22"/>
              </w:rPr>
              <w:t>17.86</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12%</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r w:rsidRPr="00067988">
        <w:rPr>
          <w:rFonts w:cs="Arial"/>
          <w:b/>
          <w:szCs w:val="24"/>
        </w:rPr>
        <w:t>Question 7: Do you agree that the 16-month limit on short term supply work for NQTs should be replaced with a maximum, fixed 5-year period from the date of achieving QTS before having to undertake statutory induction?</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30</w:t>
            </w:r>
          </w:p>
        </w:tc>
        <w:tc>
          <w:tcPr>
            <w:tcW w:w="851" w:type="dxa"/>
            <w:vAlign w:val="center"/>
          </w:tcPr>
          <w:p w:rsidR="00DF7F87" w:rsidRPr="001C5B9F" w:rsidRDefault="00DF7F87" w:rsidP="001C5B9F">
            <w:pPr>
              <w:jc w:val="center"/>
              <w:rPr>
                <w:rFonts w:cs="Arial"/>
                <w:color w:val="000000"/>
                <w:szCs w:val="22"/>
              </w:rPr>
            </w:pPr>
            <w:r w:rsidRPr="001C5B9F">
              <w:rPr>
                <w:rFonts w:cs="Arial"/>
                <w:color w:val="000000"/>
                <w:sz w:val="22"/>
                <w:szCs w:val="22"/>
              </w:rPr>
              <w:t>62.5%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58.6</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104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68%</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10</w:t>
            </w:r>
          </w:p>
        </w:tc>
        <w:tc>
          <w:tcPr>
            <w:tcW w:w="851" w:type="dxa"/>
            <w:vAlign w:val="center"/>
          </w:tcPr>
          <w:p w:rsidR="00DF7F87" w:rsidRPr="001C5B9F" w:rsidRDefault="00DF7F87" w:rsidP="001C5B9F">
            <w:pPr>
              <w:jc w:val="center"/>
              <w:rPr>
                <w:rFonts w:cs="Arial"/>
                <w:color w:val="000000"/>
                <w:szCs w:val="22"/>
              </w:rPr>
            </w:pPr>
            <w:r w:rsidRPr="001C5B9F">
              <w:rPr>
                <w:rFonts w:cs="Arial"/>
                <w:color w:val="000000"/>
                <w:sz w:val="22"/>
                <w:szCs w:val="22"/>
              </w:rPr>
              <w:t>20.8%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20.7</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22%</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1C5B9F" w:rsidRDefault="00DF7F87" w:rsidP="001C5B9F">
            <w:pPr>
              <w:jc w:val="center"/>
              <w:rPr>
                <w:rFonts w:cs="Arial"/>
                <w:color w:val="000000"/>
                <w:szCs w:val="22"/>
              </w:rPr>
            </w:pPr>
            <w:r w:rsidRPr="001C5B9F">
              <w:rPr>
                <w:rFonts w:cs="Arial"/>
                <w:color w:val="000000"/>
                <w:sz w:val="22"/>
                <w:szCs w:val="22"/>
              </w:rPr>
              <w:t>16.7%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20.7</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10%</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r w:rsidRPr="00067988">
        <w:rPr>
          <w:rFonts w:cs="Arial"/>
          <w:b/>
          <w:szCs w:val="24"/>
        </w:rPr>
        <w:t>Question 8: Do you agree that it is not necessary for teachers to be teaching the national curriculum at the relevant key stage for the pupils they are teaching during their induction?</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70.4</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59%</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22.2</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33%</w:t>
            </w:r>
          </w:p>
        </w:tc>
      </w:tr>
      <w:tr w:rsidR="00DF7F87" w:rsidRPr="0006278F" w:rsidTr="00D04DA4">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D04DA4" w:rsidRDefault="00DF7F87" w:rsidP="00D04DA4">
            <w:pPr>
              <w:jc w:val="center"/>
              <w:rPr>
                <w:rFonts w:cs="Arial"/>
                <w:color w:val="000000"/>
                <w:szCs w:val="24"/>
              </w:rPr>
            </w:pPr>
            <w:r w:rsidRPr="00D04DA4">
              <w:rPr>
                <w:rFonts w:cs="Arial"/>
                <w:color w:val="000000"/>
                <w:sz w:val="22"/>
              </w:rPr>
              <w:t>7.4</w:t>
            </w:r>
            <w:r>
              <w:rPr>
                <w:rFonts w:cs="Arial"/>
                <w:color w:val="000000"/>
                <w:sz w:val="22"/>
              </w:rPr>
              <w:t>%</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9: Do you agree that appropriate bodies should be able to charge a fee to all schools for carrying out this function?</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59%</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29%</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12%</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10: Do you agree that appropriate bodies should be able to use their discretion to decide that induction has been completed where data records are incomplete or incorrect, based on evidence that the relevant standards have been met?</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09"/>
        <w:gridCol w:w="992"/>
        <w:gridCol w:w="567"/>
        <w:gridCol w:w="1134"/>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25</w:t>
            </w:r>
          </w:p>
        </w:tc>
        <w:tc>
          <w:tcPr>
            <w:tcW w:w="992" w:type="dxa"/>
            <w:vAlign w:val="center"/>
          </w:tcPr>
          <w:p w:rsidR="00DF7F87" w:rsidRPr="00D04DA4" w:rsidRDefault="00DF7F87" w:rsidP="00D04DA4">
            <w:pPr>
              <w:jc w:val="center"/>
              <w:rPr>
                <w:rFonts w:cs="Arial"/>
                <w:color w:val="000000"/>
                <w:szCs w:val="24"/>
              </w:rPr>
            </w:pPr>
            <w:r w:rsidRPr="00D04DA4">
              <w:rPr>
                <w:rFonts w:cs="Arial"/>
                <w:color w:val="000000"/>
                <w:sz w:val="22"/>
              </w:rPr>
              <w:t>83.33%</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27</w:t>
            </w:r>
          </w:p>
        </w:tc>
        <w:tc>
          <w:tcPr>
            <w:tcW w:w="1134" w:type="dxa"/>
            <w:vAlign w:val="center"/>
          </w:tcPr>
          <w:p w:rsidR="00DF7F87" w:rsidRPr="00421D8B" w:rsidRDefault="00DF7F87" w:rsidP="00421D8B">
            <w:pPr>
              <w:jc w:val="center"/>
              <w:rPr>
                <w:rFonts w:cs="Arial"/>
                <w:color w:val="000000"/>
                <w:szCs w:val="24"/>
              </w:rPr>
            </w:pPr>
            <w:r w:rsidRPr="00421D8B">
              <w:rPr>
                <w:rFonts w:cs="Arial"/>
                <w:color w:val="000000"/>
                <w:sz w:val="22"/>
              </w:rPr>
              <w:t>84.375%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86%</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992" w:type="dxa"/>
            <w:vAlign w:val="center"/>
          </w:tcPr>
          <w:p w:rsidR="00DF7F87" w:rsidRPr="00D04DA4" w:rsidRDefault="00DF7F87" w:rsidP="00D04DA4">
            <w:pPr>
              <w:jc w:val="center"/>
              <w:rPr>
                <w:rFonts w:cs="Arial"/>
                <w:color w:val="000000"/>
                <w:szCs w:val="24"/>
              </w:rPr>
            </w:pPr>
            <w:r w:rsidRPr="00D04DA4">
              <w:rPr>
                <w:rFonts w:cs="Arial"/>
                <w:color w:val="000000"/>
                <w:sz w:val="22"/>
              </w:rPr>
              <w:t>13.33%</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1134" w:type="dxa"/>
            <w:vAlign w:val="center"/>
          </w:tcPr>
          <w:p w:rsidR="00DF7F87" w:rsidRPr="00421D8B" w:rsidRDefault="00DF7F87" w:rsidP="00421D8B">
            <w:pPr>
              <w:jc w:val="center"/>
              <w:rPr>
                <w:rFonts w:cs="Arial"/>
                <w:color w:val="000000"/>
                <w:szCs w:val="24"/>
              </w:rPr>
            </w:pPr>
            <w:r w:rsidRPr="00421D8B">
              <w:rPr>
                <w:rFonts w:cs="Arial"/>
                <w:color w:val="000000"/>
                <w:sz w:val="22"/>
              </w:rPr>
              <w:t>9.375%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10%</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709"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992" w:type="dxa"/>
            <w:vAlign w:val="center"/>
          </w:tcPr>
          <w:p w:rsidR="00DF7F87" w:rsidRPr="00D04DA4" w:rsidRDefault="00DF7F87" w:rsidP="00D04DA4">
            <w:pPr>
              <w:jc w:val="center"/>
              <w:rPr>
                <w:rFonts w:cs="Arial"/>
                <w:color w:val="000000"/>
                <w:szCs w:val="24"/>
              </w:rPr>
            </w:pPr>
            <w:r w:rsidRPr="00D04DA4">
              <w:rPr>
                <w:rFonts w:cs="Arial"/>
                <w:color w:val="000000"/>
                <w:sz w:val="22"/>
              </w:rPr>
              <w:t>3.33%</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1134" w:type="dxa"/>
            <w:vAlign w:val="center"/>
          </w:tcPr>
          <w:p w:rsidR="00DF7F87" w:rsidRPr="00421D8B" w:rsidRDefault="00DF7F87" w:rsidP="00421D8B">
            <w:pPr>
              <w:jc w:val="center"/>
              <w:rPr>
                <w:rFonts w:cs="Arial"/>
                <w:color w:val="000000"/>
                <w:szCs w:val="24"/>
              </w:rPr>
            </w:pPr>
            <w:r w:rsidRPr="00421D8B">
              <w:rPr>
                <w:rFonts w:cs="Arial"/>
                <w:color w:val="000000"/>
                <w:sz w:val="22"/>
              </w:rPr>
              <w:t>6.25%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 xml:space="preserve">Question 11: Do you agree that </w:t>
      </w:r>
      <w:r>
        <w:rPr>
          <w:rFonts w:cs="Arial"/>
          <w:b/>
          <w:szCs w:val="24"/>
        </w:rPr>
        <w:t>head teacher</w:t>
      </w:r>
      <w:r w:rsidRPr="00067988">
        <w:rPr>
          <w:rFonts w:cs="Arial"/>
          <w:b/>
          <w:szCs w:val="24"/>
        </w:rPr>
        <w:t>s/principals should have the additional option of recommending an extension to an NQT's induction period prior to its completion?</w:t>
      </w:r>
    </w:p>
    <w:p w:rsidR="00DF7F87"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567"/>
        <w:gridCol w:w="1134"/>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97%</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27</w:t>
            </w:r>
          </w:p>
        </w:tc>
        <w:tc>
          <w:tcPr>
            <w:tcW w:w="1134" w:type="dxa"/>
            <w:vAlign w:val="center"/>
          </w:tcPr>
          <w:p w:rsidR="00DF7F87" w:rsidRPr="00421D8B" w:rsidRDefault="00DF7F87" w:rsidP="00BA1BC4">
            <w:pPr>
              <w:jc w:val="center"/>
              <w:rPr>
                <w:rFonts w:cs="Arial"/>
                <w:color w:val="000000"/>
                <w:szCs w:val="24"/>
              </w:rPr>
            </w:pPr>
            <w:r w:rsidRPr="00421D8B">
              <w:rPr>
                <w:rFonts w:cs="Arial"/>
                <w:color w:val="000000"/>
                <w:sz w:val="22"/>
              </w:rPr>
              <w:t>84.375%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23</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82%</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1134" w:type="dxa"/>
            <w:vAlign w:val="center"/>
          </w:tcPr>
          <w:p w:rsidR="00DF7F87" w:rsidRPr="00421D8B" w:rsidRDefault="00DF7F87" w:rsidP="00BA1BC4">
            <w:pPr>
              <w:jc w:val="center"/>
              <w:rPr>
                <w:rFonts w:cs="Arial"/>
                <w:color w:val="000000"/>
                <w:szCs w:val="24"/>
              </w:rPr>
            </w:pPr>
            <w:r w:rsidRPr="00421D8B">
              <w:rPr>
                <w:rFonts w:cs="Arial"/>
                <w:color w:val="000000"/>
                <w:sz w:val="22"/>
              </w:rPr>
              <w:t>9.375%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14%</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567"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1134" w:type="dxa"/>
            <w:vAlign w:val="center"/>
          </w:tcPr>
          <w:p w:rsidR="00DF7F87" w:rsidRPr="00421D8B" w:rsidRDefault="00DF7F87" w:rsidP="00BA1BC4">
            <w:pPr>
              <w:jc w:val="center"/>
              <w:rPr>
                <w:rFonts w:cs="Arial"/>
                <w:color w:val="000000"/>
                <w:szCs w:val="24"/>
              </w:rPr>
            </w:pPr>
            <w:r w:rsidRPr="00421D8B">
              <w:rPr>
                <w:rFonts w:cs="Arial"/>
                <w:color w:val="000000"/>
                <w:sz w:val="22"/>
              </w:rPr>
              <w:t>6.25%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4%</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r w:rsidRPr="00067988">
        <w:rPr>
          <w:rFonts w:cs="Arial"/>
          <w:b/>
          <w:szCs w:val="24"/>
        </w:rPr>
        <w:t>Question 12: Do you agree that the requirement for no more than a 90% teaching timetable for NQTs serving induction should be included in regulations for maintained schools?</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100%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28</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136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92%</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w:t>
            </w:r>
          </w:p>
        </w:tc>
      </w:tr>
      <w:tr w:rsidR="00DF7F87" w:rsidRPr="0006278F" w:rsidTr="00A712C0">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0%</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b/>
          <w:szCs w:val="24"/>
        </w:rPr>
      </w:pPr>
      <w:r w:rsidRPr="00067988">
        <w:rPr>
          <w:rFonts w:cs="Arial"/>
          <w:b/>
          <w:szCs w:val="24"/>
        </w:rPr>
        <w:t>Question 13: Do you agree that NQTs should continue to be allowed to serve only one induction period, retaining the ‘one chance to pass' requirement?</w:t>
      </w:r>
    </w:p>
    <w:p w:rsidR="00DF7F87" w:rsidRPr="00067988" w:rsidRDefault="00DF7F87" w:rsidP="00A712C0">
      <w:pPr>
        <w:pStyle w:val="NoSpacing"/>
        <w:rPr>
          <w:rFonts w:cs="Arial"/>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43</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93.5%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90%</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116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81%</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4.3%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13%</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16%</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2.2%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w:t>
            </w:r>
          </w:p>
        </w:tc>
      </w:tr>
    </w:tbl>
    <w:p w:rsidR="00DF7F87" w:rsidRPr="00067988" w:rsidRDefault="00DF7F87" w:rsidP="00A712C0">
      <w:pPr>
        <w:pStyle w:val="NoSpacing"/>
        <w:rPr>
          <w:rFonts w:cs="Arial"/>
          <w:b/>
          <w:szCs w:val="24"/>
        </w:rPr>
      </w:pPr>
    </w:p>
    <w:p w:rsidR="00DF7F87" w:rsidRPr="00067988" w:rsidRDefault="00DF7F87" w:rsidP="00A712C0">
      <w:pPr>
        <w:pStyle w:val="NoSpacing"/>
        <w:rPr>
          <w:rFonts w:cs="Arial"/>
          <w:b/>
          <w:szCs w:val="24"/>
        </w:rPr>
      </w:pPr>
      <w:r w:rsidRPr="00067988">
        <w:rPr>
          <w:rFonts w:cs="Arial"/>
          <w:b/>
          <w:szCs w:val="24"/>
        </w:rPr>
        <w:t>Question 14: Do you agree that the facility should be removed for those teachers who failed probation prior to 1992 to apply to the Secretary of State for consent to carry out specified work from 1 September 2012?</w:t>
      </w:r>
    </w:p>
    <w:p w:rsidR="00DF7F87" w:rsidRPr="00067988" w:rsidRDefault="00DF7F87" w:rsidP="00A712C0">
      <w:pPr>
        <w:pStyle w:val="NoSpacing"/>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850"/>
        <w:gridCol w:w="851"/>
        <w:gridCol w:w="850"/>
        <w:gridCol w:w="851"/>
        <w:gridCol w:w="850"/>
        <w:gridCol w:w="851"/>
        <w:gridCol w:w="850"/>
        <w:gridCol w:w="851"/>
      </w:tblGrid>
      <w:tr w:rsidR="00DF7F87" w:rsidRPr="0006278F" w:rsidTr="00A712C0">
        <w:tc>
          <w:tcPr>
            <w:tcW w:w="959" w:type="dxa"/>
            <w:vAlign w:val="center"/>
          </w:tcPr>
          <w:p w:rsidR="00DF7F87" w:rsidRPr="0006278F" w:rsidRDefault="00DF7F87" w:rsidP="00A712C0">
            <w:pPr>
              <w:pStyle w:val="NoSpacing"/>
              <w:jc w:val="center"/>
              <w:rPr>
                <w:rFonts w:cs="Arial"/>
                <w:b/>
                <w:szCs w:val="24"/>
              </w:rPr>
            </w:pP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Head teacher/ Principal</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Teacher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Local Authority</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Other</w:t>
            </w:r>
          </w:p>
        </w:tc>
        <w:tc>
          <w:tcPr>
            <w:tcW w:w="1701" w:type="dxa"/>
            <w:gridSpan w:val="2"/>
            <w:vAlign w:val="center"/>
          </w:tcPr>
          <w:p w:rsidR="00DF7F87" w:rsidRPr="0006278F" w:rsidRDefault="00DF7F87" w:rsidP="00A712C0">
            <w:pPr>
              <w:jc w:val="center"/>
              <w:rPr>
                <w:rFonts w:cs="Arial"/>
                <w:b/>
                <w:bCs/>
                <w:color w:val="000000"/>
              </w:rPr>
            </w:pPr>
            <w:r w:rsidRPr="0006278F">
              <w:rPr>
                <w:rFonts w:cs="Arial"/>
                <w:b/>
                <w:bCs/>
                <w:color w:val="000000"/>
                <w:sz w:val="22"/>
              </w:rPr>
              <w:t>Total</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Yes</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65%</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15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52%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37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82%</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20</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71.4%</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96</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70%</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No</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7</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27%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5</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17%</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14.3%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15%</w:t>
            </w:r>
          </w:p>
        </w:tc>
      </w:tr>
      <w:tr w:rsidR="00DF7F87" w:rsidRPr="0006278F" w:rsidTr="00421D8B">
        <w:trPr>
          <w:trHeight w:val="552"/>
        </w:trPr>
        <w:tc>
          <w:tcPr>
            <w:tcW w:w="959" w:type="dxa"/>
            <w:vAlign w:val="center"/>
          </w:tcPr>
          <w:p w:rsidR="00DF7F87" w:rsidRPr="0006278F" w:rsidRDefault="00DF7F87" w:rsidP="00A712C0">
            <w:pPr>
              <w:jc w:val="center"/>
              <w:rPr>
                <w:rFonts w:cs="Arial"/>
                <w:b/>
                <w:bCs/>
                <w:color w:val="000000"/>
              </w:rPr>
            </w:pPr>
            <w:r w:rsidRPr="0006278F">
              <w:rPr>
                <w:rFonts w:cs="Arial"/>
                <w:b/>
                <w:bCs/>
                <w:color w:val="000000"/>
                <w:sz w:val="22"/>
              </w:rPr>
              <w:t>Don't Know</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8%</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31%</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9%</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4</w:t>
            </w:r>
          </w:p>
        </w:tc>
        <w:tc>
          <w:tcPr>
            <w:tcW w:w="851" w:type="dxa"/>
            <w:vAlign w:val="center"/>
          </w:tcPr>
          <w:p w:rsidR="00DF7F87" w:rsidRPr="00421D8B" w:rsidRDefault="00DF7F87" w:rsidP="00421D8B">
            <w:pPr>
              <w:jc w:val="center"/>
              <w:rPr>
                <w:rFonts w:cs="Arial"/>
                <w:color w:val="000000"/>
                <w:szCs w:val="24"/>
              </w:rPr>
            </w:pPr>
            <w:r w:rsidRPr="00421D8B">
              <w:rPr>
                <w:rFonts w:cs="Arial"/>
                <w:color w:val="000000"/>
                <w:sz w:val="22"/>
              </w:rPr>
              <w:t>14.3%</w:t>
            </w:r>
          </w:p>
        </w:tc>
        <w:tc>
          <w:tcPr>
            <w:tcW w:w="850" w:type="dxa"/>
            <w:vAlign w:val="center"/>
          </w:tcPr>
          <w:p w:rsidR="00DF7F87" w:rsidRPr="0006278F" w:rsidRDefault="00DF7F87" w:rsidP="00A712C0">
            <w:pPr>
              <w:jc w:val="center"/>
              <w:rPr>
                <w:rFonts w:cs="Arial"/>
                <w:color w:val="000000"/>
              </w:rPr>
            </w:pPr>
            <w:r w:rsidRPr="0006278F">
              <w:rPr>
                <w:rFonts w:cs="Arial"/>
                <w:color w:val="000000"/>
                <w:sz w:val="22"/>
              </w:rPr>
              <w:t>21</w:t>
            </w:r>
          </w:p>
        </w:tc>
        <w:tc>
          <w:tcPr>
            <w:tcW w:w="851" w:type="dxa"/>
            <w:vAlign w:val="center"/>
          </w:tcPr>
          <w:p w:rsidR="00DF7F87" w:rsidRPr="0006278F" w:rsidRDefault="00DF7F87" w:rsidP="00A712C0">
            <w:pPr>
              <w:jc w:val="center"/>
              <w:rPr>
                <w:rFonts w:cs="Arial"/>
                <w:color w:val="000000"/>
              </w:rPr>
            </w:pPr>
            <w:r w:rsidRPr="0006278F">
              <w:rPr>
                <w:rFonts w:cs="Arial"/>
                <w:color w:val="000000"/>
                <w:sz w:val="22"/>
              </w:rPr>
              <w:t>15%</w:t>
            </w:r>
          </w:p>
        </w:tc>
      </w:tr>
    </w:tbl>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p>
    <w:p w:rsidR="00DF7F87" w:rsidRPr="00067988" w:rsidRDefault="00DF7F87" w:rsidP="00A712C0">
      <w:pPr>
        <w:pStyle w:val="NoSpacing"/>
        <w:rPr>
          <w:rFonts w:cs="Arial"/>
          <w:szCs w:val="24"/>
        </w:rPr>
      </w:pPr>
    </w:p>
    <w:p w:rsidR="00DF7F87" w:rsidRDefault="00DF7F87" w:rsidP="00A712C0">
      <w:r>
        <w:br w:type="page"/>
      </w:r>
    </w:p>
    <w:p w:rsidR="00DF7F87" w:rsidRPr="00420363" w:rsidRDefault="00DF7F87" w:rsidP="00A712C0">
      <w:pPr>
        <w:jc w:val="right"/>
        <w:rPr>
          <w:b/>
          <w:bCs/>
          <w:szCs w:val="24"/>
        </w:rPr>
      </w:pPr>
      <w:r w:rsidRPr="00420363">
        <w:rPr>
          <w:b/>
          <w:bCs/>
          <w:szCs w:val="24"/>
        </w:rPr>
        <w:t>Annex B</w:t>
      </w:r>
    </w:p>
    <w:p w:rsidR="00DF7F87" w:rsidRDefault="00DF7F87" w:rsidP="00A712C0">
      <w:pPr>
        <w:rPr>
          <w:b/>
          <w:bCs/>
          <w:sz w:val="36"/>
          <w:szCs w:val="36"/>
        </w:rPr>
      </w:pPr>
      <w:r>
        <w:rPr>
          <w:b/>
          <w:bCs/>
          <w:sz w:val="36"/>
          <w:szCs w:val="36"/>
        </w:rPr>
        <w:t>List of respondents to the consultation</w:t>
      </w:r>
    </w:p>
    <w:p w:rsidR="00DF7F87" w:rsidRPr="00636652" w:rsidRDefault="00DF7F87" w:rsidP="00A712C0">
      <w:pPr>
        <w:rPr>
          <w:b/>
          <w:bCs/>
          <w:szCs w:val="24"/>
        </w:rPr>
      </w:pPr>
    </w:p>
    <w:p w:rsidR="00DF7F87" w:rsidRDefault="00DF7F87" w:rsidP="00A712C0">
      <w:pPr>
        <w:ind w:left="357"/>
      </w:pPr>
      <w:r w:rsidRPr="00C603CD">
        <w:rPr>
          <w:rFonts w:cs="Arial"/>
          <w:szCs w:val="24"/>
          <w:lang w:eastAsia="en-GB"/>
        </w:rPr>
        <w:t>Afasic England (Alison Huneke)</w:t>
      </w:r>
    </w:p>
    <w:p w:rsidR="00DF7F87" w:rsidRDefault="00DF7F87" w:rsidP="00A712C0">
      <w:pPr>
        <w:ind w:left="357"/>
      </w:pPr>
      <w:r>
        <w:rPr>
          <w:rFonts w:cs="Arial"/>
          <w:szCs w:val="24"/>
          <w:lang w:eastAsia="en-GB"/>
        </w:rPr>
        <w:t>Akyurek, Dawn (British Embassy School A</w:t>
      </w:r>
      <w:r w:rsidRPr="00C603CD">
        <w:rPr>
          <w:rFonts w:cs="Arial"/>
          <w:szCs w:val="24"/>
          <w:lang w:eastAsia="en-GB"/>
        </w:rPr>
        <w:t>nkara)</w:t>
      </w:r>
    </w:p>
    <w:p w:rsidR="00DF7F87" w:rsidRDefault="00DF7F87" w:rsidP="00A712C0">
      <w:pPr>
        <w:ind w:left="357"/>
        <w:rPr>
          <w:rFonts w:cs="Arial"/>
          <w:szCs w:val="24"/>
          <w:lang w:eastAsia="en-GB"/>
        </w:rPr>
      </w:pPr>
      <w:r w:rsidRPr="00C603CD">
        <w:rPr>
          <w:rFonts w:cs="Arial"/>
          <w:szCs w:val="24"/>
          <w:lang w:eastAsia="en-GB"/>
        </w:rPr>
        <w:t>Alsop, Ingrid</w:t>
      </w:r>
    </w:p>
    <w:p w:rsidR="00DF7F87" w:rsidRDefault="00DF7F87" w:rsidP="00A712C0">
      <w:pPr>
        <w:ind w:left="357"/>
        <w:rPr>
          <w:rFonts w:cs="Arial"/>
          <w:szCs w:val="24"/>
          <w:lang w:eastAsia="en-GB"/>
        </w:rPr>
      </w:pPr>
      <w:r w:rsidRPr="00C603CD">
        <w:rPr>
          <w:rFonts w:cs="Arial"/>
          <w:szCs w:val="24"/>
          <w:lang w:eastAsia="en-GB"/>
        </w:rPr>
        <w:t>Andrew, Grace (</w:t>
      </w:r>
      <w:r>
        <w:rPr>
          <w:rFonts w:cs="Arial"/>
          <w:szCs w:val="24"/>
          <w:lang w:eastAsia="en-GB"/>
        </w:rPr>
        <w:t>K</w:t>
      </w:r>
      <w:r w:rsidRPr="00C603CD">
        <w:rPr>
          <w:rFonts w:cs="Arial"/>
          <w:szCs w:val="24"/>
          <w:lang w:eastAsia="en-GB"/>
        </w:rPr>
        <w:t>esteven and Grantham Girls' school)</w:t>
      </w:r>
    </w:p>
    <w:p w:rsidR="00DF7F87" w:rsidRPr="00C603CD" w:rsidRDefault="00DF7F87" w:rsidP="00A712C0">
      <w:pPr>
        <w:ind w:left="357"/>
        <w:rPr>
          <w:rFonts w:cs="Arial"/>
          <w:szCs w:val="24"/>
          <w:lang w:eastAsia="en-GB"/>
        </w:rPr>
      </w:pPr>
      <w:r w:rsidRPr="00C603CD">
        <w:rPr>
          <w:rFonts w:cs="Arial"/>
          <w:szCs w:val="24"/>
          <w:lang w:eastAsia="en-GB"/>
        </w:rPr>
        <w:t>Ashton on</w:t>
      </w:r>
      <w:r>
        <w:rPr>
          <w:rFonts w:cs="Arial"/>
          <w:szCs w:val="24"/>
          <w:lang w:eastAsia="en-GB"/>
        </w:rPr>
        <w:t xml:space="preserve"> Mersey School (Helen Mitchell)</w:t>
      </w:r>
    </w:p>
    <w:p w:rsidR="00DF7F87" w:rsidRPr="00C603CD" w:rsidRDefault="00DF7F87" w:rsidP="00A712C0">
      <w:pPr>
        <w:ind w:left="357"/>
        <w:rPr>
          <w:rFonts w:cs="Arial"/>
          <w:szCs w:val="24"/>
          <w:lang w:eastAsia="en-GB"/>
        </w:rPr>
      </w:pPr>
      <w:r w:rsidRPr="00C603CD">
        <w:rPr>
          <w:rFonts w:cs="Arial"/>
          <w:szCs w:val="24"/>
          <w:lang w:eastAsia="en-GB"/>
        </w:rPr>
        <w:t>Association of School an</w:t>
      </w:r>
      <w:r>
        <w:rPr>
          <w:rFonts w:cs="Arial"/>
          <w:szCs w:val="24"/>
          <w:lang w:eastAsia="en-GB"/>
        </w:rPr>
        <w:t>d College Leaders (Martin Ward)</w:t>
      </w:r>
    </w:p>
    <w:p w:rsidR="00DF7F87" w:rsidRPr="00C603CD" w:rsidRDefault="00DF7F87" w:rsidP="00A712C0">
      <w:pPr>
        <w:ind w:left="357"/>
        <w:rPr>
          <w:rFonts w:cs="Arial"/>
          <w:szCs w:val="24"/>
          <w:lang w:eastAsia="en-GB"/>
        </w:rPr>
      </w:pPr>
      <w:r>
        <w:rPr>
          <w:rFonts w:cs="Arial"/>
          <w:szCs w:val="24"/>
          <w:lang w:eastAsia="en-GB"/>
        </w:rPr>
        <w:t>Astall, David (Baines School)</w:t>
      </w:r>
    </w:p>
    <w:p w:rsidR="00DF7F87" w:rsidRPr="00C603CD" w:rsidRDefault="00DF7F87" w:rsidP="00A712C0">
      <w:pPr>
        <w:ind w:left="357"/>
        <w:rPr>
          <w:rFonts w:cs="Arial"/>
          <w:szCs w:val="24"/>
          <w:lang w:eastAsia="en-GB"/>
        </w:rPr>
      </w:pPr>
      <w:r>
        <w:rPr>
          <w:rFonts w:cs="Arial"/>
          <w:szCs w:val="24"/>
          <w:lang w:eastAsia="en-GB"/>
        </w:rPr>
        <w:t>Babcock4S (Moira Greenfield)</w:t>
      </w:r>
    </w:p>
    <w:p w:rsidR="00DF7F87" w:rsidRDefault="00DF7F87" w:rsidP="00A712C0">
      <w:pPr>
        <w:ind w:left="357"/>
        <w:rPr>
          <w:rFonts w:cs="Arial"/>
          <w:szCs w:val="24"/>
          <w:lang w:eastAsia="en-GB"/>
        </w:rPr>
      </w:pPr>
      <w:r>
        <w:rPr>
          <w:rFonts w:cs="Arial"/>
          <w:szCs w:val="24"/>
          <w:lang w:eastAsia="en-GB"/>
        </w:rPr>
        <w:t>Bastick, Claire</w:t>
      </w:r>
    </w:p>
    <w:p w:rsidR="00DF7F87" w:rsidRPr="00C603CD" w:rsidRDefault="00DF7F87" w:rsidP="00A712C0">
      <w:pPr>
        <w:ind w:left="357"/>
        <w:rPr>
          <w:rFonts w:cs="Arial"/>
          <w:szCs w:val="24"/>
          <w:lang w:eastAsia="en-GB"/>
        </w:rPr>
      </w:pPr>
      <w:r w:rsidRPr="00C603CD">
        <w:rPr>
          <w:rFonts w:cs="Arial"/>
          <w:szCs w:val="24"/>
          <w:lang w:eastAsia="en-GB"/>
        </w:rPr>
        <w:t>Be</w:t>
      </w:r>
      <w:r>
        <w:rPr>
          <w:rFonts w:cs="Arial"/>
          <w:szCs w:val="24"/>
          <w:lang w:eastAsia="en-GB"/>
        </w:rPr>
        <w:t>averwood School (Gareth Rutter)</w:t>
      </w:r>
    </w:p>
    <w:p w:rsidR="00DF7F87" w:rsidRPr="00C603CD" w:rsidRDefault="00DF7F87" w:rsidP="00A712C0">
      <w:pPr>
        <w:ind w:left="357"/>
        <w:rPr>
          <w:rFonts w:cs="Arial"/>
          <w:szCs w:val="24"/>
          <w:lang w:eastAsia="en-GB"/>
        </w:rPr>
      </w:pPr>
      <w:r w:rsidRPr="00C603CD">
        <w:rPr>
          <w:rFonts w:cs="Arial"/>
          <w:szCs w:val="24"/>
          <w:lang w:eastAsia="en-GB"/>
        </w:rPr>
        <w:t>B</w:t>
      </w:r>
      <w:r>
        <w:rPr>
          <w:rFonts w:cs="Arial"/>
          <w:szCs w:val="24"/>
          <w:lang w:eastAsia="en-GB"/>
        </w:rPr>
        <w:t>edford Borough LA (Ian Lindsay)</w:t>
      </w:r>
    </w:p>
    <w:p w:rsidR="00DF7F87" w:rsidRPr="00C603CD" w:rsidRDefault="00DF7F87" w:rsidP="00A712C0">
      <w:pPr>
        <w:ind w:left="357"/>
        <w:rPr>
          <w:rFonts w:cs="Arial"/>
          <w:szCs w:val="24"/>
          <w:lang w:eastAsia="en-GB"/>
        </w:rPr>
      </w:pPr>
      <w:r>
        <w:rPr>
          <w:rFonts w:cs="Arial"/>
          <w:szCs w:val="24"/>
          <w:lang w:eastAsia="en-GB"/>
        </w:rPr>
        <w:t>Bexley LA (Meagan Bates)</w:t>
      </w:r>
    </w:p>
    <w:p w:rsidR="00DF7F87" w:rsidRPr="00C603CD" w:rsidRDefault="00DF7F87" w:rsidP="00A712C0">
      <w:pPr>
        <w:ind w:left="357"/>
        <w:rPr>
          <w:rFonts w:cs="Arial"/>
          <w:szCs w:val="24"/>
          <w:lang w:eastAsia="en-GB"/>
        </w:rPr>
      </w:pPr>
      <w:r w:rsidRPr="00C603CD">
        <w:rPr>
          <w:rFonts w:cs="Arial"/>
          <w:szCs w:val="24"/>
          <w:lang w:eastAsia="en-GB"/>
        </w:rPr>
        <w:t>Birmingham City Cou</w:t>
      </w:r>
      <w:r>
        <w:rPr>
          <w:rFonts w:cs="Arial"/>
          <w:szCs w:val="24"/>
          <w:lang w:eastAsia="en-GB"/>
        </w:rPr>
        <w:t>ncil (Mary Higgins/Sarah Wager)</w:t>
      </w:r>
    </w:p>
    <w:p w:rsidR="00DF7F87" w:rsidRPr="00C603CD" w:rsidRDefault="00DF7F87" w:rsidP="00A712C0">
      <w:pPr>
        <w:ind w:left="357"/>
        <w:rPr>
          <w:rFonts w:cs="Arial"/>
          <w:szCs w:val="24"/>
          <w:lang w:eastAsia="en-GB"/>
        </w:rPr>
      </w:pPr>
      <w:r w:rsidRPr="00C603CD">
        <w:rPr>
          <w:rFonts w:cs="Arial"/>
          <w:szCs w:val="24"/>
          <w:lang w:eastAsia="en-GB"/>
        </w:rPr>
        <w:t>Birmingham City University, Scho</w:t>
      </w:r>
      <w:r>
        <w:rPr>
          <w:rFonts w:cs="Arial"/>
          <w:szCs w:val="24"/>
          <w:lang w:eastAsia="en-GB"/>
        </w:rPr>
        <w:t>ol of Education (Janet Hoskyns)</w:t>
      </w:r>
    </w:p>
    <w:p w:rsidR="00DF7F87" w:rsidRPr="00C603CD" w:rsidRDefault="00DF7F87" w:rsidP="00A712C0">
      <w:pPr>
        <w:ind w:left="357"/>
        <w:rPr>
          <w:rFonts w:cs="Arial"/>
          <w:szCs w:val="24"/>
          <w:lang w:eastAsia="en-GB"/>
        </w:rPr>
      </w:pPr>
      <w:r>
        <w:rPr>
          <w:rFonts w:cs="Arial"/>
          <w:szCs w:val="24"/>
          <w:lang w:eastAsia="en-GB"/>
        </w:rPr>
        <w:t>Blaus, Elaine (King's College)</w:t>
      </w:r>
    </w:p>
    <w:p w:rsidR="00DF7F87" w:rsidRPr="00C603CD" w:rsidRDefault="00DF7F87" w:rsidP="00A712C0">
      <w:pPr>
        <w:ind w:left="357"/>
        <w:rPr>
          <w:rFonts w:cs="Arial"/>
          <w:szCs w:val="24"/>
          <w:lang w:eastAsia="en-GB"/>
        </w:rPr>
      </w:pPr>
      <w:r w:rsidRPr="00C603CD">
        <w:rPr>
          <w:rFonts w:cs="Arial"/>
          <w:szCs w:val="24"/>
          <w:lang w:eastAsia="en-GB"/>
        </w:rPr>
        <w:t>Bloomfield, Alan (Cran</w:t>
      </w:r>
      <w:r>
        <w:rPr>
          <w:rFonts w:cs="Arial"/>
          <w:szCs w:val="24"/>
          <w:lang w:eastAsia="en-GB"/>
        </w:rPr>
        <w:t>ham C of E (VA) Primary School)</w:t>
      </w:r>
    </w:p>
    <w:p w:rsidR="00DF7F87" w:rsidRPr="00C603CD" w:rsidRDefault="00DF7F87" w:rsidP="00A712C0">
      <w:pPr>
        <w:ind w:left="357"/>
        <w:rPr>
          <w:rFonts w:cs="Arial"/>
          <w:szCs w:val="24"/>
          <w:lang w:eastAsia="en-GB"/>
        </w:rPr>
      </w:pPr>
      <w:r w:rsidRPr="00C603CD">
        <w:rPr>
          <w:rFonts w:cs="Arial"/>
          <w:szCs w:val="24"/>
          <w:lang w:eastAsia="en-GB"/>
        </w:rPr>
        <w:t>Bournemouth Loca</w:t>
      </w:r>
      <w:r>
        <w:rPr>
          <w:rFonts w:cs="Arial"/>
          <w:szCs w:val="24"/>
          <w:lang w:eastAsia="en-GB"/>
        </w:rPr>
        <w:t>l Authority (Frankie Stevenson)</w:t>
      </w:r>
    </w:p>
    <w:p w:rsidR="00DF7F87" w:rsidRPr="00C603CD" w:rsidRDefault="00DF7F87" w:rsidP="00A712C0">
      <w:pPr>
        <w:ind w:left="357"/>
        <w:rPr>
          <w:rFonts w:cs="Arial"/>
          <w:szCs w:val="24"/>
          <w:lang w:eastAsia="en-GB"/>
        </w:rPr>
      </w:pPr>
      <w:r w:rsidRPr="00C603CD">
        <w:rPr>
          <w:rFonts w:cs="Arial"/>
          <w:szCs w:val="24"/>
          <w:lang w:eastAsia="en-GB"/>
        </w:rPr>
        <w:t>Brewer,</w:t>
      </w:r>
      <w:r>
        <w:rPr>
          <w:rFonts w:cs="Arial"/>
          <w:szCs w:val="24"/>
          <w:lang w:eastAsia="en-GB"/>
        </w:rPr>
        <w:t xml:space="preserve"> Fiona (City of London Academy Islington)</w:t>
      </w:r>
    </w:p>
    <w:p w:rsidR="00DF7F87" w:rsidRPr="00C603CD" w:rsidRDefault="00DF7F87" w:rsidP="00A712C0">
      <w:pPr>
        <w:ind w:left="357"/>
        <w:rPr>
          <w:rFonts w:cs="Arial"/>
          <w:szCs w:val="24"/>
          <w:lang w:eastAsia="en-GB"/>
        </w:rPr>
      </w:pPr>
      <w:r w:rsidRPr="00C603CD">
        <w:rPr>
          <w:rFonts w:cs="Arial"/>
          <w:szCs w:val="24"/>
          <w:lang w:eastAsia="en-GB"/>
        </w:rPr>
        <w:t>Bright</w:t>
      </w:r>
      <w:r>
        <w:rPr>
          <w:rFonts w:cs="Arial"/>
          <w:szCs w:val="24"/>
          <w:lang w:eastAsia="en-GB"/>
        </w:rPr>
        <w:t>on &amp; Hove City Council (Sharon M</w:t>
      </w:r>
      <w:r w:rsidRPr="00C603CD">
        <w:rPr>
          <w:rFonts w:cs="Arial"/>
          <w:szCs w:val="24"/>
          <w:lang w:eastAsia="en-GB"/>
        </w:rPr>
        <w:t>ackenzie)</w:t>
      </w:r>
    </w:p>
    <w:p w:rsidR="00DF7F87" w:rsidRPr="00C603CD" w:rsidRDefault="00DF7F87" w:rsidP="00A712C0">
      <w:pPr>
        <w:ind w:left="357"/>
        <w:rPr>
          <w:rFonts w:cs="Arial"/>
          <w:szCs w:val="24"/>
          <w:lang w:eastAsia="en-GB"/>
        </w:rPr>
      </w:pPr>
      <w:r w:rsidRPr="00C603CD">
        <w:rPr>
          <w:rFonts w:cs="Arial"/>
          <w:szCs w:val="24"/>
          <w:lang w:eastAsia="en-GB"/>
        </w:rPr>
        <w:t>British International Schoo</w:t>
      </w:r>
      <w:r>
        <w:rPr>
          <w:rFonts w:cs="Arial"/>
          <w:szCs w:val="24"/>
          <w:lang w:eastAsia="en-GB"/>
        </w:rPr>
        <w:t>l of Ljubljana (Jeremy Hibbins)</w:t>
      </w:r>
    </w:p>
    <w:p w:rsidR="00DF7F87" w:rsidRPr="00C603CD" w:rsidRDefault="00DF7F87" w:rsidP="00A712C0">
      <w:pPr>
        <w:ind w:left="357"/>
        <w:rPr>
          <w:rFonts w:cs="Arial"/>
          <w:szCs w:val="24"/>
          <w:lang w:eastAsia="en-GB"/>
        </w:rPr>
      </w:pPr>
      <w:r w:rsidRPr="00C603CD">
        <w:rPr>
          <w:rFonts w:cs="Arial"/>
          <w:szCs w:val="24"/>
          <w:lang w:eastAsia="en-GB"/>
        </w:rPr>
        <w:t>British Junior Academy of Brussels, The (Diane Perry)</w:t>
      </w:r>
    </w:p>
    <w:p w:rsidR="00DF7F87" w:rsidRPr="00C603CD" w:rsidRDefault="00DF7F87" w:rsidP="00A712C0">
      <w:pPr>
        <w:ind w:left="357"/>
        <w:rPr>
          <w:rFonts w:cs="Arial"/>
          <w:szCs w:val="24"/>
          <w:lang w:eastAsia="en-GB"/>
        </w:rPr>
      </w:pPr>
      <w:r w:rsidRPr="00C603CD">
        <w:rPr>
          <w:rFonts w:cs="Arial"/>
          <w:szCs w:val="24"/>
          <w:lang w:eastAsia="en-GB"/>
        </w:rPr>
        <w:t>British Schoo</w:t>
      </w:r>
      <w:r>
        <w:rPr>
          <w:rFonts w:cs="Arial"/>
          <w:szCs w:val="24"/>
          <w:lang w:eastAsia="en-GB"/>
        </w:rPr>
        <w:t>l of Bucharest (Jo Puddy Wells)</w:t>
      </w:r>
    </w:p>
    <w:p w:rsidR="00DF7F87" w:rsidRPr="00C603CD" w:rsidRDefault="00DF7F87" w:rsidP="00A712C0">
      <w:pPr>
        <w:ind w:left="357"/>
        <w:rPr>
          <w:rFonts w:cs="Arial"/>
          <w:szCs w:val="24"/>
          <w:lang w:eastAsia="en-GB"/>
        </w:rPr>
      </w:pPr>
      <w:r w:rsidRPr="00C603CD">
        <w:rPr>
          <w:rFonts w:cs="Arial"/>
          <w:szCs w:val="24"/>
          <w:lang w:eastAsia="en-GB"/>
        </w:rPr>
        <w:t>Bromley Sc</w:t>
      </w:r>
      <w:r>
        <w:rPr>
          <w:rFonts w:cs="Arial"/>
          <w:szCs w:val="24"/>
          <w:lang w:eastAsia="en-GB"/>
        </w:rPr>
        <w:t>hools' Collegiate (Sue Collier)</w:t>
      </w:r>
    </w:p>
    <w:p w:rsidR="00DF7F87" w:rsidRPr="00C603CD" w:rsidRDefault="00DF7F87" w:rsidP="00A712C0">
      <w:pPr>
        <w:ind w:left="357"/>
        <w:rPr>
          <w:rFonts w:cs="Arial"/>
          <w:szCs w:val="24"/>
          <w:lang w:eastAsia="en-GB"/>
        </w:rPr>
      </w:pPr>
      <w:r w:rsidRPr="00C603CD">
        <w:rPr>
          <w:rFonts w:cs="Arial"/>
          <w:szCs w:val="24"/>
          <w:lang w:eastAsia="en-GB"/>
        </w:rPr>
        <w:t xml:space="preserve">Buckinghamshire </w:t>
      </w:r>
      <w:r>
        <w:rPr>
          <w:rFonts w:cs="Arial"/>
          <w:szCs w:val="24"/>
          <w:lang w:eastAsia="en-GB"/>
        </w:rPr>
        <w:t>County Council (Simon Lockwood)</w:t>
      </w:r>
    </w:p>
    <w:p w:rsidR="00DF7F87" w:rsidRPr="00C603CD" w:rsidRDefault="00DF7F87" w:rsidP="00A712C0">
      <w:pPr>
        <w:ind w:left="357"/>
        <w:rPr>
          <w:rFonts w:cs="Arial"/>
          <w:szCs w:val="24"/>
          <w:lang w:eastAsia="en-GB"/>
        </w:rPr>
      </w:pPr>
      <w:r>
        <w:rPr>
          <w:rFonts w:cs="Arial"/>
          <w:szCs w:val="24"/>
          <w:lang w:eastAsia="en-GB"/>
        </w:rPr>
        <w:t>Burnett, Nicola</w:t>
      </w:r>
    </w:p>
    <w:p w:rsidR="00DF7F87" w:rsidRPr="00C603CD" w:rsidRDefault="00DF7F87" w:rsidP="00A712C0">
      <w:pPr>
        <w:ind w:left="357"/>
        <w:rPr>
          <w:rFonts w:cs="Arial"/>
          <w:szCs w:val="24"/>
          <w:lang w:eastAsia="en-GB"/>
        </w:rPr>
      </w:pPr>
      <w:r w:rsidRPr="00C603CD">
        <w:rPr>
          <w:rFonts w:cs="Arial"/>
          <w:szCs w:val="24"/>
          <w:lang w:eastAsia="en-GB"/>
        </w:rPr>
        <w:t>Cambridgeshire LA NQT Ap</w:t>
      </w:r>
      <w:r>
        <w:rPr>
          <w:rFonts w:cs="Arial"/>
          <w:szCs w:val="24"/>
          <w:lang w:eastAsia="en-GB"/>
        </w:rPr>
        <w:t>propriate Body (Barbara Deacon)</w:t>
      </w:r>
    </w:p>
    <w:p w:rsidR="00DF7F87" w:rsidRPr="00C603CD" w:rsidRDefault="00DF7F87" w:rsidP="00A712C0">
      <w:pPr>
        <w:ind w:left="357"/>
        <w:rPr>
          <w:rFonts w:cs="Arial"/>
          <w:szCs w:val="24"/>
          <w:lang w:eastAsia="en-GB"/>
        </w:rPr>
      </w:pPr>
      <w:r w:rsidRPr="00C603CD">
        <w:rPr>
          <w:rFonts w:cs="Arial"/>
          <w:szCs w:val="24"/>
          <w:lang w:eastAsia="en-GB"/>
        </w:rPr>
        <w:t>Central Bed</w:t>
      </w:r>
      <w:r>
        <w:rPr>
          <w:rFonts w:cs="Arial"/>
          <w:szCs w:val="24"/>
          <w:lang w:eastAsia="en-GB"/>
        </w:rPr>
        <w:t>fordshire Council (Sally Dakin)</w:t>
      </w:r>
    </w:p>
    <w:p w:rsidR="00DF7F87" w:rsidRPr="00C603CD" w:rsidRDefault="00DF7F87" w:rsidP="00A712C0">
      <w:pPr>
        <w:ind w:left="357"/>
        <w:rPr>
          <w:rFonts w:cs="Arial"/>
          <w:szCs w:val="24"/>
          <w:lang w:eastAsia="en-GB"/>
        </w:rPr>
      </w:pPr>
      <w:r w:rsidRPr="00C603CD">
        <w:rPr>
          <w:rFonts w:cs="Arial"/>
          <w:szCs w:val="24"/>
          <w:lang w:eastAsia="en-GB"/>
        </w:rPr>
        <w:t>Challen</w:t>
      </w:r>
      <w:r>
        <w:rPr>
          <w:rFonts w:cs="Arial"/>
          <w:szCs w:val="24"/>
          <w:lang w:eastAsia="en-GB"/>
        </w:rPr>
        <w:t>, D (University of Southampton)</w:t>
      </w:r>
    </w:p>
    <w:p w:rsidR="00DF7F87" w:rsidRPr="00C603CD" w:rsidRDefault="00DF7F87" w:rsidP="00A712C0">
      <w:pPr>
        <w:ind w:left="357"/>
        <w:rPr>
          <w:rFonts w:cs="Arial"/>
          <w:szCs w:val="24"/>
          <w:lang w:eastAsia="en-GB"/>
        </w:rPr>
      </w:pPr>
      <w:r w:rsidRPr="00C603CD">
        <w:rPr>
          <w:rFonts w:cs="Arial"/>
          <w:szCs w:val="24"/>
          <w:lang w:eastAsia="en-GB"/>
        </w:rPr>
        <w:t>Church of England Education Division and th</w:t>
      </w:r>
      <w:r>
        <w:rPr>
          <w:rFonts w:cs="Arial"/>
          <w:szCs w:val="24"/>
          <w:lang w:eastAsia="en-GB"/>
        </w:rPr>
        <w:t>e National Society (Liz Carter)</w:t>
      </w:r>
    </w:p>
    <w:p w:rsidR="00DF7F87" w:rsidRPr="00C603CD" w:rsidRDefault="00DF7F87" w:rsidP="00A712C0">
      <w:pPr>
        <w:ind w:left="357"/>
        <w:rPr>
          <w:rFonts w:cs="Arial"/>
          <w:szCs w:val="24"/>
          <w:lang w:eastAsia="en-GB"/>
        </w:rPr>
      </w:pPr>
      <w:r w:rsidRPr="00C603CD">
        <w:rPr>
          <w:rFonts w:cs="Arial"/>
          <w:szCs w:val="24"/>
          <w:lang w:eastAsia="en-GB"/>
        </w:rPr>
        <w:t>Clarke, John (</w:t>
      </w:r>
      <w:r>
        <w:rPr>
          <w:rFonts w:cs="Arial"/>
          <w:szCs w:val="24"/>
          <w:lang w:eastAsia="en-GB"/>
        </w:rPr>
        <w:t>University of East London)</w:t>
      </w:r>
    </w:p>
    <w:p w:rsidR="00DF7F87" w:rsidRPr="00C603CD" w:rsidRDefault="00DF7F87" w:rsidP="00A712C0">
      <w:pPr>
        <w:ind w:left="357"/>
        <w:rPr>
          <w:rFonts w:cs="Arial"/>
          <w:szCs w:val="24"/>
          <w:lang w:eastAsia="en-GB"/>
        </w:rPr>
      </w:pPr>
      <w:r>
        <w:rPr>
          <w:rFonts w:cs="Arial"/>
          <w:szCs w:val="24"/>
          <w:lang w:eastAsia="en-GB"/>
        </w:rPr>
        <w:t>Clarke, David</w:t>
      </w:r>
    </w:p>
    <w:p w:rsidR="00DF7F87" w:rsidRPr="00C603CD" w:rsidRDefault="00DF7F87" w:rsidP="00A712C0">
      <w:pPr>
        <w:ind w:left="357"/>
        <w:rPr>
          <w:rFonts w:cs="Arial"/>
          <w:szCs w:val="24"/>
          <w:lang w:eastAsia="en-GB"/>
        </w:rPr>
      </w:pPr>
      <w:r>
        <w:rPr>
          <w:rFonts w:cs="Arial"/>
          <w:szCs w:val="24"/>
          <w:lang w:eastAsia="en-GB"/>
        </w:rPr>
        <w:t>COBIS (Colin Bell)</w:t>
      </w:r>
    </w:p>
    <w:p w:rsidR="00DF7F87" w:rsidRPr="00C603CD" w:rsidRDefault="00DF7F87" w:rsidP="00A712C0">
      <w:pPr>
        <w:ind w:left="357"/>
        <w:rPr>
          <w:rFonts w:cs="Arial"/>
          <w:szCs w:val="24"/>
          <w:lang w:eastAsia="en-GB"/>
        </w:rPr>
      </w:pPr>
      <w:r w:rsidRPr="00C603CD">
        <w:rPr>
          <w:rFonts w:cs="Arial"/>
          <w:szCs w:val="24"/>
          <w:lang w:eastAsia="en-GB"/>
        </w:rPr>
        <w:t xml:space="preserve">Compton </w:t>
      </w:r>
      <w:r>
        <w:rPr>
          <w:rFonts w:cs="Arial"/>
          <w:szCs w:val="24"/>
          <w:lang w:eastAsia="en-GB"/>
        </w:rPr>
        <w:t>School, The (Emma Hazlegreaves)</w:t>
      </w:r>
    </w:p>
    <w:p w:rsidR="00DF7F87" w:rsidRPr="00C603CD" w:rsidRDefault="00DF7F87" w:rsidP="00A712C0">
      <w:pPr>
        <w:ind w:left="357"/>
        <w:rPr>
          <w:rFonts w:cs="Arial"/>
          <w:szCs w:val="24"/>
          <w:lang w:eastAsia="en-GB"/>
        </w:rPr>
      </w:pPr>
      <w:r>
        <w:rPr>
          <w:rFonts w:cs="Arial"/>
          <w:szCs w:val="24"/>
          <w:lang w:eastAsia="en-GB"/>
        </w:rPr>
        <w:t>Cook, Gillian</w:t>
      </w:r>
    </w:p>
    <w:p w:rsidR="00DF7F87" w:rsidRPr="00C603CD" w:rsidRDefault="00DF7F87" w:rsidP="00A712C0">
      <w:pPr>
        <w:ind w:left="357"/>
        <w:rPr>
          <w:rFonts w:cs="Arial"/>
          <w:szCs w:val="24"/>
          <w:lang w:eastAsia="en-GB"/>
        </w:rPr>
      </w:pPr>
      <w:r>
        <w:rPr>
          <w:rFonts w:cs="Arial"/>
          <w:szCs w:val="24"/>
          <w:lang w:eastAsia="en-GB"/>
        </w:rPr>
        <w:t>Cooper, Bridget</w:t>
      </w:r>
    </w:p>
    <w:p w:rsidR="00DF7F87" w:rsidRPr="00C603CD" w:rsidRDefault="00DF7F87" w:rsidP="00A712C0">
      <w:pPr>
        <w:ind w:left="357"/>
        <w:rPr>
          <w:rFonts w:cs="Arial"/>
          <w:szCs w:val="24"/>
          <w:lang w:eastAsia="en-GB"/>
        </w:rPr>
      </w:pPr>
      <w:r w:rsidRPr="00C603CD">
        <w:rPr>
          <w:rFonts w:cs="Arial"/>
          <w:szCs w:val="24"/>
          <w:lang w:eastAsia="en-GB"/>
        </w:rPr>
        <w:t>Coventr</w:t>
      </w:r>
      <w:r>
        <w:rPr>
          <w:rFonts w:cs="Arial"/>
          <w:szCs w:val="24"/>
          <w:lang w:eastAsia="en-GB"/>
        </w:rPr>
        <w:t>y Local Authority (Ken Hartley)</w:t>
      </w:r>
    </w:p>
    <w:p w:rsidR="00DF7F87" w:rsidRPr="00C603CD" w:rsidRDefault="00DF7F87" w:rsidP="00A712C0">
      <w:pPr>
        <w:ind w:left="357"/>
        <w:rPr>
          <w:rFonts w:cs="Arial"/>
          <w:szCs w:val="24"/>
          <w:lang w:eastAsia="en-GB"/>
        </w:rPr>
      </w:pPr>
      <w:r w:rsidRPr="00C603CD">
        <w:rPr>
          <w:rFonts w:cs="Arial"/>
          <w:szCs w:val="24"/>
          <w:lang w:eastAsia="en-GB"/>
        </w:rPr>
        <w:t>Department of Children and Young People Services London B</w:t>
      </w:r>
      <w:r>
        <w:rPr>
          <w:rFonts w:cs="Arial"/>
          <w:szCs w:val="24"/>
          <w:lang w:eastAsia="en-GB"/>
        </w:rPr>
        <w:t>orough of Bromley (Elaine Wood)</w:t>
      </w:r>
    </w:p>
    <w:p w:rsidR="00DF7F87" w:rsidRPr="00C603CD" w:rsidRDefault="00DF7F87" w:rsidP="00A712C0">
      <w:pPr>
        <w:ind w:left="357"/>
        <w:rPr>
          <w:rFonts w:cs="Arial"/>
          <w:szCs w:val="24"/>
          <w:lang w:eastAsia="en-GB"/>
        </w:rPr>
      </w:pPr>
      <w:r>
        <w:rPr>
          <w:rFonts w:cs="Arial"/>
          <w:szCs w:val="24"/>
          <w:lang w:eastAsia="en-GB"/>
        </w:rPr>
        <w:t>Durham LA (Peter Harrison)</w:t>
      </w:r>
    </w:p>
    <w:p w:rsidR="00DF7F87" w:rsidRDefault="00DF7F87" w:rsidP="00A712C0">
      <w:pPr>
        <w:ind w:left="357"/>
        <w:rPr>
          <w:rFonts w:cs="Arial"/>
          <w:szCs w:val="24"/>
          <w:lang w:eastAsia="en-GB"/>
        </w:rPr>
      </w:pPr>
      <w:r w:rsidRPr="00C603CD">
        <w:rPr>
          <w:rFonts w:cs="Arial"/>
          <w:szCs w:val="24"/>
          <w:lang w:eastAsia="en-GB"/>
        </w:rPr>
        <w:t>Early Learning Associa</w:t>
      </w:r>
      <w:r>
        <w:rPr>
          <w:rFonts w:cs="Arial"/>
          <w:szCs w:val="24"/>
          <w:lang w:eastAsia="en-GB"/>
        </w:rPr>
        <w:t>tion - ELA (Bernadette Allison)</w:t>
      </w:r>
    </w:p>
    <w:p w:rsidR="00DF7F87" w:rsidRPr="00C603CD" w:rsidRDefault="00DF7F87" w:rsidP="00A712C0">
      <w:pPr>
        <w:ind w:left="357"/>
        <w:rPr>
          <w:rFonts w:cs="Arial"/>
          <w:szCs w:val="24"/>
          <w:lang w:eastAsia="en-GB"/>
        </w:rPr>
      </w:pPr>
      <w:r w:rsidRPr="00C603CD">
        <w:rPr>
          <w:rFonts w:cs="Arial"/>
          <w:szCs w:val="24"/>
          <w:lang w:eastAsia="en-GB"/>
        </w:rPr>
        <w:t>East Midlands Induction</w:t>
      </w:r>
      <w:r>
        <w:rPr>
          <w:rFonts w:cs="Arial"/>
          <w:szCs w:val="24"/>
          <w:lang w:eastAsia="en-GB"/>
        </w:rPr>
        <w:t xml:space="preserve"> Coordinators (Lesley Eldridge)</w:t>
      </w:r>
    </w:p>
    <w:p w:rsidR="00DF7F87" w:rsidRPr="00C603CD" w:rsidRDefault="00DF7F87" w:rsidP="00A712C0">
      <w:pPr>
        <w:ind w:left="357"/>
        <w:rPr>
          <w:rFonts w:cs="Arial"/>
          <w:szCs w:val="24"/>
          <w:lang w:eastAsia="en-GB"/>
        </w:rPr>
      </w:pPr>
      <w:r w:rsidRPr="00C603CD">
        <w:rPr>
          <w:rFonts w:cs="Arial"/>
          <w:szCs w:val="24"/>
          <w:lang w:eastAsia="en-GB"/>
        </w:rPr>
        <w:t xml:space="preserve">Eastern Region NQT Partnership (Robert </w:t>
      </w:r>
      <w:r>
        <w:rPr>
          <w:rFonts w:cs="Arial"/>
          <w:szCs w:val="24"/>
          <w:lang w:eastAsia="en-GB"/>
        </w:rPr>
        <w:t>Maliff)</w:t>
      </w:r>
    </w:p>
    <w:p w:rsidR="00DF7F87" w:rsidRPr="00C603CD" w:rsidRDefault="00DF7F87" w:rsidP="00A712C0">
      <w:pPr>
        <w:ind w:left="357"/>
        <w:rPr>
          <w:rFonts w:cs="Arial"/>
          <w:szCs w:val="24"/>
          <w:lang w:eastAsia="en-GB"/>
        </w:rPr>
      </w:pPr>
      <w:r w:rsidRPr="00C603CD">
        <w:rPr>
          <w:rFonts w:cs="Arial"/>
          <w:szCs w:val="24"/>
          <w:lang w:eastAsia="en-GB"/>
        </w:rPr>
        <w:t>ELA Prim</w:t>
      </w:r>
      <w:r>
        <w:rPr>
          <w:rFonts w:cs="Arial"/>
          <w:szCs w:val="24"/>
          <w:lang w:eastAsia="en-GB"/>
        </w:rPr>
        <w:t>ary School (Bernadette Allison)</w:t>
      </w:r>
    </w:p>
    <w:p w:rsidR="00DF7F87" w:rsidRPr="00C603CD" w:rsidRDefault="00DF7F87" w:rsidP="00A712C0">
      <w:pPr>
        <w:ind w:left="357"/>
        <w:rPr>
          <w:rFonts w:cs="Arial"/>
          <w:szCs w:val="24"/>
          <w:lang w:eastAsia="en-GB"/>
        </w:rPr>
      </w:pPr>
      <w:r w:rsidRPr="00C603CD">
        <w:rPr>
          <w:rFonts w:cs="Arial"/>
          <w:szCs w:val="24"/>
          <w:lang w:eastAsia="en-GB"/>
        </w:rPr>
        <w:t>Eldridge, Lesley (N</w:t>
      </w:r>
      <w:r>
        <w:rPr>
          <w:rFonts w:cs="Arial"/>
          <w:szCs w:val="24"/>
          <w:lang w:eastAsia="en-GB"/>
        </w:rPr>
        <w:t>orthamptonshire County Council)</w:t>
      </w:r>
    </w:p>
    <w:p w:rsidR="00DF7F87" w:rsidRPr="00C603CD" w:rsidRDefault="00DF7F87" w:rsidP="00A712C0">
      <w:pPr>
        <w:ind w:left="357"/>
        <w:rPr>
          <w:rFonts w:cs="Arial"/>
          <w:szCs w:val="24"/>
          <w:lang w:eastAsia="en-GB"/>
        </w:rPr>
      </w:pPr>
      <w:r w:rsidRPr="00C603CD">
        <w:rPr>
          <w:rFonts w:cs="Arial"/>
          <w:szCs w:val="24"/>
          <w:lang w:eastAsia="en-GB"/>
        </w:rPr>
        <w:t>Elphick-Pooley, Jeremy</w:t>
      </w:r>
    </w:p>
    <w:p w:rsidR="00DF7F87" w:rsidRPr="00C603CD" w:rsidRDefault="00DF7F87" w:rsidP="00A712C0">
      <w:pPr>
        <w:ind w:left="357"/>
        <w:rPr>
          <w:rFonts w:cs="Arial"/>
          <w:szCs w:val="24"/>
          <w:lang w:eastAsia="en-GB"/>
        </w:rPr>
      </w:pPr>
      <w:r>
        <w:rPr>
          <w:rFonts w:cs="Arial"/>
          <w:szCs w:val="24"/>
          <w:lang w:eastAsia="en-GB"/>
        </w:rPr>
        <w:t>Eteach UK Ltd (Gerry Manolas)</w:t>
      </w:r>
    </w:p>
    <w:p w:rsidR="00DF7F87" w:rsidRPr="00C603CD" w:rsidRDefault="00DF7F87" w:rsidP="00A712C0">
      <w:pPr>
        <w:ind w:left="357"/>
        <w:rPr>
          <w:rFonts w:cs="Arial"/>
          <w:szCs w:val="24"/>
          <w:lang w:eastAsia="en-GB"/>
        </w:rPr>
      </w:pPr>
      <w:r>
        <w:rPr>
          <w:rFonts w:cs="Arial"/>
          <w:szCs w:val="24"/>
          <w:lang w:eastAsia="en-GB"/>
        </w:rPr>
        <w:t>Etherington, Jani</w:t>
      </w:r>
    </w:p>
    <w:p w:rsidR="00DF7F87" w:rsidRPr="00C603CD" w:rsidRDefault="00DF7F87" w:rsidP="00A712C0">
      <w:pPr>
        <w:ind w:left="357"/>
        <w:rPr>
          <w:rFonts w:cs="Arial"/>
          <w:szCs w:val="24"/>
          <w:lang w:eastAsia="en-GB"/>
        </w:rPr>
      </w:pPr>
      <w:r>
        <w:rPr>
          <w:rFonts w:cs="Arial"/>
          <w:szCs w:val="24"/>
          <w:lang w:eastAsia="en-GB"/>
        </w:rPr>
        <w:t>Euro Lyceum (Ralitsa Voynova)</w:t>
      </w:r>
    </w:p>
    <w:p w:rsidR="00DF7F87" w:rsidRPr="00C603CD" w:rsidRDefault="00DF7F87" w:rsidP="00A712C0">
      <w:pPr>
        <w:ind w:left="357"/>
        <w:rPr>
          <w:rFonts w:cs="Arial"/>
          <w:szCs w:val="24"/>
          <w:lang w:eastAsia="en-GB"/>
        </w:rPr>
      </w:pPr>
      <w:r>
        <w:rPr>
          <w:rFonts w:cs="Arial"/>
          <w:szCs w:val="24"/>
          <w:lang w:eastAsia="en-GB"/>
        </w:rPr>
        <w:t>E</w:t>
      </w:r>
      <w:r w:rsidRPr="00C603CD">
        <w:rPr>
          <w:rFonts w:cs="Arial"/>
          <w:szCs w:val="24"/>
          <w:lang w:eastAsia="en-GB"/>
        </w:rPr>
        <w:t xml:space="preserve">vans, </w:t>
      </w:r>
      <w:r>
        <w:rPr>
          <w:rFonts w:cs="Arial"/>
          <w:szCs w:val="24"/>
          <w:lang w:eastAsia="en-GB"/>
        </w:rPr>
        <w:t>E</w:t>
      </w:r>
      <w:r w:rsidRPr="00C603CD">
        <w:rPr>
          <w:rFonts w:cs="Arial"/>
          <w:szCs w:val="24"/>
          <w:lang w:eastAsia="en-GB"/>
        </w:rPr>
        <w:t>mma (Kingsway School/</w:t>
      </w:r>
      <w:r>
        <w:rPr>
          <w:rFonts w:cs="Arial"/>
          <w:szCs w:val="24"/>
          <w:lang w:eastAsia="en-GB"/>
        </w:rPr>
        <w:t>Stockport MBC)</w:t>
      </w:r>
    </w:p>
    <w:p w:rsidR="00DF7F87" w:rsidRPr="00C603CD" w:rsidRDefault="00DF7F87" w:rsidP="00A712C0">
      <w:pPr>
        <w:ind w:left="357"/>
        <w:rPr>
          <w:rFonts w:cs="Arial"/>
          <w:szCs w:val="24"/>
          <w:lang w:eastAsia="en-GB"/>
        </w:rPr>
      </w:pPr>
      <w:r w:rsidRPr="00C603CD">
        <w:rPr>
          <w:rFonts w:cs="Arial"/>
          <w:szCs w:val="24"/>
          <w:lang w:eastAsia="en-GB"/>
        </w:rPr>
        <w:t>Eyre, Carolyn (Indep</w:t>
      </w:r>
      <w:r>
        <w:rPr>
          <w:rFonts w:cs="Arial"/>
          <w:szCs w:val="24"/>
          <w:lang w:eastAsia="en-GB"/>
        </w:rPr>
        <w:t>endent Safeguarding Consultant)</w:t>
      </w:r>
    </w:p>
    <w:p w:rsidR="00DF7F87" w:rsidRPr="00C603CD" w:rsidRDefault="00DF7F87" w:rsidP="00A712C0">
      <w:pPr>
        <w:ind w:left="357"/>
        <w:rPr>
          <w:rFonts w:cs="Arial"/>
          <w:szCs w:val="24"/>
          <w:lang w:eastAsia="en-GB"/>
        </w:rPr>
      </w:pPr>
      <w:r w:rsidRPr="00C603CD">
        <w:rPr>
          <w:rFonts w:cs="Arial"/>
          <w:szCs w:val="24"/>
          <w:lang w:eastAsia="en-GB"/>
        </w:rPr>
        <w:t>Fazackerley, Neil (W</w:t>
      </w:r>
      <w:r>
        <w:rPr>
          <w:rFonts w:cs="Arial"/>
          <w:szCs w:val="24"/>
          <w:lang w:eastAsia="en-GB"/>
        </w:rPr>
        <w:t>igan LA)</w:t>
      </w:r>
    </w:p>
    <w:p w:rsidR="00DF7F87" w:rsidRPr="00C603CD" w:rsidRDefault="00DF7F87" w:rsidP="00A712C0">
      <w:pPr>
        <w:ind w:left="357"/>
        <w:rPr>
          <w:rFonts w:cs="Arial"/>
          <w:szCs w:val="24"/>
          <w:lang w:eastAsia="en-GB"/>
        </w:rPr>
      </w:pPr>
      <w:r w:rsidRPr="00C603CD">
        <w:rPr>
          <w:rFonts w:cs="Arial"/>
          <w:szCs w:val="24"/>
          <w:lang w:eastAsia="en-GB"/>
        </w:rPr>
        <w:t>Ferg</w:t>
      </w:r>
      <w:r>
        <w:rPr>
          <w:rFonts w:cs="Arial"/>
          <w:szCs w:val="24"/>
          <w:lang w:eastAsia="en-GB"/>
        </w:rPr>
        <w:t>uson, M (Brooke Primary School)</w:t>
      </w:r>
    </w:p>
    <w:p w:rsidR="00DF7F87" w:rsidRPr="00C603CD" w:rsidRDefault="00DF7F87" w:rsidP="00A712C0">
      <w:pPr>
        <w:ind w:left="357"/>
        <w:rPr>
          <w:rFonts w:cs="Arial"/>
          <w:szCs w:val="24"/>
          <w:lang w:eastAsia="en-GB"/>
        </w:rPr>
      </w:pPr>
      <w:r w:rsidRPr="00C603CD">
        <w:rPr>
          <w:rFonts w:cs="Arial"/>
          <w:szCs w:val="24"/>
          <w:lang w:eastAsia="en-GB"/>
        </w:rPr>
        <w:t>Garside,</w:t>
      </w:r>
      <w:r>
        <w:rPr>
          <w:rFonts w:cs="Arial"/>
          <w:szCs w:val="24"/>
          <w:lang w:eastAsia="en-GB"/>
        </w:rPr>
        <w:t xml:space="preserve"> Michael (City of Bradford MDC)</w:t>
      </w:r>
    </w:p>
    <w:p w:rsidR="00DF7F87" w:rsidRPr="00C603CD" w:rsidRDefault="00DF7F87" w:rsidP="00A712C0">
      <w:pPr>
        <w:ind w:left="357"/>
        <w:rPr>
          <w:rFonts w:cs="Arial"/>
          <w:szCs w:val="24"/>
          <w:lang w:eastAsia="en-GB"/>
        </w:rPr>
      </w:pPr>
      <w:r w:rsidRPr="00C603CD">
        <w:rPr>
          <w:rFonts w:cs="Arial"/>
          <w:szCs w:val="24"/>
          <w:lang w:eastAsia="en-GB"/>
        </w:rPr>
        <w:t>General Teaching Counci</w:t>
      </w:r>
      <w:r>
        <w:rPr>
          <w:rFonts w:cs="Arial"/>
          <w:szCs w:val="24"/>
          <w:lang w:eastAsia="en-GB"/>
        </w:rPr>
        <w:t>l Scotland (Cheryl Loughbrough)</w:t>
      </w:r>
    </w:p>
    <w:p w:rsidR="00DF7F87" w:rsidRPr="00C603CD" w:rsidRDefault="00DF7F87" w:rsidP="00A712C0">
      <w:pPr>
        <w:ind w:left="357"/>
        <w:rPr>
          <w:rFonts w:cs="Arial"/>
          <w:szCs w:val="24"/>
          <w:lang w:eastAsia="en-GB"/>
        </w:rPr>
      </w:pPr>
      <w:r>
        <w:rPr>
          <w:rFonts w:cs="Arial"/>
          <w:szCs w:val="24"/>
          <w:lang w:eastAsia="en-GB"/>
        </w:rPr>
        <w:t>Goouch, Gillian</w:t>
      </w:r>
    </w:p>
    <w:p w:rsidR="00DF7F87" w:rsidRPr="00C603CD" w:rsidRDefault="00DF7F87" w:rsidP="00A712C0">
      <w:pPr>
        <w:ind w:left="357"/>
        <w:rPr>
          <w:rFonts w:cs="Arial"/>
          <w:szCs w:val="24"/>
          <w:lang w:eastAsia="en-GB"/>
        </w:rPr>
      </w:pPr>
      <w:r>
        <w:rPr>
          <w:rFonts w:cs="Arial"/>
          <w:szCs w:val="24"/>
          <w:lang w:eastAsia="en-GB"/>
        </w:rPr>
        <w:t>Gould, Julia</w:t>
      </w:r>
    </w:p>
    <w:p w:rsidR="00DF7F87" w:rsidRPr="00C603CD" w:rsidRDefault="00DF7F87" w:rsidP="00A712C0">
      <w:pPr>
        <w:ind w:left="357"/>
        <w:rPr>
          <w:rFonts w:cs="Arial"/>
          <w:szCs w:val="24"/>
          <w:lang w:eastAsia="en-GB"/>
        </w:rPr>
      </w:pPr>
      <w:r w:rsidRPr="00C603CD">
        <w:rPr>
          <w:rFonts w:cs="Arial"/>
          <w:szCs w:val="24"/>
          <w:lang w:eastAsia="en-GB"/>
        </w:rPr>
        <w:t>Goulden,</w:t>
      </w:r>
      <w:r>
        <w:rPr>
          <w:rFonts w:cs="Arial"/>
          <w:szCs w:val="24"/>
          <w:lang w:eastAsia="en-GB"/>
        </w:rPr>
        <w:t xml:space="preserve"> Roger (Educational Consultant)</w:t>
      </w:r>
    </w:p>
    <w:p w:rsidR="00DF7F87" w:rsidRPr="00C603CD" w:rsidRDefault="00DF7F87" w:rsidP="00A712C0">
      <w:pPr>
        <w:ind w:left="357"/>
        <w:rPr>
          <w:rFonts w:cs="Arial"/>
          <w:szCs w:val="24"/>
          <w:lang w:eastAsia="en-GB"/>
        </w:rPr>
      </w:pPr>
      <w:r>
        <w:rPr>
          <w:rFonts w:cs="Arial"/>
          <w:szCs w:val="24"/>
          <w:lang w:eastAsia="en-GB"/>
        </w:rPr>
        <w:t>GTCE (Posey Furnish)</w:t>
      </w:r>
    </w:p>
    <w:p w:rsidR="00DF7F87" w:rsidRPr="00C603CD" w:rsidRDefault="00DF7F87" w:rsidP="00A712C0">
      <w:pPr>
        <w:ind w:left="357"/>
        <w:rPr>
          <w:rFonts w:cs="Arial"/>
          <w:szCs w:val="24"/>
          <w:lang w:eastAsia="en-GB"/>
        </w:rPr>
      </w:pPr>
      <w:r>
        <w:rPr>
          <w:rFonts w:cs="Arial"/>
          <w:szCs w:val="24"/>
          <w:lang w:eastAsia="en-GB"/>
        </w:rPr>
        <w:t>Hackett, Katrin (n/a)</w:t>
      </w:r>
    </w:p>
    <w:p w:rsidR="00DF7F87" w:rsidRPr="00C603CD" w:rsidRDefault="00DF7F87" w:rsidP="00A712C0">
      <w:pPr>
        <w:ind w:left="357"/>
        <w:rPr>
          <w:rFonts w:cs="Arial"/>
          <w:szCs w:val="24"/>
          <w:lang w:eastAsia="en-GB"/>
        </w:rPr>
      </w:pPr>
      <w:r w:rsidRPr="00C603CD">
        <w:rPr>
          <w:rFonts w:cs="Arial"/>
          <w:szCs w:val="24"/>
          <w:lang w:eastAsia="en-GB"/>
        </w:rPr>
        <w:t>Hampshire C</w:t>
      </w:r>
      <w:r>
        <w:rPr>
          <w:rFonts w:cs="Arial"/>
          <w:szCs w:val="24"/>
          <w:lang w:eastAsia="en-GB"/>
        </w:rPr>
        <w:t>ounty Council (Verity Reynolds)</w:t>
      </w:r>
    </w:p>
    <w:p w:rsidR="00DF7F87" w:rsidRPr="00C603CD" w:rsidRDefault="00DF7F87" w:rsidP="00A712C0">
      <w:pPr>
        <w:ind w:left="357"/>
        <w:rPr>
          <w:rFonts w:cs="Arial"/>
          <w:szCs w:val="24"/>
          <w:lang w:eastAsia="en-GB"/>
        </w:rPr>
      </w:pPr>
      <w:r>
        <w:rPr>
          <w:rFonts w:cs="Arial"/>
          <w:szCs w:val="24"/>
          <w:lang w:eastAsia="en-GB"/>
        </w:rPr>
        <w:t>Henshnaw, Andrew</w:t>
      </w:r>
    </w:p>
    <w:p w:rsidR="00DF7F87" w:rsidRPr="00C603CD" w:rsidRDefault="00DF7F87" w:rsidP="00A712C0">
      <w:pPr>
        <w:ind w:left="357"/>
        <w:rPr>
          <w:rFonts w:cs="Arial"/>
          <w:szCs w:val="24"/>
          <w:lang w:eastAsia="en-GB"/>
        </w:rPr>
      </w:pPr>
      <w:r w:rsidRPr="00C603CD">
        <w:rPr>
          <w:rFonts w:cs="Arial"/>
          <w:szCs w:val="24"/>
          <w:lang w:eastAsia="en-GB"/>
        </w:rPr>
        <w:t>Hertfordshir</w:t>
      </w:r>
      <w:r>
        <w:rPr>
          <w:rFonts w:cs="Arial"/>
          <w:szCs w:val="24"/>
          <w:lang w:eastAsia="en-GB"/>
        </w:rPr>
        <w:t>e County Council (Anne Pearson)</w:t>
      </w:r>
    </w:p>
    <w:p w:rsidR="00DF7F87" w:rsidRDefault="00DF7F87" w:rsidP="00A712C0">
      <w:pPr>
        <w:ind w:left="357"/>
      </w:pPr>
      <w:r>
        <w:rPr>
          <w:rFonts w:cs="Arial"/>
          <w:szCs w:val="24"/>
          <w:lang w:eastAsia="en-GB"/>
        </w:rPr>
        <w:t>Hogg, James</w:t>
      </w:r>
    </w:p>
    <w:p w:rsidR="00DF7F87" w:rsidRPr="00C603CD" w:rsidRDefault="00DF7F87" w:rsidP="00A712C0">
      <w:pPr>
        <w:ind w:left="357"/>
        <w:rPr>
          <w:rFonts w:cs="Arial"/>
          <w:szCs w:val="24"/>
          <w:lang w:eastAsia="en-GB"/>
        </w:rPr>
      </w:pPr>
      <w:r w:rsidRPr="00C603CD">
        <w:rPr>
          <w:rFonts w:cs="Arial"/>
          <w:szCs w:val="24"/>
          <w:lang w:eastAsia="en-GB"/>
        </w:rPr>
        <w:t>Hook</w:t>
      </w:r>
      <w:r>
        <w:rPr>
          <w:rFonts w:cs="Arial"/>
          <w:szCs w:val="24"/>
          <w:lang w:eastAsia="en-GB"/>
        </w:rPr>
        <w:t>er, Anne (Emmbrook School, The)</w:t>
      </w:r>
    </w:p>
    <w:p w:rsidR="00DF7F87" w:rsidRPr="00C603CD" w:rsidRDefault="00DF7F87" w:rsidP="00A712C0">
      <w:pPr>
        <w:ind w:left="357"/>
        <w:rPr>
          <w:rFonts w:cs="Arial"/>
          <w:szCs w:val="24"/>
          <w:lang w:eastAsia="en-GB"/>
        </w:rPr>
      </w:pPr>
      <w:r w:rsidRPr="00C603CD">
        <w:rPr>
          <w:rFonts w:cs="Arial"/>
          <w:szCs w:val="24"/>
          <w:lang w:eastAsia="en-GB"/>
        </w:rPr>
        <w:t>Howells, Anne (British Int</w:t>
      </w:r>
      <w:r>
        <w:rPr>
          <w:rFonts w:cs="Arial"/>
          <w:szCs w:val="24"/>
          <w:lang w:eastAsia="en-GB"/>
        </w:rPr>
        <w:t>ernational School of Stavanger)</w:t>
      </w:r>
    </w:p>
    <w:p w:rsidR="00DF7F87" w:rsidRPr="00C603CD" w:rsidRDefault="00DF7F87" w:rsidP="00A712C0">
      <w:pPr>
        <w:ind w:left="357"/>
        <w:rPr>
          <w:rFonts w:cs="Arial"/>
          <w:szCs w:val="24"/>
          <w:lang w:eastAsia="en-GB"/>
        </w:rPr>
      </w:pPr>
      <w:r>
        <w:rPr>
          <w:rFonts w:cs="Arial"/>
          <w:szCs w:val="24"/>
          <w:lang w:eastAsia="en-GB"/>
        </w:rPr>
        <w:t>Hull City Council (Mike Jones)</w:t>
      </w:r>
    </w:p>
    <w:p w:rsidR="00DF7F87" w:rsidRPr="00C603CD" w:rsidRDefault="00DF7F87" w:rsidP="00A712C0">
      <w:pPr>
        <w:ind w:left="357"/>
        <w:rPr>
          <w:rFonts w:cs="Arial"/>
          <w:szCs w:val="24"/>
          <w:lang w:eastAsia="en-GB"/>
        </w:rPr>
      </w:pPr>
      <w:r w:rsidRPr="00C603CD">
        <w:rPr>
          <w:rFonts w:cs="Arial"/>
          <w:szCs w:val="24"/>
          <w:lang w:eastAsia="en-GB"/>
        </w:rPr>
        <w:t>Independent Schools Council Teacher Ind</w:t>
      </w:r>
      <w:r>
        <w:rPr>
          <w:rFonts w:cs="Arial"/>
          <w:szCs w:val="24"/>
          <w:lang w:eastAsia="en-GB"/>
        </w:rPr>
        <w:t>uction Panel, The (Judith Fenn)</w:t>
      </w:r>
    </w:p>
    <w:p w:rsidR="00DF7F87" w:rsidRPr="00C603CD" w:rsidRDefault="00DF7F87" w:rsidP="00A712C0">
      <w:pPr>
        <w:ind w:left="357"/>
        <w:rPr>
          <w:rFonts w:cs="Arial"/>
          <w:szCs w:val="24"/>
          <w:lang w:eastAsia="en-GB"/>
        </w:rPr>
      </w:pPr>
      <w:r>
        <w:rPr>
          <w:rFonts w:cs="Arial"/>
          <w:szCs w:val="24"/>
          <w:lang w:eastAsia="en-GB"/>
        </w:rPr>
        <w:t>Ingham, Emma</w:t>
      </w:r>
    </w:p>
    <w:p w:rsidR="00DF7F87" w:rsidRPr="00C603CD" w:rsidRDefault="00DF7F87" w:rsidP="00A712C0">
      <w:pPr>
        <w:ind w:left="357"/>
        <w:rPr>
          <w:rFonts w:cs="Arial"/>
          <w:szCs w:val="24"/>
          <w:lang w:eastAsia="en-GB"/>
        </w:rPr>
      </w:pPr>
      <w:r w:rsidRPr="00C603CD">
        <w:rPr>
          <w:rFonts w:cs="Arial"/>
          <w:szCs w:val="24"/>
          <w:lang w:eastAsia="en-GB"/>
        </w:rPr>
        <w:t>James, Terry</w:t>
      </w:r>
    </w:p>
    <w:p w:rsidR="00DF7F87" w:rsidRPr="00C603CD" w:rsidRDefault="00DF7F87" w:rsidP="00A712C0">
      <w:pPr>
        <w:ind w:left="357"/>
        <w:rPr>
          <w:rFonts w:cs="Arial"/>
          <w:szCs w:val="24"/>
          <w:lang w:eastAsia="en-GB"/>
        </w:rPr>
      </w:pPr>
      <w:r>
        <w:rPr>
          <w:rFonts w:cs="Arial"/>
          <w:szCs w:val="24"/>
          <w:lang w:eastAsia="en-GB"/>
        </w:rPr>
        <w:t>Johnson, David</w:t>
      </w:r>
    </w:p>
    <w:p w:rsidR="00DF7F87" w:rsidRPr="00C603CD" w:rsidRDefault="00DF7F87" w:rsidP="00A712C0">
      <w:pPr>
        <w:ind w:left="357"/>
        <w:rPr>
          <w:rFonts w:cs="Arial"/>
          <w:szCs w:val="24"/>
          <w:lang w:eastAsia="en-GB"/>
        </w:rPr>
      </w:pPr>
      <w:r>
        <w:rPr>
          <w:rFonts w:cs="Arial"/>
          <w:szCs w:val="24"/>
          <w:lang w:eastAsia="en-GB"/>
        </w:rPr>
        <w:t>Jones, Stephanie</w:t>
      </w:r>
    </w:p>
    <w:p w:rsidR="00DF7F87" w:rsidRPr="00C603CD" w:rsidRDefault="00DF7F87" w:rsidP="00A712C0">
      <w:pPr>
        <w:ind w:left="357"/>
        <w:rPr>
          <w:rFonts w:cs="Arial"/>
          <w:szCs w:val="24"/>
          <w:lang w:eastAsia="en-GB"/>
        </w:rPr>
      </w:pPr>
      <w:r w:rsidRPr="00C603CD">
        <w:rPr>
          <w:rFonts w:cs="Arial"/>
          <w:szCs w:val="24"/>
          <w:lang w:eastAsia="en-GB"/>
        </w:rPr>
        <w:t>Jones, Lorraine (Farnbor</w:t>
      </w:r>
      <w:r>
        <w:rPr>
          <w:rFonts w:cs="Arial"/>
          <w:szCs w:val="24"/>
          <w:lang w:eastAsia="en-GB"/>
        </w:rPr>
        <w:t>ough School Technology College)</w:t>
      </w:r>
    </w:p>
    <w:p w:rsidR="00DF7F87" w:rsidRPr="00C603CD" w:rsidRDefault="00DF7F87" w:rsidP="00A712C0">
      <w:pPr>
        <w:ind w:left="357"/>
        <w:rPr>
          <w:rFonts w:cs="Arial"/>
          <w:szCs w:val="24"/>
          <w:lang w:eastAsia="en-GB"/>
        </w:rPr>
      </w:pPr>
      <w:r w:rsidRPr="00C603CD">
        <w:rPr>
          <w:rFonts w:cs="Arial"/>
          <w:szCs w:val="24"/>
          <w:lang w:eastAsia="en-GB"/>
        </w:rPr>
        <w:t>Kelly, Roberta (</w:t>
      </w:r>
      <w:r>
        <w:rPr>
          <w:rFonts w:cs="Arial"/>
          <w:szCs w:val="24"/>
          <w:lang w:eastAsia="en-GB"/>
        </w:rPr>
        <w:t>Complementary Education - 1100)</w:t>
      </w:r>
    </w:p>
    <w:p w:rsidR="00DF7F87" w:rsidRPr="00C603CD" w:rsidRDefault="00DF7F87" w:rsidP="00A712C0">
      <w:pPr>
        <w:ind w:left="357"/>
        <w:rPr>
          <w:rFonts w:cs="Arial"/>
          <w:szCs w:val="24"/>
          <w:lang w:eastAsia="en-GB"/>
        </w:rPr>
      </w:pPr>
      <w:r w:rsidRPr="00C603CD">
        <w:rPr>
          <w:rFonts w:cs="Arial"/>
          <w:szCs w:val="24"/>
          <w:lang w:eastAsia="en-GB"/>
        </w:rPr>
        <w:t>Ken</w:t>
      </w:r>
      <w:r>
        <w:rPr>
          <w:rFonts w:cs="Arial"/>
          <w:szCs w:val="24"/>
          <w:lang w:eastAsia="en-GB"/>
        </w:rPr>
        <w:t>t County Council (Louise Dench)</w:t>
      </w:r>
    </w:p>
    <w:p w:rsidR="00DF7F87" w:rsidRPr="00C603CD" w:rsidRDefault="00DF7F87" w:rsidP="00A712C0">
      <w:pPr>
        <w:ind w:left="357"/>
        <w:rPr>
          <w:rFonts w:cs="Arial"/>
          <w:szCs w:val="24"/>
          <w:lang w:eastAsia="en-GB"/>
        </w:rPr>
      </w:pPr>
      <w:r>
        <w:rPr>
          <w:rFonts w:cs="Arial"/>
          <w:szCs w:val="24"/>
          <w:lang w:eastAsia="en-GB"/>
        </w:rPr>
        <w:t>Kinghorn, Sarah</w:t>
      </w:r>
    </w:p>
    <w:p w:rsidR="00DF7F87" w:rsidRPr="00C603CD" w:rsidRDefault="00DF7F87" w:rsidP="00A712C0">
      <w:pPr>
        <w:ind w:left="357"/>
        <w:rPr>
          <w:rFonts w:cs="Arial"/>
          <w:szCs w:val="24"/>
          <w:lang w:eastAsia="en-GB"/>
        </w:rPr>
      </w:pPr>
      <w:r w:rsidRPr="00C603CD">
        <w:rPr>
          <w:rFonts w:cs="Arial"/>
          <w:szCs w:val="24"/>
          <w:lang w:eastAsia="en-GB"/>
        </w:rPr>
        <w:t>Kissock, Craig</w:t>
      </w:r>
    </w:p>
    <w:p w:rsidR="00DF7F87" w:rsidRPr="00C603CD" w:rsidRDefault="00DF7F87" w:rsidP="00A712C0">
      <w:pPr>
        <w:ind w:left="357"/>
        <w:rPr>
          <w:rFonts w:cs="Arial"/>
          <w:szCs w:val="24"/>
          <w:lang w:eastAsia="en-GB"/>
        </w:rPr>
      </w:pPr>
      <w:r w:rsidRPr="00C603CD">
        <w:rPr>
          <w:rFonts w:cs="Arial"/>
          <w:szCs w:val="24"/>
          <w:lang w:eastAsia="en-GB"/>
        </w:rPr>
        <w:t>Lancashire</w:t>
      </w:r>
      <w:r>
        <w:rPr>
          <w:rFonts w:cs="Arial"/>
          <w:szCs w:val="24"/>
          <w:lang w:eastAsia="en-GB"/>
        </w:rPr>
        <w:t xml:space="preserve"> County Council (Fiona Holland)</w:t>
      </w:r>
    </w:p>
    <w:p w:rsidR="00DF7F87" w:rsidRPr="00C603CD" w:rsidRDefault="00DF7F87" w:rsidP="00A712C0">
      <w:pPr>
        <w:ind w:left="357"/>
        <w:rPr>
          <w:rFonts w:cs="Arial"/>
          <w:szCs w:val="24"/>
          <w:lang w:eastAsia="en-GB"/>
        </w:rPr>
      </w:pPr>
      <w:r w:rsidRPr="00C603CD">
        <w:rPr>
          <w:rFonts w:cs="Arial"/>
          <w:szCs w:val="24"/>
          <w:lang w:eastAsia="en-GB"/>
        </w:rPr>
        <w:t>Lewisham LA (Sue Kermode)</w:t>
      </w:r>
    </w:p>
    <w:p w:rsidR="00DF7F87" w:rsidRPr="00C603CD" w:rsidRDefault="00DF7F87" w:rsidP="00A712C0">
      <w:pPr>
        <w:ind w:left="357"/>
        <w:rPr>
          <w:rFonts w:cs="Arial"/>
          <w:szCs w:val="24"/>
          <w:lang w:eastAsia="en-GB"/>
        </w:rPr>
      </w:pPr>
      <w:r w:rsidRPr="00C603CD">
        <w:rPr>
          <w:rFonts w:cs="Arial"/>
          <w:szCs w:val="24"/>
          <w:lang w:eastAsia="en-GB"/>
        </w:rPr>
        <w:t>L</w:t>
      </w:r>
      <w:r>
        <w:rPr>
          <w:rFonts w:cs="Arial"/>
          <w:szCs w:val="24"/>
          <w:lang w:eastAsia="en-GB"/>
        </w:rPr>
        <w:t>ondon Borough of Enfield</w:t>
      </w:r>
      <w:r w:rsidRPr="00C603CD">
        <w:rPr>
          <w:rFonts w:cs="Arial"/>
          <w:szCs w:val="24"/>
          <w:lang w:eastAsia="en-GB"/>
        </w:rPr>
        <w:t xml:space="preserve"> (Bev Banks)</w:t>
      </w:r>
    </w:p>
    <w:p w:rsidR="00DF7F87" w:rsidRPr="00C603CD" w:rsidRDefault="00DF7F87" w:rsidP="00A712C0">
      <w:pPr>
        <w:ind w:left="357"/>
        <w:rPr>
          <w:rFonts w:cs="Arial"/>
          <w:szCs w:val="24"/>
          <w:lang w:eastAsia="en-GB"/>
        </w:rPr>
      </w:pPr>
      <w:r w:rsidRPr="00C603CD">
        <w:rPr>
          <w:rFonts w:cs="Arial"/>
          <w:szCs w:val="24"/>
          <w:lang w:eastAsia="en-GB"/>
        </w:rPr>
        <w:t>L</w:t>
      </w:r>
      <w:r>
        <w:rPr>
          <w:rFonts w:cs="Arial"/>
          <w:szCs w:val="24"/>
          <w:lang w:eastAsia="en-GB"/>
        </w:rPr>
        <w:t xml:space="preserve">ondon Borough of </w:t>
      </w:r>
      <w:r w:rsidRPr="00C603CD">
        <w:rPr>
          <w:rFonts w:cs="Arial"/>
          <w:szCs w:val="24"/>
          <w:lang w:eastAsia="en-GB"/>
        </w:rPr>
        <w:t>Hamm</w:t>
      </w:r>
      <w:r>
        <w:rPr>
          <w:rFonts w:cs="Arial"/>
          <w:szCs w:val="24"/>
          <w:lang w:eastAsia="en-GB"/>
        </w:rPr>
        <w:t>ersmith and Fulham (Julie Shaw)</w:t>
      </w:r>
    </w:p>
    <w:p w:rsidR="00DF7F87" w:rsidRPr="00C603CD" w:rsidRDefault="00DF7F87" w:rsidP="00A712C0">
      <w:pPr>
        <w:ind w:left="357"/>
        <w:rPr>
          <w:rFonts w:cs="Arial"/>
          <w:szCs w:val="24"/>
          <w:lang w:eastAsia="en-GB"/>
        </w:rPr>
      </w:pPr>
      <w:r w:rsidRPr="00C603CD">
        <w:rPr>
          <w:rFonts w:cs="Arial"/>
          <w:szCs w:val="24"/>
          <w:lang w:eastAsia="en-GB"/>
        </w:rPr>
        <w:t>L</w:t>
      </w:r>
      <w:r>
        <w:rPr>
          <w:rFonts w:cs="Arial"/>
          <w:szCs w:val="24"/>
          <w:lang w:eastAsia="en-GB"/>
        </w:rPr>
        <w:t>ondon Borough of Hounslow</w:t>
      </w:r>
      <w:r w:rsidRPr="00C603CD">
        <w:rPr>
          <w:rFonts w:cs="Arial"/>
          <w:szCs w:val="24"/>
          <w:lang w:eastAsia="en-GB"/>
        </w:rPr>
        <w:t xml:space="preserve"> (Tracy M</w:t>
      </w:r>
      <w:r>
        <w:rPr>
          <w:rFonts w:cs="Arial"/>
          <w:szCs w:val="24"/>
          <w:lang w:eastAsia="en-GB"/>
        </w:rPr>
        <w:t>archment)</w:t>
      </w:r>
    </w:p>
    <w:p w:rsidR="00DF7F87" w:rsidRPr="00C603CD" w:rsidRDefault="00DF7F87" w:rsidP="00A712C0">
      <w:pPr>
        <w:ind w:left="357"/>
        <w:rPr>
          <w:rFonts w:cs="Arial"/>
          <w:szCs w:val="24"/>
          <w:lang w:eastAsia="en-GB"/>
        </w:rPr>
      </w:pPr>
      <w:r w:rsidRPr="00C603CD">
        <w:rPr>
          <w:rFonts w:cs="Arial"/>
          <w:szCs w:val="24"/>
          <w:lang w:eastAsia="en-GB"/>
        </w:rPr>
        <w:t>London Borou</w:t>
      </w:r>
      <w:r>
        <w:rPr>
          <w:rFonts w:cs="Arial"/>
          <w:szCs w:val="24"/>
          <w:lang w:eastAsia="en-GB"/>
        </w:rPr>
        <w:t>gh of Redbridge (Kelvin Wilson)</w:t>
      </w:r>
    </w:p>
    <w:p w:rsidR="00DF7F87" w:rsidRPr="00C603CD" w:rsidRDefault="00DF7F87" w:rsidP="00A712C0">
      <w:pPr>
        <w:ind w:left="357"/>
        <w:rPr>
          <w:rFonts w:cs="Arial"/>
          <w:szCs w:val="24"/>
          <w:lang w:eastAsia="en-GB"/>
        </w:rPr>
      </w:pPr>
      <w:r w:rsidRPr="00C603CD">
        <w:rPr>
          <w:rFonts w:cs="Arial"/>
          <w:szCs w:val="24"/>
          <w:lang w:eastAsia="en-GB"/>
        </w:rPr>
        <w:t>London Bor</w:t>
      </w:r>
      <w:r>
        <w:rPr>
          <w:rFonts w:cs="Arial"/>
          <w:szCs w:val="24"/>
          <w:lang w:eastAsia="en-GB"/>
        </w:rPr>
        <w:t>ough of Sutton (Margaret Zietz)</w:t>
      </w:r>
    </w:p>
    <w:p w:rsidR="00DF7F87" w:rsidRPr="00C603CD" w:rsidRDefault="00DF7F87" w:rsidP="00A712C0">
      <w:pPr>
        <w:ind w:left="357"/>
        <w:rPr>
          <w:rFonts w:cs="Arial"/>
          <w:szCs w:val="24"/>
          <w:lang w:eastAsia="en-GB"/>
        </w:rPr>
      </w:pPr>
      <w:r w:rsidRPr="00C603CD">
        <w:rPr>
          <w:rFonts w:cs="Arial"/>
          <w:szCs w:val="24"/>
          <w:lang w:eastAsia="en-GB"/>
        </w:rPr>
        <w:t>Luton</w:t>
      </w:r>
      <w:r>
        <w:rPr>
          <w:rFonts w:cs="Arial"/>
          <w:szCs w:val="24"/>
          <w:lang w:eastAsia="en-GB"/>
        </w:rPr>
        <w:t xml:space="preserve"> Borough Council (John Manning)</w:t>
      </w:r>
    </w:p>
    <w:p w:rsidR="00DF7F87" w:rsidRPr="00C603CD" w:rsidRDefault="00DF7F87" w:rsidP="00A712C0">
      <w:pPr>
        <w:ind w:left="357"/>
        <w:rPr>
          <w:rFonts w:cs="Arial"/>
          <w:szCs w:val="24"/>
          <w:lang w:eastAsia="en-GB"/>
        </w:rPr>
      </w:pPr>
      <w:r w:rsidRPr="00C603CD">
        <w:rPr>
          <w:rFonts w:cs="Arial"/>
          <w:szCs w:val="24"/>
          <w:lang w:eastAsia="en-GB"/>
        </w:rPr>
        <w:t xml:space="preserve">Manchester </w:t>
      </w:r>
      <w:r>
        <w:rPr>
          <w:rFonts w:cs="Arial"/>
          <w:szCs w:val="24"/>
          <w:lang w:eastAsia="en-GB"/>
        </w:rPr>
        <w:t>Children’s Services (Nick Paul)</w:t>
      </w:r>
    </w:p>
    <w:p w:rsidR="00DF7F87" w:rsidRPr="00C603CD" w:rsidRDefault="00DF7F87" w:rsidP="00A712C0">
      <w:pPr>
        <w:ind w:left="357"/>
        <w:rPr>
          <w:rFonts w:cs="Arial"/>
          <w:szCs w:val="24"/>
          <w:lang w:eastAsia="en-GB"/>
        </w:rPr>
      </w:pPr>
      <w:r w:rsidRPr="00C603CD">
        <w:rPr>
          <w:rFonts w:cs="Arial"/>
          <w:szCs w:val="24"/>
          <w:lang w:eastAsia="en-GB"/>
        </w:rPr>
        <w:t>McAree, Christopher</w:t>
      </w:r>
    </w:p>
    <w:p w:rsidR="00DF7F87" w:rsidRPr="00C603CD" w:rsidRDefault="00DF7F87" w:rsidP="00A712C0">
      <w:pPr>
        <w:ind w:left="357"/>
        <w:rPr>
          <w:rFonts w:cs="Arial"/>
          <w:szCs w:val="24"/>
          <w:lang w:eastAsia="en-GB"/>
        </w:rPr>
      </w:pPr>
      <w:r w:rsidRPr="00C603CD">
        <w:rPr>
          <w:rFonts w:cs="Arial"/>
          <w:szCs w:val="24"/>
          <w:lang w:eastAsia="en-GB"/>
        </w:rPr>
        <w:t>McD</w:t>
      </w:r>
      <w:r>
        <w:rPr>
          <w:rFonts w:cs="Arial"/>
          <w:szCs w:val="24"/>
          <w:lang w:eastAsia="en-GB"/>
        </w:rPr>
        <w:t>ermott, Dilly (Oaklands School)</w:t>
      </w:r>
    </w:p>
    <w:p w:rsidR="00DF7F87" w:rsidRPr="00C603CD" w:rsidRDefault="00DF7F87" w:rsidP="00A712C0">
      <w:pPr>
        <w:ind w:left="357"/>
        <w:rPr>
          <w:rFonts w:cs="Arial"/>
          <w:szCs w:val="24"/>
          <w:lang w:eastAsia="en-GB"/>
        </w:rPr>
      </w:pPr>
      <w:r>
        <w:rPr>
          <w:rFonts w:cs="Arial"/>
          <w:szCs w:val="24"/>
          <w:lang w:eastAsia="en-GB"/>
        </w:rPr>
        <w:t>McLeod, Carol</w:t>
      </w:r>
    </w:p>
    <w:p w:rsidR="00DF7F87" w:rsidRPr="00C603CD" w:rsidRDefault="00DF7F87" w:rsidP="00A712C0">
      <w:pPr>
        <w:ind w:left="357"/>
        <w:rPr>
          <w:rFonts w:cs="Arial"/>
          <w:szCs w:val="24"/>
          <w:lang w:eastAsia="en-GB"/>
        </w:rPr>
      </w:pPr>
      <w:r>
        <w:rPr>
          <w:rFonts w:cs="Arial"/>
          <w:szCs w:val="24"/>
          <w:lang w:eastAsia="en-GB"/>
        </w:rPr>
        <w:t>McMullen, Chris</w:t>
      </w:r>
    </w:p>
    <w:p w:rsidR="00DF7F87" w:rsidRPr="00C603CD" w:rsidRDefault="00DF7F87" w:rsidP="00A712C0">
      <w:pPr>
        <w:ind w:left="357"/>
        <w:rPr>
          <w:rFonts w:cs="Arial"/>
          <w:szCs w:val="24"/>
          <w:lang w:eastAsia="en-GB"/>
        </w:rPr>
      </w:pPr>
      <w:r>
        <w:rPr>
          <w:rFonts w:cs="Arial"/>
          <w:szCs w:val="24"/>
          <w:lang w:eastAsia="en-GB"/>
        </w:rPr>
        <w:t>M</w:t>
      </w:r>
      <w:r w:rsidRPr="00C603CD">
        <w:rPr>
          <w:rFonts w:cs="Arial"/>
          <w:szCs w:val="24"/>
          <w:lang w:eastAsia="en-GB"/>
        </w:rPr>
        <w:t>eara, Jenny</w:t>
      </w:r>
    </w:p>
    <w:p w:rsidR="00DF7F87" w:rsidRPr="00C603CD" w:rsidRDefault="00DF7F87" w:rsidP="00A712C0">
      <w:pPr>
        <w:ind w:left="357"/>
        <w:rPr>
          <w:rFonts w:cs="Arial"/>
          <w:szCs w:val="24"/>
          <w:lang w:eastAsia="en-GB"/>
        </w:rPr>
      </w:pPr>
      <w:r w:rsidRPr="00C603CD">
        <w:rPr>
          <w:rFonts w:cs="Arial"/>
          <w:szCs w:val="24"/>
          <w:lang w:eastAsia="en-GB"/>
        </w:rPr>
        <w:t xml:space="preserve">Medland, Simon </w:t>
      </w:r>
    </w:p>
    <w:p w:rsidR="00DF7F87" w:rsidRDefault="00DF7F87" w:rsidP="00A712C0">
      <w:pPr>
        <w:ind w:left="357"/>
        <w:rPr>
          <w:rFonts w:cs="Arial"/>
          <w:szCs w:val="24"/>
          <w:lang w:eastAsia="en-GB"/>
        </w:rPr>
      </w:pPr>
      <w:r w:rsidRPr="00C603CD">
        <w:rPr>
          <w:rFonts w:cs="Arial"/>
          <w:szCs w:val="24"/>
          <w:lang w:eastAsia="en-GB"/>
        </w:rPr>
        <w:t>Murphy, Richar</w:t>
      </w:r>
      <w:r>
        <w:rPr>
          <w:rFonts w:cs="Arial"/>
          <w:szCs w:val="24"/>
          <w:lang w:eastAsia="en-GB"/>
        </w:rPr>
        <w:t>d (Northampton School for Boys)</w:t>
      </w:r>
    </w:p>
    <w:p w:rsidR="00DF7F87" w:rsidRPr="00C603CD" w:rsidRDefault="00DF7F87" w:rsidP="00A712C0">
      <w:pPr>
        <w:ind w:left="357"/>
        <w:rPr>
          <w:rFonts w:cs="Arial"/>
          <w:szCs w:val="24"/>
          <w:lang w:eastAsia="en-GB"/>
        </w:rPr>
      </w:pPr>
      <w:r>
        <w:rPr>
          <w:rFonts w:cs="Arial"/>
          <w:szCs w:val="24"/>
          <w:lang w:eastAsia="en-GB"/>
        </w:rPr>
        <w:t>NASUWT</w:t>
      </w:r>
    </w:p>
    <w:p w:rsidR="00DF7F87" w:rsidRPr="00C603CD" w:rsidRDefault="00DF7F87" w:rsidP="00A712C0">
      <w:pPr>
        <w:ind w:left="357"/>
        <w:rPr>
          <w:rFonts w:cs="Arial"/>
          <w:szCs w:val="24"/>
          <w:lang w:eastAsia="en-GB"/>
        </w:rPr>
      </w:pPr>
      <w:r w:rsidRPr="00C603CD">
        <w:rPr>
          <w:rFonts w:cs="Arial"/>
          <w:szCs w:val="24"/>
          <w:lang w:eastAsia="en-GB"/>
        </w:rPr>
        <w:t>National Association o</w:t>
      </w:r>
      <w:r>
        <w:rPr>
          <w:rFonts w:cs="Arial"/>
          <w:szCs w:val="24"/>
          <w:lang w:eastAsia="en-GB"/>
        </w:rPr>
        <w:t>f Headteachers (Sion Humphreys)</w:t>
      </w:r>
    </w:p>
    <w:p w:rsidR="00DF7F87" w:rsidRPr="00C603CD" w:rsidRDefault="00DF7F87" w:rsidP="00A712C0">
      <w:pPr>
        <w:ind w:left="357"/>
        <w:rPr>
          <w:rFonts w:cs="Arial"/>
          <w:szCs w:val="24"/>
          <w:lang w:eastAsia="en-GB"/>
        </w:rPr>
      </w:pPr>
      <w:r w:rsidRPr="00C603CD">
        <w:rPr>
          <w:rFonts w:cs="Arial"/>
          <w:szCs w:val="24"/>
          <w:lang w:eastAsia="en-GB"/>
        </w:rPr>
        <w:t>National U</w:t>
      </w:r>
      <w:r>
        <w:rPr>
          <w:rFonts w:cs="Arial"/>
          <w:szCs w:val="24"/>
          <w:lang w:eastAsia="en-GB"/>
        </w:rPr>
        <w:t>nion of Teachers (Judy Ellerby)</w:t>
      </w:r>
    </w:p>
    <w:p w:rsidR="00DF7F87" w:rsidRPr="00C603CD" w:rsidRDefault="00DF7F87" w:rsidP="00A712C0">
      <w:pPr>
        <w:ind w:left="357"/>
        <w:rPr>
          <w:rFonts w:cs="Arial"/>
          <w:szCs w:val="24"/>
          <w:lang w:eastAsia="en-GB"/>
        </w:rPr>
      </w:pPr>
      <w:r>
        <w:rPr>
          <w:rFonts w:cs="Arial"/>
          <w:szCs w:val="24"/>
          <w:lang w:eastAsia="en-GB"/>
        </w:rPr>
        <w:t>Nayar, Hursh</w:t>
      </w:r>
    </w:p>
    <w:p w:rsidR="00DF7F87" w:rsidRPr="00C603CD" w:rsidRDefault="00DF7F87" w:rsidP="00A712C0">
      <w:pPr>
        <w:ind w:left="357"/>
        <w:rPr>
          <w:rFonts w:cs="Arial"/>
          <w:szCs w:val="24"/>
          <w:lang w:eastAsia="en-GB"/>
        </w:rPr>
      </w:pPr>
      <w:r w:rsidRPr="00C603CD">
        <w:rPr>
          <w:rFonts w:cs="Arial"/>
          <w:szCs w:val="24"/>
          <w:lang w:eastAsia="en-GB"/>
        </w:rPr>
        <w:t>North East Linc</w:t>
      </w:r>
      <w:r>
        <w:rPr>
          <w:rFonts w:cs="Arial"/>
          <w:szCs w:val="24"/>
          <w:lang w:eastAsia="en-GB"/>
        </w:rPr>
        <w:t>olnshire Council (Lynda Ambler)</w:t>
      </w:r>
    </w:p>
    <w:p w:rsidR="00DF7F87" w:rsidRPr="00C603CD" w:rsidRDefault="00DF7F87" w:rsidP="00A712C0">
      <w:pPr>
        <w:ind w:left="357"/>
        <w:rPr>
          <w:rFonts w:cs="Arial"/>
          <w:szCs w:val="24"/>
          <w:lang w:eastAsia="en-GB"/>
        </w:rPr>
      </w:pPr>
      <w:r w:rsidRPr="00C603CD">
        <w:rPr>
          <w:rFonts w:cs="Arial"/>
          <w:szCs w:val="24"/>
          <w:lang w:eastAsia="en-GB"/>
        </w:rPr>
        <w:t>Notting</w:t>
      </w:r>
      <w:r>
        <w:rPr>
          <w:rFonts w:cs="Arial"/>
          <w:szCs w:val="24"/>
          <w:lang w:eastAsia="en-GB"/>
        </w:rPr>
        <w:t>ham City Council (Theresa Ford)</w:t>
      </w:r>
    </w:p>
    <w:p w:rsidR="00DF7F87" w:rsidRPr="00C603CD" w:rsidRDefault="00DF7F87" w:rsidP="00A712C0">
      <w:pPr>
        <w:ind w:left="357"/>
        <w:rPr>
          <w:rFonts w:cs="Arial"/>
          <w:szCs w:val="24"/>
          <w:lang w:eastAsia="en-GB"/>
        </w:rPr>
      </w:pPr>
      <w:r>
        <w:rPr>
          <w:rFonts w:cs="Arial"/>
          <w:szCs w:val="24"/>
          <w:lang w:eastAsia="en-GB"/>
        </w:rPr>
        <w:t>Nunns, Rachel</w:t>
      </w:r>
    </w:p>
    <w:p w:rsidR="00DF7F87" w:rsidRDefault="00DF7F87" w:rsidP="00A712C0">
      <w:pPr>
        <w:ind w:left="357"/>
        <w:rPr>
          <w:rFonts w:cs="Arial"/>
          <w:szCs w:val="24"/>
          <w:lang w:eastAsia="en-GB"/>
        </w:rPr>
      </w:pPr>
      <w:r>
        <w:rPr>
          <w:rFonts w:cs="Arial"/>
          <w:szCs w:val="24"/>
          <w:lang w:eastAsia="en-GB"/>
        </w:rPr>
        <w:t>Ofsted (Jean Humphrys HMI)</w:t>
      </w:r>
    </w:p>
    <w:p w:rsidR="00DF7F87" w:rsidRPr="00C603CD" w:rsidRDefault="00DF7F87" w:rsidP="00A712C0">
      <w:pPr>
        <w:ind w:left="357"/>
        <w:rPr>
          <w:rFonts w:cs="Arial"/>
          <w:szCs w:val="24"/>
          <w:lang w:eastAsia="en-GB"/>
        </w:rPr>
      </w:pPr>
      <w:r w:rsidRPr="00C603CD">
        <w:rPr>
          <w:rFonts w:cs="Arial"/>
          <w:szCs w:val="24"/>
          <w:lang w:eastAsia="en-GB"/>
        </w:rPr>
        <w:t>Oxfordshire Coun</w:t>
      </w:r>
      <w:r>
        <w:rPr>
          <w:rFonts w:cs="Arial"/>
          <w:szCs w:val="24"/>
          <w:lang w:eastAsia="en-GB"/>
        </w:rPr>
        <w:t>ty Council (Charlotte Christie)</w:t>
      </w:r>
    </w:p>
    <w:p w:rsidR="00DF7F87" w:rsidRPr="00C603CD" w:rsidRDefault="00DF7F87" w:rsidP="00A712C0">
      <w:pPr>
        <w:ind w:left="357"/>
        <w:rPr>
          <w:rFonts w:cs="Arial"/>
          <w:szCs w:val="24"/>
          <w:lang w:eastAsia="en-GB"/>
        </w:rPr>
      </w:pPr>
      <w:r w:rsidRPr="00C603CD">
        <w:rPr>
          <w:rFonts w:cs="Arial"/>
          <w:szCs w:val="24"/>
          <w:lang w:eastAsia="en-GB"/>
        </w:rPr>
        <w:t>Parker, David</w:t>
      </w:r>
    </w:p>
    <w:p w:rsidR="00DF7F87" w:rsidRPr="00C603CD" w:rsidRDefault="00DF7F87" w:rsidP="00A712C0">
      <w:pPr>
        <w:ind w:left="357"/>
        <w:rPr>
          <w:rFonts w:cs="Arial"/>
          <w:szCs w:val="24"/>
          <w:lang w:eastAsia="en-GB"/>
        </w:rPr>
      </w:pPr>
      <w:r w:rsidRPr="00C603CD">
        <w:rPr>
          <w:rFonts w:cs="Arial"/>
          <w:szCs w:val="24"/>
          <w:lang w:eastAsia="en-GB"/>
        </w:rPr>
        <w:t>Parklands Private Day Nursery Ltd (Paul Tomlinson)</w:t>
      </w:r>
    </w:p>
    <w:p w:rsidR="00DF7F87" w:rsidRPr="00C603CD" w:rsidRDefault="00DF7F87" w:rsidP="00A712C0">
      <w:pPr>
        <w:ind w:left="357"/>
        <w:rPr>
          <w:rFonts w:cs="Arial"/>
          <w:szCs w:val="24"/>
          <w:lang w:eastAsia="en-GB"/>
        </w:rPr>
      </w:pPr>
      <w:r>
        <w:rPr>
          <w:rFonts w:cs="Arial"/>
          <w:szCs w:val="24"/>
          <w:lang w:eastAsia="en-GB"/>
        </w:rPr>
        <w:t>Riddell, T</w:t>
      </w:r>
      <w:r w:rsidRPr="00C603CD">
        <w:rPr>
          <w:rFonts w:cs="Arial"/>
          <w:szCs w:val="24"/>
          <w:lang w:eastAsia="en-GB"/>
        </w:rPr>
        <w:t>amara (</w:t>
      </w:r>
      <w:r>
        <w:rPr>
          <w:rFonts w:cs="Arial"/>
          <w:szCs w:val="24"/>
          <w:lang w:eastAsia="en-GB"/>
        </w:rPr>
        <w:t>D</w:t>
      </w:r>
      <w:r w:rsidRPr="00C603CD">
        <w:rPr>
          <w:rFonts w:cs="Arial"/>
          <w:szCs w:val="24"/>
          <w:lang w:eastAsia="en-GB"/>
        </w:rPr>
        <w:t xml:space="preserve">erby </w:t>
      </w:r>
      <w:r>
        <w:rPr>
          <w:rFonts w:cs="Arial"/>
          <w:szCs w:val="24"/>
          <w:lang w:eastAsia="en-GB"/>
        </w:rPr>
        <w:t>College)</w:t>
      </w:r>
    </w:p>
    <w:p w:rsidR="00DF7F87" w:rsidRPr="00C603CD" w:rsidRDefault="00DF7F87" w:rsidP="00A712C0">
      <w:pPr>
        <w:ind w:left="357"/>
        <w:rPr>
          <w:rFonts w:cs="Arial"/>
          <w:szCs w:val="24"/>
          <w:lang w:eastAsia="en-GB"/>
        </w:rPr>
      </w:pPr>
      <w:r w:rsidRPr="00C603CD">
        <w:rPr>
          <w:rFonts w:cs="Arial"/>
          <w:szCs w:val="24"/>
          <w:lang w:eastAsia="en-GB"/>
        </w:rPr>
        <w:t xml:space="preserve">Rogate </w:t>
      </w:r>
      <w:r>
        <w:rPr>
          <w:rFonts w:cs="Arial"/>
          <w:szCs w:val="24"/>
          <w:lang w:eastAsia="en-GB"/>
        </w:rPr>
        <w:t>CE Primary School (Amanda Hall)</w:t>
      </w:r>
    </w:p>
    <w:p w:rsidR="00DF7F87" w:rsidRPr="00C603CD" w:rsidRDefault="00DF7F87" w:rsidP="00A712C0">
      <w:pPr>
        <w:ind w:left="357"/>
        <w:rPr>
          <w:rFonts w:cs="Arial"/>
          <w:szCs w:val="24"/>
          <w:lang w:eastAsia="en-GB"/>
        </w:rPr>
      </w:pPr>
      <w:r w:rsidRPr="00C603CD">
        <w:rPr>
          <w:rFonts w:cs="Arial"/>
          <w:szCs w:val="24"/>
          <w:lang w:eastAsia="en-GB"/>
        </w:rPr>
        <w:t>Royal Borou</w:t>
      </w:r>
      <w:r>
        <w:rPr>
          <w:rFonts w:cs="Arial"/>
          <w:szCs w:val="24"/>
          <w:lang w:eastAsia="en-GB"/>
        </w:rPr>
        <w:t>gh of Kingston (Barbara Chevis)</w:t>
      </w:r>
    </w:p>
    <w:p w:rsidR="00DF7F87" w:rsidRPr="00C603CD" w:rsidRDefault="00DF7F87" w:rsidP="00A712C0">
      <w:pPr>
        <w:ind w:left="357"/>
        <w:rPr>
          <w:rFonts w:cs="Arial"/>
          <w:szCs w:val="24"/>
          <w:lang w:eastAsia="en-GB"/>
        </w:rPr>
      </w:pPr>
      <w:r>
        <w:rPr>
          <w:rFonts w:cs="Arial"/>
          <w:szCs w:val="24"/>
          <w:lang w:eastAsia="en-GB"/>
        </w:rPr>
        <w:t>Rule, Suzanne</w:t>
      </w:r>
    </w:p>
    <w:p w:rsidR="00DF7F87" w:rsidRPr="00C603CD" w:rsidRDefault="00DF7F87" w:rsidP="00A712C0">
      <w:pPr>
        <w:ind w:left="357"/>
        <w:rPr>
          <w:rFonts w:cs="Arial"/>
          <w:szCs w:val="24"/>
          <w:lang w:eastAsia="en-GB"/>
        </w:rPr>
      </w:pPr>
      <w:r>
        <w:rPr>
          <w:rFonts w:cs="Arial"/>
          <w:szCs w:val="24"/>
          <w:lang w:eastAsia="en-GB"/>
        </w:rPr>
        <w:t>Sammons, Trudi</w:t>
      </w:r>
    </w:p>
    <w:p w:rsidR="00DF7F87" w:rsidRPr="00C603CD" w:rsidRDefault="00DF7F87" w:rsidP="00A712C0">
      <w:pPr>
        <w:ind w:left="357"/>
        <w:rPr>
          <w:rFonts w:cs="Arial"/>
          <w:szCs w:val="24"/>
          <w:lang w:eastAsia="en-GB"/>
        </w:rPr>
      </w:pPr>
      <w:r>
        <w:rPr>
          <w:rFonts w:cs="Arial"/>
          <w:szCs w:val="24"/>
          <w:lang w:eastAsia="en-GB"/>
        </w:rPr>
        <w:t>Sheard, Rosa (Stockport LA)</w:t>
      </w:r>
    </w:p>
    <w:p w:rsidR="00DF7F87" w:rsidRPr="00C603CD" w:rsidRDefault="00DF7F87" w:rsidP="00A712C0">
      <w:pPr>
        <w:ind w:left="357"/>
        <w:rPr>
          <w:rFonts w:cs="Arial"/>
          <w:szCs w:val="24"/>
          <w:lang w:eastAsia="en-GB"/>
        </w:rPr>
      </w:pPr>
      <w:r w:rsidRPr="00C603CD">
        <w:rPr>
          <w:rFonts w:cs="Arial"/>
          <w:szCs w:val="24"/>
          <w:lang w:eastAsia="en-GB"/>
        </w:rPr>
        <w:t>Sheffi</w:t>
      </w:r>
      <w:r>
        <w:rPr>
          <w:rFonts w:cs="Arial"/>
          <w:szCs w:val="24"/>
          <w:lang w:eastAsia="en-GB"/>
        </w:rPr>
        <w:t>eld City Council (Scott Glover)</w:t>
      </w:r>
    </w:p>
    <w:p w:rsidR="00DF7F87" w:rsidRPr="00C603CD" w:rsidRDefault="00DF7F87" w:rsidP="00A712C0">
      <w:pPr>
        <w:ind w:left="357"/>
        <w:rPr>
          <w:rFonts w:cs="Arial"/>
          <w:szCs w:val="24"/>
          <w:lang w:eastAsia="en-GB"/>
        </w:rPr>
      </w:pPr>
      <w:r>
        <w:rPr>
          <w:rFonts w:cs="Arial"/>
          <w:szCs w:val="24"/>
          <w:lang w:eastAsia="en-GB"/>
        </w:rPr>
        <w:t>Simmonds, Peter</w:t>
      </w:r>
    </w:p>
    <w:p w:rsidR="00DF7F87" w:rsidRPr="00C603CD" w:rsidRDefault="00DF7F87" w:rsidP="00A712C0">
      <w:pPr>
        <w:ind w:left="357"/>
        <w:rPr>
          <w:rFonts w:cs="Arial"/>
          <w:szCs w:val="24"/>
          <w:lang w:eastAsia="en-GB"/>
        </w:rPr>
      </w:pPr>
      <w:r w:rsidRPr="00C603CD">
        <w:rPr>
          <w:rFonts w:cs="Arial"/>
          <w:szCs w:val="24"/>
          <w:lang w:eastAsia="en-GB"/>
        </w:rPr>
        <w:t>Sir James Henderson British S</w:t>
      </w:r>
      <w:r>
        <w:rPr>
          <w:rFonts w:cs="Arial"/>
          <w:szCs w:val="24"/>
          <w:lang w:eastAsia="en-GB"/>
        </w:rPr>
        <w:t>chool of Milan (Carlo Ferrario)</w:t>
      </w:r>
    </w:p>
    <w:p w:rsidR="00DF7F87" w:rsidRPr="00C603CD" w:rsidRDefault="00DF7F87" w:rsidP="00A712C0">
      <w:pPr>
        <w:ind w:left="357"/>
        <w:rPr>
          <w:rFonts w:cs="Arial"/>
          <w:szCs w:val="24"/>
          <w:lang w:eastAsia="en-GB"/>
        </w:rPr>
      </w:pPr>
      <w:r w:rsidRPr="00C603CD">
        <w:rPr>
          <w:rFonts w:cs="Arial"/>
          <w:szCs w:val="24"/>
          <w:lang w:eastAsia="en-GB"/>
        </w:rPr>
        <w:t>Southwark Children</w:t>
      </w:r>
      <w:r>
        <w:rPr>
          <w:rFonts w:cs="Arial"/>
          <w:szCs w:val="24"/>
          <w:lang w:eastAsia="en-GB"/>
        </w:rPr>
        <w:t>’s Services (Bernadette Oates)</w:t>
      </w:r>
    </w:p>
    <w:p w:rsidR="00DF7F87" w:rsidRDefault="00DF7F87" w:rsidP="00A712C0">
      <w:pPr>
        <w:ind w:left="357"/>
        <w:rPr>
          <w:rFonts w:cs="Arial"/>
          <w:szCs w:val="24"/>
          <w:lang w:eastAsia="en-GB"/>
        </w:rPr>
      </w:pPr>
      <w:r w:rsidRPr="00C603CD">
        <w:rPr>
          <w:rFonts w:cs="Arial"/>
          <w:szCs w:val="24"/>
          <w:lang w:eastAsia="en-GB"/>
        </w:rPr>
        <w:t>St Joseph's Infant School (Jennifer Dowsett)</w:t>
      </w:r>
    </w:p>
    <w:p w:rsidR="00DF7F87" w:rsidRPr="00C603CD" w:rsidRDefault="00DF7F87" w:rsidP="00A712C0">
      <w:pPr>
        <w:ind w:left="357"/>
        <w:rPr>
          <w:rFonts w:cs="Arial"/>
          <w:szCs w:val="24"/>
          <w:lang w:eastAsia="en-GB"/>
        </w:rPr>
      </w:pPr>
      <w:r w:rsidRPr="00C603CD">
        <w:rPr>
          <w:rFonts w:cs="Arial"/>
          <w:szCs w:val="24"/>
          <w:lang w:eastAsia="en-GB"/>
        </w:rPr>
        <w:t>St. Andrew’s Internatio</w:t>
      </w:r>
      <w:r>
        <w:rPr>
          <w:rFonts w:cs="Arial"/>
          <w:szCs w:val="24"/>
          <w:lang w:eastAsia="en-GB"/>
        </w:rPr>
        <w:t>nal High School (Gordon Benbow)</w:t>
      </w:r>
    </w:p>
    <w:p w:rsidR="00DF7F87" w:rsidRPr="00C603CD" w:rsidRDefault="00DF7F87" w:rsidP="00A712C0">
      <w:pPr>
        <w:ind w:left="357"/>
        <w:rPr>
          <w:rFonts w:cs="Arial"/>
          <w:szCs w:val="24"/>
          <w:lang w:eastAsia="en-GB"/>
        </w:rPr>
      </w:pPr>
      <w:r w:rsidRPr="00C603CD">
        <w:rPr>
          <w:rFonts w:cs="Arial"/>
          <w:szCs w:val="24"/>
          <w:lang w:eastAsia="en-GB"/>
        </w:rPr>
        <w:t>St. George's Inte</w:t>
      </w:r>
      <w:r>
        <w:rPr>
          <w:rFonts w:cs="Arial"/>
          <w:szCs w:val="24"/>
          <w:lang w:eastAsia="en-GB"/>
        </w:rPr>
        <w:t>rnational School (Nigel Fossey)</w:t>
      </w:r>
    </w:p>
    <w:p w:rsidR="00DF7F87" w:rsidRPr="00C603CD" w:rsidRDefault="00DF7F87" w:rsidP="00A712C0">
      <w:pPr>
        <w:ind w:left="357"/>
        <w:rPr>
          <w:rFonts w:cs="Arial"/>
          <w:szCs w:val="24"/>
          <w:lang w:eastAsia="en-GB"/>
        </w:rPr>
      </w:pPr>
      <w:r w:rsidRPr="00C603CD">
        <w:rPr>
          <w:rFonts w:cs="Arial"/>
          <w:szCs w:val="24"/>
          <w:lang w:eastAsia="en-GB"/>
        </w:rPr>
        <w:t>Staffordshire County Council Staffordsh</w:t>
      </w:r>
      <w:r>
        <w:rPr>
          <w:rFonts w:cs="Arial"/>
          <w:szCs w:val="24"/>
          <w:lang w:eastAsia="en-GB"/>
        </w:rPr>
        <w:t>ire County Council (Anne Birch)</w:t>
      </w:r>
    </w:p>
    <w:p w:rsidR="00DF7F87" w:rsidRPr="00C603CD" w:rsidRDefault="00DF7F87" w:rsidP="00A712C0">
      <w:pPr>
        <w:ind w:left="357"/>
        <w:rPr>
          <w:rFonts w:cs="Arial"/>
          <w:szCs w:val="24"/>
          <w:lang w:eastAsia="en-GB"/>
        </w:rPr>
      </w:pPr>
      <w:r w:rsidRPr="00C603CD">
        <w:rPr>
          <w:rFonts w:cs="Arial"/>
          <w:szCs w:val="24"/>
          <w:lang w:eastAsia="en-GB"/>
        </w:rPr>
        <w:t>Stockton-on-Tees</w:t>
      </w:r>
      <w:r>
        <w:rPr>
          <w:rFonts w:cs="Arial"/>
          <w:szCs w:val="24"/>
          <w:lang w:eastAsia="en-GB"/>
        </w:rPr>
        <w:t xml:space="preserve"> Borough Council (Clif Bingham)</w:t>
      </w:r>
    </w:p>
    <w:p w:rsidR="00DF7F87" w:rsidRPr="00C603CD" w:rsidRDefault="00DF7F87" w:rsidP="00A712C0">
      <w:pPr>
        <w:ind w:left="357"/>
        <w:rPr>
          <w:rFonts w:cs="Arial"/>
          <w:szCs w:val="24"/>
          <w:lang w:eastAsia="en-GB"/>
        </w:rPr>
      </w:pPr>
      <w:r>
        <w:rPr>
          <w:rFonts w:cs="Arial"/>
          <w:szCs w:val="24"/>
          <w:lang w:eastAsia="en-GB"/>
        </w:rPr>
        <w:t>Storey, Rebecca</w:t>
      </w:r>
    </w:p>
    <w:p w:rsidR="00DF7F87" w:rsidRPr="00C603CD" w:rsidRDefault="00DF7F87" w:rsidP="00A712C0">
      <w:pPr>
        <w:ind w:left="357"/>
        <w:rPr>
          <w:rFonts w:cs="Arial"/>
          <w:szCs w:val="24"/>
          <w:lang w:eastAsia="en-GB"/>
        </w:rPr>
      </w:pPr>
      <w:r w:rsidRPr="00C603CD">
        <w:rPr>
          <w:rFonts w:cs="Arial"/>
          <w:szCs w:val="24"/>
          <w:lang w:eastAsia="en-GB"/>
        </w:rPr>
        <w:t>Stoth</w:t>
      </w:r>
      <w:r>
        <w:rPr>
          <w:rFonts w:cs="Arial"/>
          <w:szCs w:val="24"/>
          <w:lang w:eastAsia="en-GB"/>
        </w:rPr>
        <w:t>ard, Graham (Lagos Prep School)</w:t>
      </w:r>
    </w:p>
    <w:p w:rsidR="00DF7F87" w:rsidRPr="00C603CD" w:rsidRDefault="00DF7F87" w:rsidP="00A712C0">
      <w:pPr>
        <w:ind w:left="357"/>
        <w:rPr>
          <w:rFonts w:cs="Arial"/>
          <w:szCs w:val="24"/>
          <w:lang w:eastAsia="en-GB"/>
        </w:rPr>
      </w:pPr>
      <w:r>
        <w:rPr>
          <w:rFonts w:cs="Arial"/>
          <w:szCs w:val="24"/>
          <w:lang w:eastAsia="en-GB"/>
        </w:rPr>
        <w:t>S</w:t>
      </w:r>
      <w:r w:rsidRPr="00C603CD">
        <w:rPr>
          <w:rFonts w:cs="Arial"/>
          <w:szCs w:val="24"/>
          <w:lang w:eastAsia="en-GB"/>
        </w:rPr>
        <w:t xml:space="preserve">tratton </w:t>
      </w:r>
      <w:r>
        <w:rPr>
          <w:rFonts w:cs="Arial"/>
          <w:szCs w:val="24"/>
          <w:lang w:eastAsia="en-GB"/>
        </w:rPr>
        <w:t>Upper S</w:t>
      </w:r>
      <w:r w:rsidRPr="00C603CD">
        <w:rPr>
          <w:rFonts w:cs="Arial"/>
          <w:szCs w:val="24"/>
          <w:lang w:eastAsia="en-GB"/>
        </w:rPr>
        <w:t>chool (</w:t>
      </w:r>
      <w:r>
        <w:rPr>
          <w:rFonts w:cs="Arial"/>
          <w:szCs w:val="24"/>
          <w:lang w:eastAsia="en-GB"/>
        </w:rPr>
        <w:t>Jane Harper)</w:t>
      </w:r>
    </w:p>
    <w:p w:rsidR="00DF7F87" w:rsidRPr="00C603CD" w:rsidRDefault="00DF7F87" w:rsidP="00A712C0">
      <w:pPr>
        <w:ind w:left="357"/>
        <w:rPr>
          <w:rFonts w:cs="Arial"/>
          <w:szCs w:val="24"/>
          <w:lang w:eastAsia="en-GB"/>
        </w:rPr>
      </w:pPr>
      <w:r w:rsidRPr="00C603CD">
        <w:rPr>
          <w:rFonts w:cs="Arial"/>
          <w:szCs w:val="24"/>
          <w:lang w:eastAsia="en-GB"/>
        </w:rPr>
        <w:t>Sutton,</w:t>
      </w:r>
      <w:r>
        <w:rPr>
          <w:rFonts w:cs="Arial"/>
          <w:szCs w:val="24"/>
          <w:lang w:eastAsia="en-GB"/>
        </w:rPr>
        <w:t xml:space="preserve"> Olwen (Long Eaton School, The)</w:t>
      </w:r>
    </w:p>
    <w:p w:rsidR="00DF7F87" w:rsidRPr="00C603CD" w:rsidRDefault="00DF7F87" w:rsidP="00A712C0">
      <w:pPr>
        <w:ind w:left="357"/>
        <w:rPr>
          <w:rFonts w:cs="Arial"/>
          <w:szCs w:val="24"/>
          <w:lang w:eastAsia="en-GB"/>
        </w:rPr>
      </w:pPr>
      <w:r>
        <w:rPr>
          <w:rFonts w:cs="Arial"/>
          <w:color w:val="000000"/>
        </w:rPr>
        <w:t xml:space="preserve">Thorney Island Community </w:t>
      </w:r>
      <w:r w:rsidRPr="00C603CD">
        <w:rPr>
          <w:rFonts w:cs="Arial"/>
          <w:szCs w:val="24"/>
          <w:lang w:eastAsia="en-GB"/>
        </w:rPr>
        <w:t>Primary School (Dean Clegg)</w:t>
      </w:r>
    </w:p>
    <w:p w:rsidR="00DF7F87" w:rsidRPr="00C603CD" w:rsidRDefault="00DF7F87" w:rsidP="00A712C0">
      <w:pPr>
        <w:ind w:left="357"/>
        <w:rPr>
          <w:rFonts w:cs="Arial"/>
          <w:szCs w:val="24"/>
          <w:lang w:eastAsia="en-GB"/>
        </w:rPr>
      </w:pPr>
      <w:r>
        <w:rPr>
          <w:rFonts w:cs="Arial"/>
          <w:szCs w:val="24"/>
          <w:lang w:eastAsia="en-GB"/>
        </w:rPr>
        <w:t>Thurrock LA (Susan Lamkin)</w:t>
      </w:r>
    </w:p>
    <w:p w:rsidR="00DF7F87" w:rsidRPr="00C603CD" w:rsidRDefault="00DF7F87" w:rsidP="00A712C0">
      <w:pPr>
        <w:ind w:left="357"/>
        <w:rPr>
          <w:rFonts w:cs="Arial"/>
          <w:szCs w:val="24"/>
          <w:lang w:eastAsia="en-GB"/>
        </w:rPr>
      </w:pPr>
      <w:r>
        <w:rPr>
          <w:rFonts w:cs="Arial"/>
          <w:szCs w:val="24"/>
          <w:lang w:eastAsia="en-GB"/>
        </w:rPr>
        <w:t>Tidd, Michael</w:t>
      </w:r>
    </w:p>
    <w:p w:rsidR="00DF7F87" w:rsidRPr="00C603CD" w:rsidRDefault="00DF7F87" w:rsidP="00A712C0">
      <w:pPr>
        <w:ind w:left="357"/>
        <w:rPr>
          <w:rFonts w:cs="Arial"/>
          <w:szCs w:val="24"/>
          <w:lang w:eastAsia="en-GB"/>
        </w:rPr>
      </w:pPr>
      <w:r>
        <w:rPr>
          <w:rFonts w:cs="Arial"/>
          <w:szCs w:val="24"/>
          <w:lang w:eastAsia="en-GB"/>
        </w:rPr>
        <w:t>Torbay LA (Debbie Horn)</w:t>
      </w:r>
    </w:p>
    <w:p w:rsidR="00DF7F87" w:rsidRPr="00C603CD" w:rsidRDefault="00DF7F87" w:rsidP="00A712C0">
      <w:pPr>
        <w:ind w:left="357"/>
        <w:rPr>
          <w:rFonts w:cs="Arial"/>
          <w:szCs w:val="24"/>
          <w:lang w:eastAsia="en-GB"/>
        </w:rPr>
      </w:pPr>
      <w:r w:rsidRPr="00C603CD">
        <w:rPr>
          <w:rFonts w:cs="Arial"/>
          <w:szCs w:val="24"/>
          <w:lang w:eastAsia="en-GB"/>
        </w:rPr>
        <w:t>Trowsd</w:t>
      </w:r>
      <w:r>
        <w:rPr>
          <w:rFonts w:cs="Arial"/>
          <w:szCs w:val="24"/>
          <w:lang w:eastAsia="en-GB"/>
        </w:rPr>
        <w:t>ale, Jo (University of Warwick)</w:t>
      </w:r>
    </w:p>
    <w:p w:rsidR="00DF7F87" w:rsidRPr="00C603CD" w:rsidRDefault="00DF7F87" w:rsidP="00A712C0">
      <w:pPr>
        <w:ind w:left="357"/>
        <w:rPr>
          <w:rFonts w:cs="Arial"/>
          <w:szCs w:val="24"/>
          <w:lang w:eastAsia="en-GB"/>
        </w:rPr>
      </w:pPr>
      <w:r>
        <w:rPr>
          <w:rFonts w:cs="Arial"/>
          <w:szCs w:val="24"/>
          <w:lang w:eastAsia="en-GB"/>
        </w:rPr>
        <w:t>UCET (Gordon Kirk)</w:t>
      </w:r>
    </w:p>
    <w:p w:rsidR="00DF7F87" w:rsidRDefault="00DF7F87" w:rsidP="00A712C0">
      <w:pPr>
        <w:ind w:left="357"/>
        <w:rPr>
          <w:rFonts w:cs="Arial"/>
          <w:szCs w:val="24"/>
          <w:lang w:eastAsia="en-GB"/>
        </w:rPr>
      </w:pPr>
      <w:r w:rsidRPr="00C603CD">
        <w:rPr>
          <w:rFonts w:cs="Arial"/>
          <w:szCs w:val="24"/>
          <w:lang w:eastAsia="en-GB"/>
        </w:rPr>
        <w:t>University of Bristol, Post Graduate Certificate of Education Progra</w:t>
      </w:r>
      <w:r>
        <w:rPr>
          <w:rFonts w:cs="Arial"/>
          <w:szCs w:val="24"/>
          <w:lang w:eastAsia="en-GB"/>
        </w:rPr>
        <w:t>mme, The (Alf Coles and others)</w:t>
      </w:r>
    </w:p>
    <w:p w:rsidR="00DF7F87" w:rsidRPr="00C603CD" w:rsidRDefault="00DF7F87" w:rsidP="00A712C0">
      <w:pPr>
        <w:ind w:left="357"/>
        <w:rPr>
          <w:rFonts w:cs="Arial"/>
          <w:szCs w:val="24"/>
          <w:lang w:eastAsia="en-GB"/>
        </w:rPr>
      </w:pPr>
      <w:r>
        <w:rPr>
          <w:rFonts w:cs="Arial"/>
          <w:szCs w:val="24"/>
          <w:lang w:eastAsia="en-GB"/>
        </w:rPr>
        <w:t>University of Worcester (Chris Robertson)</w:t>
      </w:r>
    </w:p>
    <w:p w:rsidR="00DF7F87" w:rsidRDefault="00DF7F87" w:rsidP="00A712C0">
      <w:pPr>
        <w:ind w:left="357"/>
        <w:rPr>
          <w:rFonts w:cs="Arial"/>
          <w:szCs w:val="24"/>
          <w:lang w:eastAsia="en-GB"/>
        </w:rPr>
      </w:pPr>
      <w:r w:rsidRPr="00C603CD">
        <w:rPr>
          <w:rFonts w:cs="Arial"/>
          <w:szCs w:val="24"/>
          <w:lang w:eastAsia="en-GB"/>
        </w:rPr>
        <w:t xml:space="preserve">Walko, </w:t>
      </w:r>
      <w:r>
        <w:rPr>
          <w:rFonts w:cs="Arial"/>
          <w:szCs w:val="24"/>
          <w:lang w:eastAsia="en-GB"/>
        </w:rPr>
        <w:t>Andrea</w:t>
      </w:r>
    </w:p>
    <w:p w:rsidR="00DF7F87" w:rsidRPr="00C603CD" w:rsidRDefault="00DF7F87" w:rsidP="00A712C0">
      <w:pPr>
        <w:ind w:left="357"/>
        <w:rPr>
          <w:rFonts w:cs="Arial"/>
          <w:szCs w:val="24"/>
          <w:lang w:eastAsia="en-GB"/>
        </w:rPr>
      </w:pPr>
      <w:r>
        <w:rPr>
          <w:rFonts w:cs="Arial"/>
          <w:szCs w:val="24"/>
          <w:lang w:eastAsia="en-GB"/>
        </w:rPr>
        <w:t>Wallace Fields Infant School (Nicky Mann)</w:t>
      </w:r>
    </w:p>
    <w:p w:rsidR="00DF7F87" w:rsidRPr="00C603CD" w:rsidRDefault="00DF7F87" w:rsidP="00A712C0">
      <w:pPr>
        <w:ind w:left="357"/>
        <w:rPr>
          <w:rFonts w:cs="Arial"/>
          <w:szCs w:val="24"/>
          <w:lang w:eastAsia="en-GB"/>
        </w:rPr>
      </w:pPr>
      <w:r w:rsidRPr="00C603CD">
        <w:rPr>
          <w:rFonts w:cs="Arial"/>
          <w:szCs w:val="24"/>
          <w:lang w:eastAsia="en-GB"/>
        </w:rPr>
        <w:t>W</w:t>
      </w:r>
      <w:r>
        <w:rPr>
          <w:rFonts w:cs="Arial"/>
          <w:szCs w:val="24"/>
          <w:lang w:eastAsia="en-GB"/>
        </w:rPr>
        <w:t>alton High School (Neil Finlay)</w:t>
      </w:r>
    </w:p>
    <w:p w:rsidR="00DF7F87" w:rsidRPr="00C603CD" w:rsidRDefault="00DF7F87" w:rsidP="00A712C0">
      <w:pPr>
        <w:ind w:left="357"/>
        <w:rPr>
          <w:rFonts w:cs="Arial"/>
          <w:szCs w:val="24"/>
          <w:lang w:eastAsia="en-GB"/>
        </w:rPr>
      </w:pPr>
      <w:r>
        <w:rPr>
          <w:rFonts w:cs="Arial"/>
          <w:szCs w:val="24"/>
          <w:lang w:eastAsia="en-GB"/>
        </w:rPr>
        <w:t>W</w:t>
      </w:r>
      <w:r w:rsidRPr="00C603CD">
        <w:rPr>
          <w:rFonts w:cs="Arial"/>
          <w:szCs w:val="24"/>
          <w:lang w:eastAsia="en-GB"/>
        </w:rPr>
        <w:t>andsworth Council (Tim Willetts)</w:t>
      </w:r>
    </w:p>
    <w:p w:rsidR="00DF7F87" w:rsidRPr="000F2E83" w:rsidRDefault="00DF7F87" w:rsidP="00A712C0">
      <w:pPr>
        <w:ind w:left="357"/>
        <w:rPr>
          <w:rFonts w:cs="Arial"/>
          <w:szCs w:val="24"/>
          <w:lang w:eastAsia="en-GB"/>
        </w:rPr>
      </w:pPr>
      <w:r w:rsidRPr="000F2E83">
        <w:rPr>
          <w:rFonts w:cs="Arial"/>
          <w:szCs w:val="24"/>
          <w:lang w:eastAsia="en-GB"/>
        </w:rPr>
        <w:t>Warden Park School (Nigel Regan)</w:t>
      </w:r>
    </w:p>
    <w:p w:rsidR="00DF7F87" w:rsidRPr="000F2E83" w:rsidRDefault="00DF7F87" w:rsidP="00A712C0">
      <w:pPr>
        <w:ind w:left="357"/>
        <w:rPr>
          <w:rFonts w:cs="Arial"/>
          <w:szCs w:val="24"/>
          <w:lang w:eastAsia="en-GB"/>
        </w:rPr>
      </w:pPr>
      <w:r w:rsidRPr="000F2E83">
        <w:rPr>
          <w:rFonts w:cs="Arial"/>
          <w:szCs w:val="24"/>
          <w:lang w:eastAsia="en-GB"/>
        </w:rPr>
        <w:t>Warwickshire CC (Steve Pendleton)</w:t>
      </w:r>
    </w:p>
    <w:p w:rsidR="00DF7F87" w:rsidRPr="000F2E83" w:rsidRDefault="00DF7F87" w:rsidP="00A712C0">
      <w:pPr>
        <w:ind w:left="357"/>
        <w:rPr>
          <w:rFonts w:cs="Arial"/>
          <w:szCs w:val="24"/>
          <w:lang w:eastAsia="en-GB"/>
        </w:rPr>
      </w:pPr>
      <w:r w:rsidRPr="000F2E83">
        <w:rPr>
          <w:rFonts w:cs="Arial"/>
          <w:szCs w:val="24"/>
          <w:lang w:eastAsia="en-GB"/>
        </w:rPr>
        <w:t>Watkins-Baker, Helga</w:t>
      </w:r>
    </w:p>
    <w:p w:rsidR="00DF7F87" w:rsidRPr="000F2E83" w:rsidRDefault="00DF7F87" w:rsidP="00A712C0">
      <w:pPr>
        <w:ind w:left="357"/>
        <w:rPr>
          <w:rFonts w:cs="Arial"/>
          <w:szCs w:val="24"/>
          <w:lang w:eastAsia="en-GB"/>
        </w:rPr>
      </w:pPr>
      <w:r w:rsidRPr="000F2E83">
        <w:rPr>
          <w:rFonts w:cs="Arial"/>
          <w:szCs w:val="24"/>
          <w:lang w:eastAsia="en-GB"/>
        </w:rPr>
        <w:t>Whitehouse, Amelia</w:t>
      </w:r>
    </w:p>
    <w:p w:rsidR="00DF7F87" w:rsidRPr="000F2E83" w:rsidRDefault="00DF7F87" w:rsidP="00A712C0">
      <w:pPr>
        <w:rPr>
          <w:bCs/>
          <w:szCs w:val="24"/>
        </w:rPr>
      </w:pPr>
    </w:p>
    <w:p w:rsidR="00DF7F87" w:rsidRDefault="00DF7F87" w:rsidP="00A712C0">
      <w:pPr>
        <w:rPr>
          <w:bCs/>
          <w:szCs w:val="24"/>
        </w:rPr>
      </w:pPr>
      <w:r w:rsidRPr="000F2E83">
        <w:rPr>
          <w:bCs/>
          <w:szCs w:val="24"/>
        </w:rPr>
        <w:t xml:space="preserve">There were </w:t>
      </w:r>
      <w:r>
        <w:rPr>
          <w:bCs/>
          <w:szCs w:val="24"/>
        </w:rPr>
        <w:t>also 13 a</w:t>
      </w:r>
      <w:bookmarkStart w:id="0" w:name="_GoBack"/>
      <w:bookmarkEnd w:id="0"/>
      <w:r w:rsidRPr="00E5078A">
        <w:rPr>
          <w:bCs/>
          <w:szCs w:val="24"/>
        </w:rPr>
        <w:t xml:space="preserve">nonymous and </w:t>
      </w:r>
      <w:r>
        <w:rPr>
          <w:bCs/>
          <w:szCs w:val="24"/>
        </w:rPr>
        <w:t>7</w:t>
      </w:r>
      <w:r w:rsidRPr="00E5078A">
        <w:rPr>
          <w:bCs/>
          <w:szCs w:val="24"/>
        </w:rPr>
        <w:t xml:space="preserve"> confidential responses.</w:t>
      </w:r>
    </w:p>
    <w:p w:rsidR="00DF7F87" w:rsidRPr="00636652" w:rsidRDefault="00DF7F87" w:rsidP="00A712C0">
      <w:pPr>
        <w:rPr>
          <w:b/>
          <w:bCs/>
          <w:szCs w:val="24"/>
        </w:rPr>
      </w:pPr>
    </w:p>
    <w:p w:rsidR="00DF7F87" w:rsidRDefault="00DF7F87" w:rsidP="00A712C0">
      <w:pPr>
        <w:jc w:val="right"/>
      </w:pPr>
    </w:p>
    <w:p w:rsidR="00DF7F87" w:rsidRPr="00573A8C" w:rsidRDefault="00DF7F87" w:rsidP="00573A8C"/>
    <w:sectPr w:rsidR="00DF7F87" w:rsidRPr="00573A8C" w:rsidSect="001051B4">
      <w:headerReference w:type="default" r:id="rId8"/>
      <w:footerReference w:type="even" r:id="rId9"/>
      <w:footerReference w:type="default" r:id="rId10"/>
      <w:pgSz w:w="11909" w:h="16834" w:code="9"/>
      <w:pgMar w:top="1440" w:right="1152" w:bottom="1440" w:left="1440" w:header="70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87" w:rsidRDefault="00DF7F87">
      <w:r>
        <w:separator/>
      </w:r>
    </w:p>
  </w:endnote>
  <w:endnote w:type="continuationSeparator" w:id="0">
    <w:p w:rsidR="00DF7F87" w:rsidRDefault="00DF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87" w:rsidRDefault="00DF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F87" w:rsidRDefault="00DF7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87" w:rsidRDefault="00DF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7F87" w:rsidRPr="00C00206" w:rsidRDefault="00DF7F87">
    <w:pPr>
      <w:pStyle w:val="Footer"/>
      <w:ind w:right="360"/>
      <w:jc w:val="center"/>
    </w:pPr>
  </w:p>
  <w:p w:rsidR="00DF7F87" w:rsidRDefault="00DF7F87">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87" w:rsidRDefault="00DF7F87">
      <w:r>
        <w:separator/>
      </w:r>
    </w:p>
  </w:footnote>
  <w:footnote w:type="continuationSeparator" w:id="0">
    <w:p w:rsidR="00DF7F87" w:rsidRDefault="00DF7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F87" w:rsidRPr="00C00206" w:rsidRDefault="00DF7F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551"/>
    <w:multiLevelType w:val="hybridMultilevel"/>
    <w:tmpl w:val="FF7036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EF3FA1"/>
    <w:multiLevelType w:val="multilevel"/>
    <w:tmpl w:val="4BD8F628"/>
    <w:lvl w:ilvl="0">
      <w:start w:val="1"/>
      <w:numFmt w:val="decimal"/>
      <w:lvlRestart w:val="0"/>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Symbol" w:hAnsi="Symbol" w:cs="Times New Roman" w:hint="default"/>
        <w:color w:val="auto"/>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nsid w:val="09425CCB"/>
    <w:multiLevelType w:val="hybridMultilevel"/>
    <w:tmpl w:val="A354491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9B748E1"/>
    <w:multiLevelType w:val="multilevel"/>
    <w:tmpl w:val="44AE43A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1EC760B3"/>
    <w:multiLevelType w:val="hybridMultilevel"/>
    <w:tmpl w:val="D65C00B0"/>
    <w:lvl w:ilvl="0" w:tplc="1D268E50">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5">
    <w:nsid w:val="260B2529"/>
    <w:multiLevelType w:val="multilevel"/>
    <w:tmpl w:val="95F8D534"/>
    <w:lvl w:ilvl="0">
      <w:start w:val="1"/>
      <w:numFmt w:val="decimal"/>
      <w:lvlRestart w:val="0"/>
      <w:pStyle w:val="DeptOutNumbered"/>
      <w:lvlText w:val="%1."/>
      <w:lvlJc w:val="left"/>
      <w:pPr>
        <w:tabs>
          <w:tab w:val="num" w:pos="720"/>
        </w:tabs>
      </w:pPr>
      <w:rPr>
        <w:rFonts w:ascii="Arial" w:hAnsi="Arial"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nsid w:val="26D31E78"/>
    <w:multiLevelType w:val="hybridMultilevel"/>
    <w:tmpl w:val="FB78D5D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6EE0C84"/>
    <w:multiLevelType w:val="multilevel"/>
    <w:tmpl w:val="EA14960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nsid w:val="39511D8B"/>
    <w:multiLevelType w:val="hybridMultilevel"/>
    <w:tmpl w:val="12D4D0B4"/>
    <w:lvl w:ilvl="0" w:tplc="50A2A77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5491178E"/>
    <w:multiLevelType w:val="multilevel"/>
    <w:tmpl w:val="36E20C0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1">
    <w:nsid w:val="650134E1"/>
    <w:multiLevelType w:val="hybridMultilevel"/>
    <w:tmpl w:val="9F260600"/>
    <w:lvl w:ilvl="0" w:tplc="C032E57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BE1572F"/>
    <w:multiLevelType w:val="hybridMultilevel"/>
    <w:tmpl w:val="CA84DF52"/>
    <w:lvl w:ilvl="0" w:tplc="76D2BAE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7"/>
  </w:num>
  <w:num w:numId="6">
    <w:abstractNumId w:val="5"/>
  </w:num>
  <w:num w:numId="7">
    <w:abstractNumId w:val="11"/>
  </w:num>
  <w:num w:numId="8">
    <w:abstractNumId w:val="9"/>
  </w:num>
  <w:num w:numId="9">
    <w:abstractNumId w:val="6"/>
  </w:num>
  <w:num w:numId="10">
    <w:abstractNumId w:val="8"/>
  </w:num>
  <w:num w:numId="11">
    <w:abstractNumId w:val="10"/>
  </w:num>
  <w:num w:numId="12">
    <w:abstractNumId w:val="3"/>
  </w:num>
  <w:num w:numId="13">
    <w:abstractNumId w:val="12"/>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206"/>
    <w:rsid w:val="000006A3"/>
    <w:rsid w:val="00001445"/>
    <w:rsid w:val="000049AD"/>
    <w:rsid w:val="00004A71"/>
    <w:rsid w:val="00004DD9"/>
    <w:rsid w:val="0001168A"/>
    <w:rsid w:val="000154F3"/>
    <w:rsid w:val="00020B71"/>
    <w:rsid w:val="000231D0"/>
    <w:rsid w:val="00025C6E"/>
    <w:rsid w:val="000263F0"/>
    <w:rsid w:val="00027103"/>
    <w:rsid w:val="00027C34"/>
    <w:rsid w:val="0003045B"/>
    <w:rsid w:val="00030AD3"/>
    <w:rsid w:val="00035EAB"/>
    <w:rsid w:val="0003689D"/>
    <w:rsid w:val="00045612"/>
    <w:rsid w:val="00045D3A"/>
    <w:rsid w:val="0004601A"/>
    <w:rsid w:val="0005154C"/>
    <w:rsid w:val="00051C8E"/>
    <w:rsid w:val="00052F2B"/>
    <w:rsid w:val="00056DD6"/>
    <w:rsid w:val="00057EFC"/>
    <w:rsid w:val="00060DA5"/>
    <w:rsid w:val="000616D7"/>
    <w:rsid w:val="0006278F"/>
    <w:rsid w:val="00066F7D"/>
    <w:rsid w:val="00067988"/>
    <w:rsid w:val="00071396"/>
    <w:rsid w:val="00071EF1"/>
    <w:rsid w:val="00075B6E"/>
    <w:rsid w:val="00075DD8"/>
    <w:rsid w:val="000763E9"/>
    <w:rsid w:val="000774AE"/>
    <w:rsid w:val="00080F17"/>
    <w:rsid w:val="00083E28"/>
    <w:rsid w:val="000862AB"/>
    <w:rsid w:val="00086BE0"/>
    <w:rsid w:val="00086E3C"/>
    <w:rsid w:val="00092339"/>
    <w:rsid w:val="00095264"/>
    <w:rsid w:val="0009593D"/>
    <w:rsid w:val="00096CE9"/>
    <w:rsid w:val="000979C3"/>
    <w:rsid w:val="000A0A02"/>
    <w:rsid w:val="000A177A"/>
    <w:rsid w:val="000A1B36"/>
    <w:rsid w:val="000A209C"/>
    <w:rsid w:val="000A291C"/>
    <w:rsid w:val="000A3AAD"/>
    <w:rsid w:val="000A71CD"/>
    <w:rsid w:val="000B2176"/>
    <w:rsid w:val="000B48AA"/>
    <w:rsid w:val="000B4D25"/>
    <w:rsid w:val="000B61E2"/>
    <w:rsid w:val="000C0F8C"/>
    <w:rsid w:val="000C31DB"/>
    <w:rsid w:val="000C3FA5"/>
    <w:rsid w:val="000C6C10"/>
    <w:rsid w:val="000D0455"/>
    <w:rsid w:val="000D1F5B"/>
    <w:rsid w:val="000D25A7"/>
    <w:rsid w:val="000D2935"/>
    <w:rsid w:val="000D63B1"/>
    <w:rsid w:val="000D6585"/>
    <w:rsid w:val="000E21F6"/>
    <w:rsid w:val="000E2A67"/>
    <w:rsid w:val="000E2EB1"/>
    <w:rsid w:val="000E3CB5"/>
    <w:rsid w:val="000E401C"/>
    <w:rsid w:val="000E5BB3"/>
    <w:rsid w:val="000E7958"/>
    <w:rsid w:val="000F0789"/>
    <w:rsid w:val="000F2E83"/>
    <w:rsid w:val="000F5EBF"/>
    <w:rsid w:val="000F6519"/>
    <w:rsid w:val="000F79B7"/>
    <w:rsid w:val="00100F73"/>
    <w:rsid w:val="00101584"/>
    <w:rsid w:val="001022A1"/>
    <w:rsid w:val="001051B4"/>
    <w:rsid w:val="0010698E"/>
    <w:rsid w:val="00106AAC"/>
    <w:rsid w:val="00106D25"/>
    <w:rsid w:val="00112792"/>
    <w:rsid w:val="00112B6A"/>
    <w:rsid w:val="0011542B"/>
    <w:rsid w:val="0011556C"/>
    <w:rsid w:val="0011690C"/>
    <w:rsid w:val="00116D6C"/>
    <w:rsid w:val="00120729"/>
    <w:rsid w:val="00123525"/>
    <w:rsid w:val="00124927"/>
    <w:rsid w:val="0012628F"/>
    <w:rsid w:val="001324F3"/>
    <w:rsid w:val="0013335A"/>
    <w:rsid w:val="001400D3"/>
    <w:rsid w:val="0014097D"/>
    <w:rsid w:val="00142E1D"/>
    <w:rsid w:val="00143BE8"/>
    <w:rsid w:val="00145F9B"/>
    <w:rsid w:val="0014677B"/>
    <w:rsid w:val="00147FA3"/>
    <w:rsid w:val="00150603"/>
    <w:rsid w:val="00152377"/>
    <w:rsid w:val="00152B5C"/>
    <w:rsid w:val="00153071"/>
    <w:rsid w:val="00154747"/>
    <w:rsid w:val="0015481E"/>
    <w:rsid w:val="00154AC1"/>
    <w:rsid w:val="00155636"/>
    <w:rsid w:val="001557B9"/>
    <w:rsid w:val="00160367"/>
    <w:rsid w:val="00162915"/>
    <w:rsid w:val="001629BD"/>
    <w:rsid w:val="00163A85"/>
    <w:rsid w:val="00165C42"/>
    <w:rsid w:val="001710D5"/>
    <w:rsid w:val="00171E4A"/>
    <w:rsid w:val="00171F0E"/>
    <w:rsid w:val="001728E6"/>
    <w:rsid w:val="00174D4B"/>
    <w:rsid w:val="00175195"/>
    <w:rsid w:val="001771E6"/>
    <w:rsid w:val="00177F4F"/>
    <w:rsid w:val="001844BE"/>
    <w:rsid w:val="00184DCA"/>
    <w:rsid w:val="001853E1"/>
    <w:rsid w:val="0019191A"/>
    <w:rsid w:val="00192F91"/>
    <w:rsid w:val="00193790"/>
    <w:rsid w:val="00193E28"/>
    <w:rsid w:val="001948F8"/>
    <w:rsid w:val="00195AFA"/>
    <w:rsid w:val="001977BB"/>
    <w:rsid w:val="001A0CD1"/>
    <w:rsid w:val="001A3C24"/>
    <w:rsid w:val="001A4AD0"/>
    <w:rsid w:val="001A550A"/>
    <w:rsid w:val="001A6191"/>
    <w:rsid w:val="001A770B"/>
    <w:rsid w:val="001A78E3"/>
    <w:rsid w:val="001B2855"/>
    <w:rsid w:val="001B6F5D"/>
    <w:rsid w:val="001C08CD"/>
    <w:rsid w:val="001C0FFB"/>
    <w:rsid w:val="001C1E1C"/>
    <w:rsid w:val="001C2966"/>
    <w:rsid w:val="001C5B9F"/>
    <w:rsid w:val="001D22B4"/>
    <w:rsid w:val="001D3D6E"/>
    <w:rsid w:val="001E2F3C"/>
    <w:rsid w:val="001E37ED"/>
    <w:rsid w:val="001E3A8F"/>
    <w:rsid w:val="001E3A9F"/>
    <w:rsid w:val="001E7CBC"/>
    <w:rsid w:val="001F0BBF"/>
    <w:rsid w:val="001F3611"/>
    <w:rsid w:val="001F4435"/>
    <w:rsid w:val="001F71BF"/>
    <w:rsid w:val="001F749B"/>
    <w:rsid w:val="00200CB2"/>
    <w:rsid w:val="0020296B"/>
    <w:rsid w:val="002054D6"/>
    <w:rsid w:val="00210275"/>
    <w:rsid w:val="002118F6"/>
    <w:rsid w:val="002133CE"/>
    <w:rsid w:val="00213B99"/>
    <w:rsid w:val="002148B9"/>
    <w:rsid w:val="0021599A"/>
    <w:rsid w:val="0022045C"/>
    <w:rsid w:val="00221DCF"/>
    <w:rsid w:val="00222CB0"/>
    <w:rsid w:val="0022628C"/>
    <w:rsid w:val="002263B0"/>
    <w:rsid w:val="00231AB0"/>
    <w:rsid w:val="0023346D"/>
    <w:rsid w:val="00233E7C"/>
    <w:rsid w:val="00234FFC"/>
    <w:rsid w:val="002350FD"/>
    <w:rsid w:val="00235266"/>
    <w:rsid w:val="002377AD"/>
    <w:rsid w:val="00240600"/>
    <w:rsid w:val="002407C9"/>
    <w:rsid w:val="002423D9"/>
    <w:rsid w:val="002438C5"/>
    <w:rsid w:val="002504C6"/>
    <w:rsid w:val="00251B75"/>
    <w:rsid w:val="00251D77"/>
    <w:rsid w:val="002520BF"/>
    <w:rsid w:val="002548E5"/>
    <w:rsid w:val="00262389"/>
    <w:rsid w:val="0026393E"/>
    <w:rsid w:val="00264BE3"/>
    <w:rsid w:val="002661C9"/>
    <w:rsid w:val="00266A97"/>
    <w:rsid w:val="002675F0"/>
    <w:rsid w:val="002706E5"/>
    <w:rsid w:val="00270EE4"/>
    <w:rsid w:val="002717AE"/>
    <w:rsid w:val="0027199C"/>
    <w:rsid w:val="00271ECD"/>
    <w:rsid w:val="00273E05"/>
    <w:rsid w:val="00273E29"/>
    <w:rsid w:val="00276F2B"/>
    <w:rsid w:val="00277012"/>
    <w:rsid w:val="0027788F"/>
    <w:rsid w:val="0028586A"/>
    <w:rsid w:val="00290A52"/>
    <w:rsid w:val="00290DA3"/>
    <w:rsid w:val="00292A2D"/>
    <w:rsid w:val="00295FDE"/>
    <w:rsid w:val="00297F30"/>
    <w:rsid w:val="002A5BFA"/>
    <w:rsid w:val="002A768E"/>
    <w:rsid w:val="002A7FE4"/>
    <w:rsid w:val="002B04F9"/>
    <w:rsid w:val="002B11BE"/>
    <w:rsid w:val="002B4A1E"/>
    <w:rsid w:val="002B4D58"/>
    <w:rsid w:val="002B5EBF"/>
    <w:rsid w:val="002B6C3C"/>
    <w:rsid w:val="002B7B98"/>
    <w:rsid w:val="002C0182"/>
    <w:rsid w:val="002C0571"/>
    <w:rsid w:val="002C08B7"/>
    <w:rsid w:val="002C20D3"/>
    <w:rsid w:val="002C318D"/>
    <w:rsid w:val="002C4ED9"/>
    <w:rsid w:val="002C544F"/>
    <w:rsid w:val="002C581F"/>
    <w:rsid w:val="002C63AB"/>
    <w:rsid w:val="002C6C56"/>
    <w:rsid w:val="002D0F31"/>
    <w:rsid w:val="002D436F"/>
    <w:rsid w:val="002D7DF7"/>
    <w:rsid w:val="002E4D2C"/>
    <w:rsid w:val="002E601F"/>
    <w:rsid w:val="002E6DED"/>
    <w:rsid w:val="002F0299"/>
    <w:rsid w:val="002F186B"/>
    <w:rsid w:val="002F1B28"/>
    <w:rsid w:val="002F338E"/>
    <w:rsid w:val="002F3C24"/>
    <w:rsid w:val="002F3C57"/>
    <w:rsid w:val="002F6AD2"/>
    <w:rsid w:val="002F7425"/>
    <w:rsid w:val="002F7BC0"/>
    <w:rsid w:val="00302665"/>
    <w:rsid w:val="0030538B"/>
    <w:rsid w:val="0030653B"/>
    <w:rsid w:val="003075A3"/>
    <w:rsid w:val="00313786"/>
    <w:rsid w:val="00313C4C"/>
    <w:rsid w:val="00314786"/>
    <w:rsid w:val="00314EE4"/>
    <w:rsid w:val="003166CC"/>
    <w:rsid w:val="00316D8E"/>
    <w:rsid w:val="0032338C"/>
    <w:rsid w:val="003268AF"/>
    <w:rsid w:val="00326CEF"/>
    <w:rsid w:val="00330879"/>
    <w:rsid w:val="00336BE2"/>
    <w:rsid w:val="00337C20"/>
    <w:rsid w:val="00340D99"/>
    <w:rsid w:val="00340E40"/>
    <w:rsid w:val="00344613"/>
    <w:rsid w:val="00344725"/>
    <w:rsid w:val="00345645"/>
    <w:rsid w:val="003477B6"/>
    <w:rsid w:val="0035616A"/>
    <w:rsid w:val="0035656C"/>
    <w:rsid w:val="00360B96"/>
    <w:rsid w:val="00360C66"/>
    <w:rsid w:val="003702F4"/>
    <w:rsid w:val="003720BC"/>
    <w:rsid w:val="003730A1"/>
    <w:rsid w:val="00373F09"/>
    <w:rsid w:val="003778CA"/>
    <w:rsid w:val="00382AF2"/>
    <w:rsid w:val="0038319A"/>
    <w:rsid w:val="00384235"/>
    <w:rsid w:val="003857A8"/>
    <w:rsid w:val="00387C0A"/>
    <w:rsid w:val="00390F99"/>
    <w:rsid w:val="003951BA"/>
    <w:rsid w:val="00395B2A"/>
    <w:rsid w:val="003A0107"/>
    <w:rsid w:val="003A0620"/>
    <w:rsid w:val="003A214A"/>
    <w:rsid w:val="003A24A9"/>
    <w:rsid w:val="003A3A5E"/>
    <w:rsid w:val="003A572A"/>
    <w:rsid w:val="003B15EB"/>
    <w:rsid w:val="003C1A08"/>
    <w:rsid w:val="003C236A"/>
    <w:rsid w:val="003C2B23"/>
    <w:rsid w:val="003C3B7B"/>
    <w:rsid w:val="003D05A6"/>
    <w:rsid w:val="003D105C"/>
    <w:rsid w:val="003D2933"/>
    <w:rsid w:val="003D542D"/>
    <w:rsid w:val="003D7568"/>
    <w:rsid w:val="003E1261"/>
    <w:rsid w:val="003E2295"/>
    <w:rsid w:val="003E38B7"/>
    <w:rsid w:val="003E3C9D"/>
    <w:rsid w:val="003E4A38"/>
    <w:rsid w:val="003F42F2"/>
    <w:rsid w:val="003F67D1"/>
    <w:rsid w:val="003F7800"/>
    <w:rsid w:val="003F7C9C"/>
    <w:rsid w:val="004031B6"/>
    <w:rsid w:val="004074EE"/>
    <w:rsid w:val="0040788B"/>
    <w:rsid w:val="00412457"/>
    <w:rsid w:val="0041704A"/>
    <w:rsid w:val="00420363"/>
    <w:rsid w:val="004204CF"/>
    <w:rsid w:val="00421D8B"/>
    <w:rsid w:val="004221BF"/>
    <w:rsid w:val="004232A8"/>
    <w:rsid w:val="004256AE"/>
    <w:rsid w:val="00425CC3"/>
    <w:rsid w:val="00425CD8"/>
    <w:rsid w:val="004260F8"/>
    <w:rsid w:val="00426A67"/>
    <w:rsid w:val="00427D6D"/>
    <w:rsid w:val="00430302"/>
    <w:rsid w:val="00430321"/>
    <w:rsid w:val="004317EB"/>
    <w:rsid w:val="00431D9B"/>
    <w:rsid w:val="004335D2"/>
    <w:rsid w:val="004427A8"/>
    <w:rsid w:val="004427B7"/>
    <w:rsid w:val="00442AD4"/>
    <w:rsid w:val="00442DDC"/>
    <w:rsid w:val="0044343C"/>
    <w:rsid w:val="004443BF"/>
    <w:rsid w:val="00444C65"/>
    <w:rsid w:val="0044539F"/>
    <w:rsid w:val="004460EC"/>
    <w:rsid w:val="004505F7"/>
    <w:rsid w:val="004510B3"/>
    <w:rsid w:val="0045218C"/>
    <w:rsid w:val="00452981"/>
    <w:rsid w:val="00453E2F"/>
    <w:rsid w:val="004567C3"/>
    <w:rsid w:val="00457AAD"/>
    <w:rsid w:val="00460AFB"/>
    <w:rsid w:val="00461A47"/>
    <w:rsid w:val="00466863"/>
    <w:rsid w:val="00470AB1"/>
    <w:rsid w:val="00470C8D"/>
    <w:rsid w:val="004715C8"/>
    <w:rsid w:val="00471CCB"/>
    <w:rsid w:val="00472C72"/>
    <w:rsid w:val="0047594F"/>
    <w:rsid w:val="00475BD4"/>
    <w:rsid w:val="00476674"/>
    <w:rsid w:val="00476860"/>
    <w:rsid w:val="00477080"/>
    <w:rsid w:val="00481781"/>
    <w:rsid w:val="004819FA"/>
    <w:rsid w:val="00481EB5"/>
    <w:rsid w:val="00485EF8"/>
    <w:rsid w:val="004864AF"/>
    <w:rsid w:val="004869E3"/>
    <w:rsid w:val="004902E0"/>
    <w:rsid w:val="00490F68"/>
    <w:rsid w:val="004926FE"/>
    <w:rsid w:val="004A1BFD"/>
    <w:rsid w:val="004A2621"/>
    <w:rsid w:val="004A347E"/>
    <w:rsid w:val="004A76E2"/>
    <w:rsid w:val="004B0F01"/>
    <w:rsid w:val="004B1482"/>
    <w:rsid w:val="004B4D80"/>
    <w:rsid w:val="004B5089"/>
    <w:rsid w:val="004B5AEF"/>
    <w:rsid w:val="004C0C07"/>
    <w:rsid w:val="004C0EE5"/>
    <w:rsid w:val="004C229C"/>
    <w:rsid w:val="004C395F"/>
    <w:rsid w:val="004C3A92"/>
    <w:rsid w:val="004D5D28"/>
    <w:rsid w:val="004E13F8"/>
    <w:rsid w:val="004E1CB7"/>
    <w:rsid w:val="004E5042"/>
    <w:rsid w:val="004E7F72"/>
    <w:rsid w:val="004F0E2B"/>
    <w:rsid w:val="004F0E66"/>
    <w:rsid w:val="004F18CA"/>
    <w:rsid w:val="004F276F"/>
    <w:rsid w:val="004F2860"/>
    <w:rsid w:val="005017D6"/>
    <w:rsid w:val="00501954"/>
    <w:rsid w:val="00504529"/>
    <w:rsid w:val="005045B4"/>
    <w:rsid w:val="005053D8"/>
    <w:rsid w:val="00512D22"/>
    <w:rsid w:val="005135FD"/>
    <w:rsid w:val="005168B3"/>
    <w:rsid w:val="00516DD3"/>
    <w:rsid w:val="0051712D"/>
    <w:rsid w:val="00522041"/>
    <w:rsid w:val="00524789"/>
    <w:rsid w:val="00525D13"/>
    <w:rsid w:val="00530750"/>
    <w:rsid w:val="00531C63"/>
    <w:rsid w:val="00532352"/>
    <w:rsid w:val="005339C3"/>
    <w:rsid w:val="00533BE7"/>
    <w:rsid w:val="00535A4B"/>
    <w:rsid w:val="00537642"/>
    <w:rsid w:val="00543241"/>
    <w:rsid w:val="005442E1"/>
    <w:rsid w:val="0054590B"/>
    <w:rsid w:val="00545A86"/>
    <w:rsid w:val="00545F54"/>
    <w:rsid w:val="005461FD"/>
    <w:rsid w:val="005503D7"/>
    <w:rsid w:val="00552A0F"/>
    <w:rsid w:val="00552B7C"/>
    <w:rsid w:val="00553A8A"/>
    <w:rsid w:val="00553DFF"/>
    <w:rsid w:val="00555AAF"/>
    <w:rsid w:val="0056015C"/>
    <w:rsid w:val="005610F9"/>
    <w:rsid w:val="005616B5"/>
    <w:rsid w:val="00562187"/>
    <w:rsid w:val="00564339"/>
    <w:rsid w:val="00564DD5"/>
    <w:rsid w:val="00567B3A"/>
    <w:rsid w:val="00567DD5"/>
    <w:rsid w:val="00573A8C"/>
    <w:rsid w:val="00574B58"/>
    <w:rsid w:val="0057543B"/>
    <w:rsid w:val="00576E1D"/>
    <w:rsid w:val="00577251"/>
    <w:rsid w:val="0058268B"/>
    <w:rsid w:val="00583477"/>
    <w:rsid w:val="005936FC"/>
    <w:rsid w:val="00595378"/>
    <w:rsid w:val="005974B5"/>
    <w:rsid w:val="005A08BD"/>
    <w:rsid w:val="005A11E2"/>
    <w:rsid w:val="005A24EA"/>
    <w:rsid w:val="005A2A55"/>
    <w:rsid w:val="005A4F61"/>
    <w:rsid w:val="005B0BA4"/>
    <w:rsid w:val="005B208C"/>
    <w:rsid w:val="005B574E"/>
    <w:rsid w:val="005B7B3E"/>
    <w:rsid w:val="005B7FB5"/>
    <w:rsid w:val="005C1F22"/>
    <w:rsid w:val="005C4DE0"/>
    <w:rsid w:val="005C77F6"/>
    <w:rsid w:val="005C7DC1"/>
    <w:rsid w:val="005D252F"/>
    <w:rsid w:val="005D35A9"/>
    <w:rsid w:val="005D3D7B"/>
    <w:rsid w:val="005D4844"/>
    <w:rsid w:val="005D4EFD"/>
    <w:rsid w:val="005E1C3F"/>
    <w:rsid w:val="005E4407"/>
    <w:rsid w:val="005E4581"/>
    <w:rsid w:val="005E539B"/>
    <w:rsid w:val="005E5DAE"/>
    <w:rsid w:val="005E63FE"/>
    <w:rsid w:val="005F0A17"/>
    <w:rsid w:val="005F13AD"/>
    <w:rsid w:val="005F2EB8"/>
    <w:rsid w:val="005F4577"/>
    <w:rsid w:val="005F4980"/>
    <w:rsid w:val="005F7C6E"/>
    <w:rsid w:val="00600B78"/>
    <w:rsid w:val="00603516"/>
    <w:rsid w:val="00605271"/>
    <w:rsid w:val="0060533A"/>
    <w:rsid w:val="00606E6E"/>
    <w:rsid w:val="006101E0"/>
    <w:rsid w:val="00610ABE"/>
    <w:rsid w:val="00611534"/>
    <w:rsid w:val="00612052"/>
    <w:rsid w:val="00614E15"/>
    <w:rsid w:val="006150D2"/>
    <w:rsid w:val="00615D4F"/>
    <w:rsid w:val="0061646B"/>
    <w:rsid w:val="00617708"/>
    <w:rsid w:val="00617945"/>
    <w:rsid w:val="006200E0"/>
    <w:rsid w:val="00622496"/>
    <w:rsid w:val="0062447A"/>
    <w:rsid w:val="00624FD7"/>
    <w:rsid w:val="006308B4"/>
    <w:rsid w:val="0063417A"/>
    <w:rsid w:val="00634A2A"/>
    <w:rsid w:val="00636572"/>
    <w:rsid w:val="00636652"/>
    <w:rsid w:val="00640263"/>
    <w:rsid w:val="00640298"/>
    <w:rsid w:val="00646E85"/>
    <w:rsid w:val="0065176F"/>
    <w:rsid w:val="0065179A"/>
    <w:rsid w:val="00655B36"/>
    <w:rsid w:val="006568EF"/>
    <w:rsid w:val="00657D99"/>
    <w:rsid w:val="006615CF"/>
    <w:rsid w:val="0066177E"/>
    <w:rsid w:val="0066202C"/>
    <w:rsid w:val="0066218F"/>
    <w:rsid w:val="00663DB6"/>
    <w:rsid w:val="00664B2A"/>
    <w:rsid w:val="00665454"/>
    <w:rsid w:val="006710F1"/>
    <w:rsid w:val="00672226"/>
    <w:rsid w:val="00673175"/>
    <w:rsid w:val="00673D9D"/>
    <w:rsid w:val="006758D9"/>
    <w:rsid w:val="00676333"/>
    <w:rsid w:val="006763DC"/>
    <w:rsid w:val="0068038D"/>
    <w:rsid w:val="0068162A"/>
    <w:rsid w:val="0068361C"/>
    <w:rsid w:val="0068366E"/>
    <w:rsid w:val="00684363"/>
    <w:rsid w:val="00687EBA"/>
    <w:rsid w:val="00690981"/>
    <w:rsid w:val="00694BF8"/>
    <w:rsid w:val="006950A1"/>
    <w:rsid w:val="00695CC0"/>
    <w:rsid w:val="006A2FE9"/>
    <w:rsid w:val="006A3078"/>
    <w:rsid w:val="006A4D4E"/>
    <w:rsid w:val="006A5F6E"/>
    <w:rsid w:val="006A6495"/>
    <w:rsid w:val="006B0424"/>
    <w:rsid w:val="006B1470"/>
    <w:rsid w:val="006B2BE8"/>
    <w:rsid w:val="006B2BEA"/>
    <w:rsid w:val="006B3693"/>
    <w:rsid w:val="006B38E4"/>
    <w:rsid w:val="006B400E"/>
    <w:rsid w:val="006B5A51"/>
    <w:rsid w:val="006C2D58"/>
    <w:rsid w:val="006C3670"/>
    <w:rsid w:val="006C38AE"/>
    <w:rsid w:val="006C7BCF"/>
    <w:rsid w:val="006D0354"/>
    <w:rsid w:val="006D5B01"/>
    <w:rsid w:val="006E0F35"/>
    <w:rsid w:val="006E1342"/>
    <w:rsid w:val="006E19B0"/>
    <w:rsid w:val="006E19D7"/>
    <w:rsid w:val="006E1B39"/>
    <w:rsid w:val="006E652E"/>
    <w:rsid w:val="006E67E8"/>
    <w:rsid w:val="006E7870"/>
    <w:rsid w:val="006F1467"/>
    <w:rsid w:val="006F2A1C"/>
    <w:rsid w:val="006F33B7"/>
    <w:rsid w:val="006F6734"/>
    <w:rsid w:val="006F6822"/>
    <w:rsid w:val="00700662"/>
    <w:rsid w:val="00702338"/>
    <w:rsid w:val="007058EE"/>
    <w:rsid w:val="00711573"/>
    <w:rsid w:val="00711B53"/>
    <w:rsid w:val="007130F9"/>
    <w:rsid w:val="00715751"/>
    <w:rsid w:val="0071699D"/>
    <w:rsid w:val="007176B6"/>
    <w:rsid w:val="00717D51"/>
    <w:rsid w:val="00722A77"/>
    <w:rsid w:val="00725EB0"/>
    <w:rsid w:val="00727674"/>
    <w:rsid w:val="00730816"/>
    <w:rsid w:val="00734FA2"/>
    <w:rsid w:val="007351A6"/>
    <w:rsid w:val="007372D1"/>
    <w:rsid w:val="00744B49"/>
    <w:rsid w:val="00746C30"/>
    <w:rsid w:val="00747AF5"/>
    <w:rsid w:val="00750DB7"/>
    <w:rsid w:val="00753164"/>
    <w:rsid w:val="0075373C"/>
    <w:rsid w:val="00760468"/>
    <w:rsid w:val="00762D60"/>
    <w:rsid w:val="00764B55"/>
    <w:rsid w:val="0076571E"/>
    <w:rsid w:val="00771355"/>
    <w:rsid w:val="007713B7"/>
    <w:rsid w:val="0077320F"/>
    <w:rsid w:val="007736D1"/>
    <w:rsid w:val="007750E3"/>
    <w:rsid w:val="00775A52"/>
    <w:rsid w:val="00775FFC"/>
    <w:rsid w:val="00776AE0"/>
    <w:rsid w:val="0077774B"/>
    <w:rsid w:val="007803C6"/>
    <w:rsid w:val="0078181F"/>
    <w:rsid w:val="00782652"/>
    <w:rsid w:val="0078395F"/>
    <w:rsid w:val="00785166"/>
    <w:rsid w:val="00785A67"/>
    <w:rsid w:val="00787263"/>
    <w:rsid w:val="00787DFE"/>
    <w:rsid w:val="00790B0E"/>
    <w:rsid w:val="007911B2"/>
    <w:rsid w:val="00793345"/>
    <w:rsid w:val="00794315"/>
    <w:rsid w:val="007947A0"/>
    <w:rsid w:val="007960DD"/>
    <w:rsid w:val="00796D54"/>
    <w:rsid w:val="007A06FB"/>
    <w:rsid w:val="007A3F32"/>
    <w:rsid w:val="007A4563"/>
    <w:rsid w:val="007A7CF3"/>
    <w:rsid w:val="007B4128"/>
    <w:rsid w:val="007B6C15"/>
    <w:rsid w:val="007C2F7C"/>
    <w:rsid w:val="007C3CB3"/>
    <w:rsid w:val="007C48D2"/>
    <w:rsid w:val="007C51F8"/>
    <w:rsid w:val="007D0901"/>
    <w:rsid w:val="007D0D2D"/>
    <w:rsid w:val="007D3EDC"/>
    <w:rsid w:val="007D469B"/>
    <w:rsid w:val="007D4C01"/>
    <w:rsid w:val="007D64B9"/>
    <w:rsid w:val="007E1697"/>
    <w:rsid w:val="007E495A"/>
    <w:rsid w:val="007E6076"/>
    <w:rsid w:val="007E79D4"/>
    <w:rsid w:val="007F1AEC"/>
    <w:rsid w:val="007F23F9"/>
    <w:rsid w:val="007F4221"/>
    <w:rsid w:val="007F51B5"/>
    <w:rsid w:val="007F5CC8"/>
    <w:rsid w:val="007F6A37"/>
    <w:rsid w:val="007F789D"/>
    <w:rsid w:val="00800A69"/>
    <w:rsid w:val="008010BC"/>
    <w:rsid w:val="00803DE2"/>
    <w:rsid w:val="00807702"/>
    <w:rsid w:val="00810617"/>
    <w:rsid w:val="00813E08"/>
    <w:rsid w:val="00814F69"/>
    <w:rsid w:val="00816764"/>
    <w:rsid w:val="00820208"/>
    <w:rsid w:val="00820A15"/>
    <w:rsid w:val="00821AE0"/>
    <w:rsid w:val="0082271E"/>
    <w:rsid w:val="0082276B"/>
    <w:rsid w:val="008228AA"/>
    <w:rsid w:val="008255A3"/>
    <w:rsid w:val="00826834"/>
    <w:rsid w:val="00826CE6"/>
    <w:rsid w:val="008271C1"/>
    <w:rsid w:val="008319FF"/>
    <w:rsid w:val="00832D3B"/>
    <w:rsid w:val="00834E18"/>
    <w:rsid w:val="00835350"/>
    <w:rsid w:val="00841D7F"/>
    <w:rsid w:val="00847158"/>
    <w:rsid w:val="00847402"/>
    <w:rsid w:val="00847E41"/>
    <w:rsid w:val="00853A47"/>
    <w:rsid w:val="00854704"/>
    <w:rsid w:val="008555A0"/>
    <w:rsid w:val="00856438"/>
    <w:rsid w:val="00860593"/>
    <w:rsid w:val="00862687"/>
    <w:rsid w:val="00863528"/>
    <w:rsid w:val="008661DE"/>
    <w:rsid w:val="00867694"/>
    <w:rsid w:val="00870530"/>
    <w:rsid w:val="00876F21"/>
    <w:rsid w:val="00877434"/>
    <w:rsid w:val="00880495"/>
    <w:rsid w:val="00881C53"/>
    <w:rsid w:val="00881FBD"/>
    <w:rsid w:val="008831CB"/>
    <w:rsid w:val="0088676E"/>
    <w:rsid w:val="00892DFB"/>
    <w:rsid w:val="00893D92"/>
    <w:rsid w:val="00895C80"/>
    <w:rsid w:val="00896893"/>
    <w:rsid w:val="008A235F"/>
    <w:rsid w:val="008A3304"/>
    <w:rsid w:val="008A73DB"/>
    <w:rsid w:val="008A7EAA"/>
    <w:rsid w:val="008B1A5E"/>
    <w:rsid w:val="008B21AE"/>
    <w:rsid w:val="008B2318"/>
    <w:rsid w:val="008B3E5A"/>
    <w:rsid w:val="008B4D75"/>
    <w:rsid w:val="008B5E03"/>
    <w:rsid w:val="008B6404"/>
    <w:rsid w:val="008C0059"/>
    <w:rsid w:val="008C0979"/>
    <w:rsid w:val="008C11FD"/>
    <w:rsid w:val="008C23BF"/>
    <w:rsid w:val="008C255F"/>
    <w:rsid w:val="008C5512"/>
    <w:rsid w:val="008C797C"/>
    <w:rsid w:val="008D05F7"/>
    <w:rsid w:val="008D0A6D"/>
    <w:rsid w:val="008D2059"/>
    <w:rsid w:val="008D3EC4"/>
    <w:rsid w:val="008D4674"/>
    <w:rsid w:val="008E10C4"/>
    <w:rsid w:val="008E1B2F"/>
    <w:rsid w:val="008E25DE"/>
    <w:rsid w:val="008E3FF7"/>
    <w:rsid w:val="008E65D0"/>
    <w:rsid w:val="008E73E6"/>
    <w:rsid w:val="008F0636"/>
    <w:rsid w:val="008F2919"/>
    <w:rsid w:val="008F3390"/>
    <w:rsid w:val="008F343A"/>
    <w:rsid w:val="008F5257"/>
    <w:rsid w:val="008F73C4"/>
    <w:rsid w:val="00901EF5"/>
    <w:rsid w:val="00901F9C"/>
    <w:rsid w:val="00902EA7"/>
    <w:rsid w:val="009041DF"/>
    <w:rsid w:val="00905EE9"/>
    <w:rsid w:val="00907EF7"/>
    <w:rsid w:val="00911927"/>
    <w:rsid w:val="009154A1"/>
    <w:rsid w:val="00921F8F"/>
    <w:rsid w:val="00922F8E"/>
    <w:rsid w:val="00923090"/>
    <w:rsid w:val="00925924"/>
    <w:rsid w:val="0092786C"/>
    <w:rsid w:val="009369FD"/>
    <w:rsid w:val="009379AB"/>
    <w:rsid w:val="00940233"/>
    <w:rsid w:val="00947E0A"/>
    <w:rsid w:val="00947F3B"/>
    <w:rsid w:val="00947F62"/>
    <w:rsid w:val="009521C9"/>
    <w:rsid w:val="00954575"/>
    <w:rsid w:val="00955505"/>
    <w:rsid w:val="00956089"/>
    <w:rsid w:val="00957F3C"/>
    <w:rsid w:val="0096018F"/>
    <w:rsid w:val="00961223"/>
    <w:rsid w:val="00962E41"/>
    <w:rsid w:val="00963076"/>
    <w:rsid w:val="009639BB"/>
    <w:rsid w:val="009640DA"/>
    <w:rsid w:val="0097118A"/>
    <w:rsid w:val="00972B0A"/>
    <w:rsid w:val="00974534"/>
    <w:rsid w:val="009767FF"/>
    <w:rsid w:val="00980D42"/>
    <w:rsid w:val="00982C60"/>
    <w:rsid w:val="009875E5"/>
    <w:rsid w:val="00987933"/>
    <w:rsid w:val="00990481"/>
    <w:rsid w:val="00991AA3"/>
    <w:rsid w:val="00991B2D"/>
    <w:rsid w:val="009926A9"/>
    <w:rsid w:val="00992731"/>
    <w:rsid w:val="00992ADB"/>
    <w:rsid w:val="00993DFF"/>
    <w:rsid w:val="00995FEF"/>
    <w:rsid w:val="009961C6"/>
    <w:rsid w:val="009A3EC3"/>
    <w:rsid w:val="009A4D1A"/>
    <w:rsid w:val="009A50B8"/>
    <w:rsid w:val="009A5196"/>
    <w:rsid w:val="009A67C5"/>
    <w:rsid w:val="009A7F1C"/>
    <w:rsid w:val="009B3B06"/>
    <w:rsid w:val="009B3CAA"/>
    <w:rsid w:val="009B5329"/>
    <w:rsid w:val="009B749F"/>
    <w:rsid w:val="009C4723"/>
    <w:rsid w:val="009C6194"/>
    <w:rsid w:val="009C78A9"/>
    <w:rsid w:val="009C78D4"/>
    <w:rsid w:val="009D1A81"/>
    <w:rsid w:val="009D36EC"/>
    <w:rsid w:val="009D3ACB"/>
    <w:rsid w:val="009D5747"/>
    <w:rsid w:val="009D5BD6"/>
    <w:rsid w:val="009D6E66"/>
    <w:rsid w:val="009D74C9"/>
    <w:rsid w:val="009E4ABE"/>
    <w:rsid w:val="009F0F58"/>
    <w:rsid w:val="009F1E2A"/>
    <w:rsid w:val="009F288B"/>
    <w:rsid w:val="009F4EBD"/>
    <w:rsid w:val="009F56EF"/>
    <w:rsid w:val="009F5FA0"/>
    <w:rsid w:val="009F73C2"/>
    <w:rsid w:val="00A03741"/>
    <w:rsid w:val="00A05295"/>
    <w:rsid w:val="00A0738B"/>
    <w:rsid w:val="00A108A5"/>
    <w:rsid w:val="00A13935"/>
    <w:rsid w:val="00A171E1"/>
    <w:rsid w:val="00A21022"/>
    <w:rsid w:val="00A22E3C"/>
    <w:rsid w:val="00A244CC"/>
    <w:rsid w:val="00A24D89"/>
    <w:rsid w:val="00A25EFB"/>
    <w:rsid w:val="00A30754"/>
    <w:rsid w:val="00A31EF0"/>
    <w:rsid w:val="00A35B42"/>
    <w:rsid w:val="00A35F57"/>
    <w:rsid w:val="00A37489"/>
    <w:rsid w:val="00A40B34"/>
    <w:rsid w:val="00A41322"/>
    <w:rsid w:val="00A43281"/>
    <w:rsid w:val="00A43819"/>
    <w:rsid w:val="00A44E6E"/>
    <w:rsid w:val="00A47537"/>
    <w:rsid w:val="00A47CBD"/>
    <w:rsid w:val="00A500B0"/>
    <w:rsid w:val="00A521CE"/>
    <w:rsid w:val="00A63A47"/>
    <w:rsid w:val="00A66D46"/>
    <w:rsid w:val="00A67712"/>
    <w:rsid w:val="00A712C0"/>
    <w:rsid w:val="00A72B07"/>
    <w:rsid w:val="00A73A7E"/>
    <w:rsid w:val="00A76C66"/>
    <w:rsid w:val="00A835CF"/>
    <w:rsid w:val="00A8396D"/>
    <w:rsid w:val="00A83AFB"/>
    <w:rsid w:val="00A83AFC"/>
    <w:rsid w:val="00A84243"/>
    <w:rsid w:val="00A85481"/>
    <w:rsid w:val="00A85BB6"/>
    <w:rsid w:val="00A8714C"/>
    <w:rsid w:val="00A923A9"/>
    <w:rsid w:val="00A93221"/>
    <w:rsid w:val="00A94925"/>
    <w:rsid w:val="00A954A6"/>
    <w:rsid w:val="00A96586"/>
    <w:rsid w:val="00A97A20"/>
    <w:rsid w:val="00AA3544"/>
    <w:rsid w:val="00AA4551"/>
    <w:rsid w:val="00AA6E34"/>
    <w:rsid w:val="00AA7A42"/>
    <w:rsid w:val="00AB0079"/>
    <w:rsid w:val="00AB09EC"/>
    <w:rsid w:val="00AB0BBE"/>
    <w:rsid w:val="00AB23D7"/>
    <w:rsid w:val="00AB4537"/>
    <w:rsid w:val="00AB7A45"/>
    <w:rsid w:val="00AB7FAB"/>
    <w:rsid w:val="00AC1B2C"/>
    <w:rsid w:val="00AC1EFD"/>
    <w:rsid w:val="00AC2ACF"/>
    <w:rsid w:val="00AC4829"/>
    <w:rsid w:val="00AD2244"/>
    <w:rsid w:val="00AD2F42"/>
    <w:rsid w:val="00AD6BFD"/>
    <w:rsid w:val="00AE0E17"/>
    <w:rsid w:val="00AE549A"/>
    <w:rsid w:val="00AE6BF4"/>
    <w:rsid w:val="00AE772A"/>
    <w:rsid w:val="00AF5BB3"/>
    <w:rsid w:val="00AF6DD2"/>
    <w:rsid w:val="00AF700A"/>
    <w:rsid w:val="00B00222"/>
    <w:rsid w:val="00B00D4F"/>
    <w:rsid w:val="00B01369"/>
    <w:rsid w:val="00B01638"/>
    <w:rsid w:val="00B02294"/>
    <w:rsid w:val="00B02373"/>
    <w:rsid w:val="00B0322C"/>
    <w:rsid w:val="00B048A4"/>
    <w:rsid w:val="00B10C7E"/>
    <w:rsid w:val="00B12359"/>
    <w:rsid w:val="00B14C66"/>
    <w:rsid w:val="00B16B44"/>
    <w:rsid w:val="00B17B74"/>
    <w:rsid w:val="00B22C7F"/>
    <w:rsid w:val="00B23E3B"/>
    <w:rsid w:val="00B24ED9"/>
    <w:rsid w:val="00B26A61"/>
    <w:rsid w:val="00B30430"/>
    <w:rsid w:val="00B3253F"/>
    <w:rsid w:val="00B32B63"/>
    <w:rsid w:val="00B32E49"/>
    <w:rsid w:val="00B34006"/>
    <w:rsid w:val="00B358C4"/>
    <w:rsid w:val="00B366E2"/>
    <w:rsid w:val="00B3692A"/>
    <w:rsid w:val="00B434CE"/>
    <w:rsid w:val="00B45A0F"/>
    <w:rsid w:val="00B460E1"/>
    <w:rsid w:val="00B50A80"/>
    <w:rsid w:val="00B50A89"/>
    <w:rsid w:val="00B53C7C"/>
    <w:rsid w:val="00B5624E"/>
    <w:rsid w:val="00B61AF0"/>
    <w:rsid w:val="00B633A7"/>
    <w:rsid w:val="00B64075"/>
    <w:rsid w:val="00B64B6B"/>
    <w:rsid w:val="00B65180"/>
    <w:rsid w:val="00B65A3B"/>
    <w:rsid w:val="00B66E98"/>
    <w:rsid w:val="00B73A1A"/>
    <w:rsid w:val="00B762D8"/>
    <w:rsid w:val="00B77A44"/>
    <w:rsid w:val="00B81196"/>
    <w:rsid w:val="00B81A8E"/>
    <w:rsid w:val="00B84F98"/>
    <w:rsid w:val="00B8535B"/>
    <w:rsid w:val="00B905C6"/>
    <w:rsid w:val="00B91896"/>
    <w:rsid w:val="00B93977"/>
    <w:rsid w:val="00B9584F"/>
    <w:rsid w:val="00B958E1"/>
    <w:rsid w:val="00BA0636"/>
    <w:rsid w:val="00BA13B2"/>
    <w:rsid w:val="00BA1BC4"/>
    <w:rsid w:val="00BA3290"/>
    <w:rsid w:val="00BB225B"/>
    <w:rsid w:val="00BB4FAA"/>
    <w:rsid w:val="00BB6F59"/>
    <w:rsid w:val="00BC1450"/>
    <w:rsid w:val="00BC2828"/>
    <w:rsid w:val="00BC6689"/>
    <w:rsid w:val="00BC6C53"/>
    <w:rsid w:val="00BC7561"/>
    <w:rsid w:val="00BC78DD"/>
    <w:rsid w:val="00BD06A3"/>
    <w:rsid w:val="00BD1E73"/>
    <w:rsid w:val="00BD3F38"/>
    <w:rsid w:val="00BD4337"/>
    <w:rsid w:val="00BD4697"/>
    <w:rsid w:val="00BD75B1"/>
    <w:rsid w:val="00BE126C"/>
    <w:rsid w:val="00BE33BD"/>
    <w:rsid w:val="00BE4D53"/>
    <w:rsid w:val="00BE6213"/>
    <w:rsid w:val="00BE7E1B"/>
    <w:rsid w:val="00BF125C"/>
    <w:rsid w:val="00BF5F56"/>
    <w:rsid w:val="00BF6790"/>
    <w:rsid w:val="00BF777F"/>
    <w:rsid w:val="00BF7C93"/>
    <w:rsid w:val="00C00206"/>
    <w:rsid w:val="00C0095B"/>
    <w:rsid w:val="00C015B6"/>
    <w:rsid w:val="00C02E63"/>
    <w:rsid w:val="00C06797"/>
    <w:rsid w:val="00C06BAE"/>
    <w:rsid w:val="00C103D4"/>
    <w:rsid w:val="00C12B22"/>
    <w:rsid w:val="00C13F01"/>
    <w:rsid w:val="00C161C6"/>
    <w:rsid w:val="00C162BF"/>
    <w:rsid w:val="00C22E48"/>
    <w:rsid w:val="00C24380"/>
    <w:rsid w:val="00C247EB"/>
    <w:rsid w:val="00C251C8"/>
    <w:rsid w:val="00C30F06"/>
    <w:rsid w:val="00C325BB"/>
    <w:rsid w:val="00C34578"/>
    <w:rsid w:val="00C350B0"/>
    <w:rsid w:val="00C37ED9"/>
    <w:rsid w:val="00C40516"/>
    <w:rsid w:val="00C429FF"/>
    <w:rsid w:val="00C44171"/>
    <w:rsid w:val="00C46147"/>
    <w:rsid w:val="00C465FF"/>
    <w:rsid w:val="00C4743C"/>
    <w:rsid w:val="00C52C86"/>
    <w:rsid w:val="00C531F2"/>
    <w:rsid w:val="00C54193"/>
    <w:rsid w:val="00C54778"/>
    <w:rsid w:val="00C558D9"/>
    <w:rsid w:val="00C603CD"/>
    <w:rsid w:val="00C63B32"/>
    <w:rsid w:val="00C64771"/>
    <w:rsid w:val="00C65E72"/>
    <w:rsid w:val="00C67E0C"/>
    <w:rsid w:val="00C67EB9"/>
    <w:rsid w:val="00C72691"/>
    <w:rsid w:val="00C7386D"/>
    <w:rsid w:val="00C73D9C"/>
    <w:rsid w:val="00C741D5"/>
    <w:rsid w:val="00C77235"/>
    <w:rsid w:val="00C7766C"/>
    <w:rsid w:val="00C77999"/>
    <w:rsid w:val="00C80295"/>
    <w:rsid w:val="00C82B34"/>
    <w:rsid w:val="00C82F9E"/>
    <w:rsid w:val="00C83B0C"/>
    <w:rsid w:val="00C84771"/>
    <w:rsid w:val="00C90CDE"/>
    <w:rsid w:val="00C91DA0"/>
    <w:rsid w:val="00C95BE5"/>
    <w:rsid w:val="00C95FAC"/>
    <w:rsid w:val="00C96E8B"/>
    <w:rsid w:val="00C97224"/>
    <w:rsid w:val="00CA435F"/>
    <w:rsid w:val="00CA7613"/>
    <w:rsid w:val="00CB20E8"/>
    <w:rsid w:val="00CB3795"/>
    <w:rsid w:val="00CB3B5A"/>
    <w:rsid w:val="00CB5CE5"/>
    <w:rsid w:val="00CB633A"/>
    <w:rsid w:val="00CB6EB6"/>
    <w:rsid w:val="00CC1E6E"/>
    <w:rsid w:val="00CC296B"/>
    <w:rsid w:val="00CC2DFB"/>
    <w:rsid w:val="00CC5CAE"/>
    <w:rsid w:val="00CC62F8"/>
    <w:rsid w:val="00CD026F"/>
    <w:rsid w:val="00CD0EDC"/>
    <w:rsid w:val="00CD1507"/>
    <w:rsid w:val="00CD269C"/>
    <w:rsid w:val="00CD2A86"/>
    <w:rsid w:val="00CD7066"/>
    <w:rsid w:val="00CD7916"/>
    <w:rsid w:val="00CD7B9A"/>
    <w:rsid w:val="00CE1629"/>
    <w:rsid w:val="00CE48C2"/>
    <w:rsid w:val="00CE5EC9"/>
    <w:rsid w:val="00CF1B6C"/>
    <w:rsid w:val="00CF2628"/>
    <w:rsid w:val="00CF440B"/>
    <w:rsid w:val="00CF4B69"/>
    <w:rsid w:val="00D01F92"/>
    <w:rsid w:val="00D0269D"/>
    <w:rsid w:val="00D04DA4"/>
    <w:rsid w:val="00D04FA3"/>
    <w:rsid w:val="00D057B4"/>
    <w:rsid w:val="00D07D5F"/>
    <w:rsid w:val="00D10205"/>
    <w:rsid w:val="00D15667"/>
    <w:rsid w:val="00D17264"/>
    <w:rsid w:val="00D17A41"/>
    <w:rsid w:val="00D17EB8"/>
    <w:rsid w:val="00D20E6D"/>
    <w:rsid w:val="00D21399"/>
    <w:rsid w:val="00D21A0B"/>
    <w:rsid w:val="00D25A8F"/>
    <w:rsid w:val="00D3065B"/>
    <w:rsid w:val="00D31399"/>
    <w:rsid w:val="00D3280C"/>
    <w:rsid w:val="00D3338B"/>
    <w:rsid w:val="00D33AF7"/>
    <w:rsid w:val="00D35DA5"/>
    <w:rsid w:val="00D40BE1"/>
    <w:rsid w:val="00D430BA"/>
    <w:rsid w:val="00D43BD8"/>
    <w:rsid w:val="00D43EBD"/>
    <w:rsid w:val="00D44BA8"/>
    <w:rsid w:val="00D47FFE"/>
    <w:rsid w:val="00D50F9D"/>
    <w:rsid w:val="00D52DE0"/>
    <w:rsid w:val="00D52FB6"/>
    <w:rsid w:val="00D53AE2"/>
    <w:rsid w:val="00D573AE"/>
    <w:rsid w:val="00D609D4"/>
    <w:rsid w:val="00D6241B"/>
    <w:rsid w:val="00D626A6"/>
    <w:rsid w:val="00D62B2E"/>
    <w:rsid w:val="00D62F02"/>
    <w:rsid w:val="00D654B8"/>
    <w:rsid w:val="00D67F63"/>
    <w:rsid w:val="00D718F2"/>
    <w:rsid w:val="00D747B2"/>
    <w:rsid w:val="00D75FCE"/>
    <w:rsid w:val="00D761C3"/>
    <w:rsid w:val="00D80A9D"/>
    <w:rsid w:val="00D819C3"/>
    <w:rsid w:val="00D8223F"/>
    <w:rsid w:val="00D82CEC"/>
    <w:rsid w:val="00D82FD7"/>
    <w:rsid w:val="00D835F5"/>
    <w:rsid w:val="00D853A5"/>
    <w:rsid w:val="00D85C16"/>
    <w:rsid w:val="00D86F64"/>
    <w:rsid w:val="00D87787"/>
    <w:rsid w:val="00D906A8"/>
    <w:rsid w:val="00D910C5"/>
    <w:rsid w:val="00D96944"/>
    <w:rsid w:val="00D979B9"/>
    <w:rsid w:val="00DA12FC"/>
    <w:rsid w:val="00DA1AE1"/>
    <w:rsid w:val="00DA1DD3"/>
    <w:rsid w:val="00DA28F4"/>
    <w:rsid w:val="00DA3406"/>
    <w:rsid w:val="00DA7986"/>
    <w:rsid w:val="00DB1B5D"/>
    <w:rsid w:val="00DB552E"/>
    <w:rsid w:val="00DB6A22"/>
    <w:rsid w:val="00DC00DA"/>
    <w:rsid w:val="00DC0CCB"/>
    <w:rsid w:val="00DC6354"/>
    <w:rsid w:val="00DD0BF4"/>
    <w:rsid w:val="00DD2082"/>
    <w:rsid w:val="00DD296F"/>
    <w:rsid w:val="00DD4591"/>
    <w:rsid w:val="00DD5EA5"/>
    <w:rsid w:val="00DD66B2"/>
    <w:rsid w:val="00DE074F"/>
    <w:rsid w:val="00DE0C3D"/>
    <w:rsid w:val="00DE0D1E"/>
    <w:rsid w:val="00DE13B7"/>
    <w:rsid w:val="00DE551F"/>
    <w:rsid w:val="00DE58D5"/>
    <w:rsid w:val="00DE6E8F"/>
    <w:rsid w:val="00DF1080"/>
    <w:rsid w:val="00DF1F1C"/>
    <w:rsid w:val="00DF2543"/>
    <w:rsid w:val="00DF375F"/>
    <w:rsid w:val="00DF5716"/>
    <w:rsid w:val="00DF5922"/>
    <w:rsid w:val="00DF68A8"/>
    <w:rsid w:val="00DF6994"/>
    <w:rsid w:val="00DF7F87"/>
    <w:rsid w:val="00E00225"/>
    <w:rsid w:val="00E00292"/>
    <w:rsid w:val="00E024BA"/>
    <w:rsid w:val="00E058BA"/>
    <w:rsid w:val="00E10EC5"/>
    <w:rsid w:val="00E12603"/>
    <w:rsid w:val="00E12951"/>
    <w:rsid w:val="00E12EB1"/>
    <w:rsid w:val="00E131EF"/>
    <w:rsid w:val="00E13303"/>
    <w:rsid w:val="00E13F4F"/>
    <w:rsid w:val="00E145CF"/>
    <w:rsid w:val="00E20B8D"/>
    <w:rsid w:val="00E21FF6"/>
    <w:rsid w:val="00E27E61"/>
    <w:rsid w:val="00E30731"/>
    <w:rsid w:val="00E312A6"/>
    <w:rsid w:val="00E352FC"/>
    <w:rsid w:val="00E35723"/>
    <w:rsid w:val="00E41D6F"/>
    <w:rsid w:val="00E44A38"/>
    <w:rsid w:val="00E45701"/>
    <w:rsid w:val="00E5078A"/>
    <w:rsid w:val="00E5408B"/>
    <w:rsid w:val="00E5468A"/>
    <w:rsid w:val="00E552FB"/>
    <w:rsid w:val="00E5635D"/>
    <w:rsid w:val="00E5647D"/>
    <w:rsid w:val="00E57A8D"/>
    <w:rsid w:val="00E608A6"/>
    <w:rsid w:val="00E63A2C"/>
    <w:rsid w:val="00E71917"/>
    <w:rsid w:val="00E7263F"/>
    <w:rsid w:val="00E739C8"/>
    <w:rsid w:val="00E74068"/>
    <w:rsid w:val="00E750A9"/>
    <w:rsid w:val="00E76827"/>
    <w:rsid w:val="00E80966"/>
    <w:rsid w:val="00E8143C"/>
    <w:rsid w:val="00E834CA"/>
    <w:rsid w:val="00E8433A"/>
    <w:rsid w:val="00E860EC"/>
    <w:rsid w:val="00E86DE5"/>
    <w:rsid w:val="00E87B31"/>
    <w:rsid w:val="00E9365E"/>
    <w:rsid w:val="00E94F47"/>
    <w:rsid w:val="00EA0E95"/>
    <w:rsid w:val="00EA38E9"/>
    <w:rsid w:val="00EA3DDD"/>
    <w:rsid w:val="00EA4388"/>
    <w:rsid w:val="00EA5CF6"/>
    <w:rsid w:val="00EA5DDF"/>
    <w:rsid w:val="00EA7586"/>
    <w:rsid w:val="00EA7876"/>
    <w:rsid w:val="00EB24CA"/>
    <w:rsid w:val="00EB2F16"/>
    <w:rsid w:val="00EB58EC"/>
    <w:rsid w:val="00EB5BBF"/>
    <w:rsid w:val="00EC1362"/>
    <w:rsid w:val="00EC221B"/>
    <w:rsid w:val="00EC24B9"/>
    <w:rsid w:val="00EC2A63"/>
    <w:rsid w:val="00EC5DCB"/>
    <w:rsid w:val="00EC61FD"/>
    <w:rsid w:val="00EC7656"/>
    <w:rsid w:val="00ED3A51"/>
    <w:rsid w:val="00EE21E2"/>
    <w:rsid w:val="00EE2AE8"/>
    <w:rsid w:val="00EE5778"/>
    <w:rsid w:val="00EE6696"/>
    <w:rsid w:val="00EF1CC8"/>
    <w:rsid w:val="00EF2F6A"/>
    <w:rsid w:val="00EF4EE2"/>
    <w:rsid w:val="00EF637C"/>
    <w:rsid w:val="00EF7D71"/>
    <w:rsid w:val="00F0092F"/>
    <w:rsid w:val="00F01399"/>
    <w:rsid w:val="00F10E5C"/>
    <w:rsid w:val="00F14DD2"/>
    <w:rsid w:val="00F1533F"/>
    <w:rsid w:val="00F15F56"/>
    <w:rsid w:val="00F177B6"/>
    <w:rsid w:val="00F216BC"/>
    <w:rsid w:val="00F24A83"/>
    <w:rsid w:val="00F300E7"/>
    <w:rsid w:val="00F3242C"/>
    <w:rsid w:val="00F32A19"/>
    <w:rsid w:val="00F3509B"/>
    <w:rsid w:val="00F36E9A"/>
    <w:rsid w:val="00F4068A"/>
    <w:rsid w:val="00F4252E"/>
    <w:rsid w:val="00F43735"/>
    <w:rsid w:val="00F442F6"/>
    <w:rsid w:val="00F44992"/>
    <w:rsid w:val="00F45EB0"/>
    <w:rsid w:val="00F46746"/>
    <w:rsid w:val="00F52ED8"/>
    <w:rsid w:val="00F54AE4"/>
    <w:rsid w:val="00F55D2A"/>
    <w:rsid w:val="00F55DBA"/>
    <w:rsid w:val="00F55DCE"/>
    <w:rsid w:val="00F57809"/>
    <w:rsid w:val="00F57C9E"/>
    <w:rsid w:val="00F613C4"/>
    <w:rsid w:val="00F61B1B"/>
    <w:rsid w:val="00F625C0"/>
    <w:rsid w:val="00F6260C"/>
    <w:rsid w:val="00F66AA8"/>
    <w:rsid w:val="00F67E0D"/>
    <w:rsid w:val="00F727D8"/>
    <w:rsid w:val="00F737CB"/>
    <w:rsid w:val="00F75D7D"/>
    <w:rsid w:val="00F76FAF"/>
    <w:rsid w:val="00F77085"/>
    <w:rsid w:val="00F8086D"/>
    <w:rsid w:val="00F826BA"/>
    <w:rsid w:val="00F827F1"/>
    <w:rsid w:val="00F830A3"/>
    <w:rsid w:val="00F839E8"/>
    <w:rsid w:val="00F90DE8"/>
    <w:rsid w:val="00F918FE"/>
    <w:rsid w:val="00F9377E"/>
    <w:rsid w:val="00F96308"/>
    <w:rsid w:val="00F97D95"/>
    <w:rsid w:val="00FA39A8"/>
    <w:rsid w:val="00FA4A5D"/>
    <w:rsid w:val="00FA7DC8"/>
    <w:rsid w:val="00FB0E67"/>
    <w:rsid w:val="00FB39AB"/>
    <w:rsid w:val="00FB3E93"/>
    <w:rsid w:val="00FB5F73"/>
    <w:rsid w:val="00FB63B5"/>
    <w:rsid w:val="00FB6B4E"/>
    <w:rsid w:val="00FC389B"/>
    <w:rsid w:val="00FC3CBD"/>
    <w:rsid w:val="00FC3EA7"/>
    <w:rsid w:val="00FC5740"/>
    <w:rsid w:val="00FC588F"/>
    <w:rsid w:val="00FC620B"/>
    <w:rsid w:val="00FD21DA"/>
    <w:rsid w:val="00FD3134"/>
    <w:rsid w:val="00FD6710"/>
    <w:rsid w:val="00FE1DD7"/>
    <w:rsid w:val="00FF0ED4"/>
    <w:rsid w:val="00FF12F5"/>
    <w:rsid w:val="00FF1B5C"/>
    <w:rsid w:val="00FF26D8"/>
    <w:rsid w:val="00FF40AD"/>
    <w:rsid w:val="00FF58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7EBA"/>
    <w:pPr>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1051B4"/>
    <w:pPr>
      <w:keepNext/>
      <w:keepLines/>
      <w:widowControl w:val="0"/>
      <w:spacing w:before="240" w:after="240"/>
      <w:outlineLvl w:val="0"/>
    </w:pPr>
    <w:rPr>
      <w:b/>
      <w:kern w:val="28"/>
    </w:rPr>
  </w:style>
  <w:style w:type="paragraph" w:styleId="Heading2">
    <w:name w:val="heading 2"/>
    <w:aliases w:val="Numbered - 2"/>
    <w:basedOn w:val="Heading1"/>
    <w:next w:val="Normal"/>
    <w:link w:val="Heading2Char"/>
    <w:uiPriority w:val="99"/>
    <w:qFormat/>
    <w:rsid w:val="001051B4"/>
    <w:pPr>
      <w:outlineLvl w:val="1"/>
    </w:pPr>
  </w:style>
  <w:style w:type="paragraph" w:styleId="Heading3">
    <w:name w:val="heading 3"/>
    <w:aliases w:val="Numbered - 3"/>
    <w:basedOn w:val="Heading2"/>
    <w:next w:val="Normal"/>
    <w:link w:val="Heading3Char"/>
    <w:uiPriority w:val="99"/>
    <w:qFormat/>
    <w:rsid w:val="001051B4"/>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1051B4"/>
    <w:pPr>
      <w:outlineLvl w:val="3"/>
    </w:pPr>
  </w:style>
  <w:style w:type="paragraph" w:styleId="Heading5">
    <w:name w:val="heading 5"/>
    <w:aliases w:val="Numbered - 5"/>
    <w:basedOn w:val="Heading4"/>
    <w:next w:val="Normal"/>
    <w:link w:val="Heading5Char"/>
    <w:uiPriority w:val="99"/>
    <w:qFormat/>
    <w:rsid w:val="001051B4"/>
    <w:pPr>
      <w:outlineLvl w:val="4"/>
    </w:pPr>
  </w:style>
  <w:style w:type="paragraph" w:styleId="Heading6">
    <w:name w:val="heading 6"/>
    <w:aliases w:val="Numbered - 6"/>
    <w:basedOn w:val="Heading5"/>
    <w:next w:val="Normal"/>
    <w:link w:val="Heading6Char"/>
    <w:uiPriority w:val="99"/>
    <w:qFormat/>
    <w:rsid w:val="001051B4"/>
    <w:pPr>
      <w:outlineLvl w:val="5"/>
    </w:pPr>
  </w:style>
  <w:style w:type="paragraph" w:styleId="Heading7">
    <w:name w:val="heading 7"/>
    <w:aliases w:val="Numbered - 7"/>
    <w:basedOn w:val="Heading6"/>
    <w:next w:val="Normal"/>
    <w:link w:val="Heading7Char"/>
    <w:uiPriority w:val="99"/>
    <w:qFormat/>
    <w:rsid w:val="001051B4"/>
    <w:pPr>
      <w:outlineLvl w:val="6"/>
    </w:pPr>
  </w:style>
  <w:style w:type="paragraph" w:styleId="Heading8">
    <w:name w:val="heading 8"/>
    <w:aliases w:val="Numbered - 8"/>
    <w:basedOn w:val="Heading7"/>
    <w:next w:val="Normal"/>
    <w:link w:val="Heading8Char"/>
    <w:uiPriority w:val="99"/>
    <w:qFormat/>
    <w:rsid w:val="001051B4"/>
    <w:pPr>
      <w:outlineLvl w:val="7"/>
    </w:pPr>
  </w:style>
  <w:style w:type="paragraph" w:styleId="Heading9">
    <w:name w:val="heading 9"/>
    <w:aliases w:val="Numbered - 9"/>
    <w:basedOn w:val="Heading8"/>
    <w:next w:val="Normal"/>
    <w:link w:val="Heading9Char"/>
    <w:uiPriority w:val="99"/>
    <w:qFormat/>
    <w:rsid w:val="001051B4"/>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925924"/>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925924"/>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925924"/>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925924"/>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925924"/>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925924"/>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925924"/>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925924"/>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925924"/>
    <w:rPr>
      <w:rFonts w:ascii="Cambria" w:hAnsi="Cambria" w:cs="Times New Roman"/>
      <w:lang w:eastAsia="en-US"/>
    </w:rPr>
  </w:style>
  <w:style w:type="paragraph" w:styleId="BalloonText">
    <w:name w:val="Balloon Text"/>
    <w:basedOn w:val="Normal"/>
    <w:link w:val="BalloonTextChar"/>
    <w:uiPriority w:val="99"/>
    <w:rsid w:val="00C00206"/>
    <w:rPr>
      <w:rFonts w:ascii="Tahoma" w:hAnsi="Tahoma" w:cs="Tahoma"/>
      <w:sz w:val="16"/>
      <w:szCs w:val="16"/>
    </w:rPr>
  </w:style>
  <w:style w:type="character" w:customStyle="1" w:styleId="BalloonTextChar">
    <w:name w:val="Balloon Text Char"/>
    <w:basedOn w:val="DefaultParagraphFont"/>
    <w:link w:val="BalloonText"/>
    <w:uiPriority w:val="99"/>
    <w:locked/>
    <w:rsid w:val="00C00206"/>
    <w:rPr>
      <w:rFonts w:ascii="Tahoma" w:hAnsi="Tahoma" w:cs="Tahoma"/>
      <w:sz w:val="16"/>
      <w:szCs w:val="16"/>
      <w:lang w:eastAsia="en-US"/>
    </w:rPr>
  </w:style>
  <w:style w:type="paragraph" w:customStyle="1" w:styleId="Heading">
    <w:name w:val="Heading"/>
    <w:basedOn w:val="Normal"/>
    <w:next w:val="Normal"/>
    <w:uiPriority w:val="99"/>
    <w:rsid w:val="001051B4"/>
    <w:pPr>
      <w:keepNext/>
      <w:keepLines/>
      <w:widowControl w:val="0"/>
      <w:spacing w:before="240" w:after="240"/>
      <w:ind w:left="-720"/>
    </w:pPr>
    <w:rPr>
      <w:b/>
    </w:rPr>
  </w:style>
  <w:style w:type="paragraph" w:styleId="Footer">
    <w:name w:val="footer"/>
    <w:basedOn w:val="Normal"/>
    <w:link w:val="FooterChar"/>
    <w:uiPriority w:val="99"/>
    <w:rsid w:val="001051B4"/>
    <w:pPr>
      <w:widowControl w:val="0"/>
      <w:tabs>
        <w:tab w:val="center" w:pos="4153"/>
        <w:tab w:val="right" w:pos="8306"/>
      </w:tabs>
    </w:pPr>
  </w:style>
  <w:style w:type="character" w:customStyle="1" w:styleId="FooterChar">
    <w:name w:val="Footer Char"/>
    <w:basedOn w:val="DefaultParagraphFont"/>
    <w:link w:val="Footer"/>
    <w:uiPriority w:val="99"/>
    <w:locked/>
    <w:rsid w:val="00A712C0"/>
    <w:rPr>
      <w:rFonts w:ascii="Arial" w:hAnsi="Arial" w:cs="Times New Roman"/>
      <w:sz w:val="24"/>
      <w:lang w:eastAsia="en-US"/>
    </w:rPr>
  </w:style>
  <w:style w:type="paragraph" w:customStyle="1" w:styleId="Sub-Heading">
    <w:name w:val="Sub-Heading"/>
    <w:basedOn w:val="Heading"/>
    <w:next w:val="Numbered"/>
    <w:uiPriority w:val="99"/>
    <w:rsid w:val="001051B4"/>
    <w:pPr>
      <w:spacing w:before="0"/>
    </w:pPr>
  </w:style>
  <w:style w:type="paragraph" w:customStyle="1" w:styleId="Numbered">
    <w:name w:val="Numbered"/>
    <w:basedOn w:val="Normal"/>
    <w:uiPriority w:val="99"/>
    <w:rsid w:val="001051B4"/>
    <w:pPr>
      <w:widowControl w:val="0"/>
      <w:spacing w:after="240"/>
    </w:pPr>
  </w:style>
  <w:style w:type="paragraph" w:customStyle="1" w:styleId="MinuteTop">
    <w:name w:val="Minute Top"/>
    <w:basedOn w:val="Normal"/>
    <w:uiPriority w:val="99"/>
    <w:rsid w:val="001051B4"/>
    <w:pPr>
      <w:widowControl w:val="0"/>
      <w:tabs>
        <w:tab w:val="left" w:pos="4680"/>
        <w:tab w:val="left" w:pos="5587"/>
      </w:tabs>
    </w:pPr>
  </w:style>
  <w:style w:type="paragraph" w:styleId="BodyText">
    <w:name w:val="Body Text"/>
    <w:basedOn w:val="Normal"/>
    <w:link w:val="BodyTextChar"/>
    <w:uiPriority w:val="99"/>
    <w:rsid w:val="001051B4"/>
    <w:pPr>
      <w:widowControl w:val="0"/>
    </w:pPr>
  </w:style>
  <w:style w:type="character" w:customStyle="1" w:styleId="BodyTextChar">
    <w:name w:val="Body Text Char"/>
    <w:basedOn w:val="DefaultParagraphFont"/>
    <w:link w:val="BodyText"/>
    <w:uiPriority w:val="99"/>
    <w:semiHidden/>
    <w:locked/>
    <w:rsid w:val="00925924"/>
    <w:rPr>
      <w:rFonts w:ascii="Arial" w:hAnsi="Arial" w:cs="Times New Roman"/>
      <w:sz w:val="20"/>
      <w:szCs w:val="20"/>
      <w:lang w:eastAsia="en-US"/>
    </w:rPr>
  </w:style>
  <w:style w:type="paragraph" w:styleId="BodyTextIndent">
    <w:name w:val="Body Text Indent"/>
    <w:basedOn w:val="Normal"/>
    <w:link w:val="BodyTextIndentChar"/>
    <w:uiPriority w:val="99"/>
    <w:rsid w:val="001051B4"/>
    <w:pPr>
      <w:widowControl w:val="0"/>
      <w:ind w:left="288"/>
    </w:pPr>
  </w:style>
  <w:style w:type="character" w:customStyle="1" w:styleId="BodyTextIndentChar">
    <w:name w:val="Body Text Indent Char"/>
    <w:basedOn w:val="DefaultParagraphFont"/>
    <w:link w:val="BodyTextIndent"/>
    <w:uiPriority w:val="99"/>
    <w:semiHidden/>
    <w:locked/>
    <w:rsid w:val="00925924"/>
    <w:rPr>
      <w:rFonts w:ascii="Arial" w:hAnsi="Arial" w:cs="Times New Roman"/>
      <w:sz w:val="20"/>
      <w:szCs w:val="20"/>
      <w:lang w:eastAsia="en-US"/>
    </w:rPr>
  </w:style>
  <w:style w:type="paragraph" w:styleId="Subtitle">
    <w:name w:val="Subtitle"/>
    <w:basedOn w:val="Normal"/>
    <w:link w:val="SubtitleChar"/>
    <w:uiPriority w:val="99"/>
    <w:qFormat/>
    <w:rsid w:val="001051B4"/>
    <w:pPr>
      <w:widowControl w:val="0"/>
      <w:spacing w:after="60"/>
      <w:jc w:val="center"/>
    </w:pPr>
    <w:rPr>
      <w:i/>
    </w:rPr>
  </w:style>
  <w:style w:type="character" w:customStyle="1" w:styleId="SubtitleChar">
    <w:name w:val="Subtitle Char"/>
    <w:basedOn w:val="DefaultParagraphFont"/>
    <w:link w:val="Subtitle"/>
    <w:uiPriority w:val="99"/>
    <w:locked/>
    <w:rsid w:val="00925924"/>
    <w:rPr>
      <w:rFonts w:ascii="Cambria" w:hAnsi="Cambria" w:cs="Times New Roman"/>
      <w:sz w:val="24"/>
      <w:szCs w:val="24"/>
      <w:lang w:eastAsia="en-US"/>
    </w:rPr>
  </w:style>
  <w:style w:type="paragraph" w:styleId="MacroText">
    <w:name w:val="macro"/>
    <w:link w:val="MacroTextChar"/>
    <w:uiPriority w:val="99"/>
    <w:semiHidden/>
    <w:rsid w:val="001051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8"/>
      <w:szCs w:val="20"/>
      <w:lang w:eastAsia="en-US"/>
    </w:rPr>
  </w:style>
  <w:style w:type="character" w:customStyle="1" w:styleId="MacroTextChar">
    <w:name w:val="Macro Text Char"/>
    <w:basedOn w:val="DefaultParagraphFont"/>
    <w:link w:val="MacroText"/>
    <w:uiPriority w:val="99"/>
    <w:semiHidden/>
    <w:locked/>
    <w:rsid w:val="00925924"/>
    <w:rPr>
      <w:rFonts w:ascii="Courier New" w:hAnsi="Courier New" w:cs="Times New Roman"/>
      <w:sz w:val="18"/>
      <w:lang w:val="en-GB" w:eastAsia="en-US" w:bidi="ar-SA"/>
    </w:rPr>
  </w:style>
  <w:style w:type="character" w:styleId="PageNumber">
    <w:name w:val="page number"/>
    <w:basedOn w:val="DefaultParagraphFont"/>
    <w:uiPriority w:val="99"/>
    <w:rsid w:val="001051B4"/>
    <w:rPr>
      <w:rFonts w:cs="Times New Roman"/>
    </w:rPr>
  </w:style>
  <w:style w:type="paragraph" w:styleId="Header">
    <w:name w:val="header"/>
    <w:basedOn w:val="Normal"/>
    <w:link w:val="HeaderChar"/>
    <w:uiPriority w:val="99"/>
    <w:rsid w:val="001051B4"/>
    <w:pPr>
      <w:tabs>
        <w:tab w:val="center" w:pos="4153"/>
        <w:tab w:val="right" w:pos="8306"/>
      </w:tabs>
    </w:pPr>
  </w:style>
  <w:style w:type="character" w:customStyle="1" w:styleId="HeaderChar">
    <w:name w:val="Header Char"/>
    <w:basedOn w:val="DefaultParagraphFont"/>
    <w:link w:val="Header"/>
    <w:uiPriority w:val="99"/>
    <w:locked/>
    <w:rsid w:val="00A712C0"/>
    <w:rPr>
      <w:rFonts w:ascii="Arial" w:hAnsi="Arial" w:cs="Times New Roman"/>
      <w:sz w:val="24"/>
      <w:lang w:eastAsia="en-US"/>
    </w:rPr>
  </w:style>
  <w:style w:type="paragraph" w:customStyle="1" w:styleId="DfESOutNumbered">
    <w:name w:val="DfESOutNumbered"/>
    <w:basedOn w:val="Normal"/>
    <w:link w:val="DfESOutNumberedChar"/>
    <w:uiPriority w:val="99"/>
    <w:rsid w:val="001051B4"/>
    <w:pPr>
      <w:widowControl w:val="0"/>
      <w:spacing w:after="240"/>
    </w:pPr>
  </w:style>
  <w:style w:type="character" w:customStyle="1" w:styleId="DfESOutNumberedChar">
    <w:name w:val="DfESOutNumbered Char"/>
    <w:basedOn w:val="NoSpacingChar"/>
    <w:link w:val="DfESOutNumbered"/>
    <w:uiPriority w:val="99"/>
    <w:locked/>
    <w:rsid w:val="00A712C0"/>
  </w:style>
  <w:style w:type="character" w:customStyle="1" w:styleId="NoSpacingChar">
    <w:name w:val="No Spacing Char"/>
    <w:basedOn w:val="DefaultParagraphFont"/>
    <w:link w:val="NoSpacing"/>
    <w:uiPriority w:val="99"/>
    <w:locked/>
    <w:rsid w:val="00A712C0"/>
    <w:rPr>
      <w:rFonts w:ascii="Arial" w:hAnsi="Arial" w:cs="Times New Roman"/>
      <w:sz w:val="22"/>
      <w:szCs w:val="22"/>
      <w:lang w:val="en-GB" w:eastAsia="en-US" w:bidi="ar-SA"/>
    </w:rPr>
  </w:style>
  <w:style w:type="paragraph" w:styleId="NoSpacing">
    <w:name w:val="No Spacing"/>
    <w:link w:val="NoSpacingChar"/>
    <w:uiPriority w:val="99"/>
    <w:qFormat/>
    <w:rsid w:val="00A712C0"/>
    <w:rPr>
      <w:rFonts w:ascii="Arial" w:hAnsi="Arial"/>
      <w:sz w:val="24"/>
      <w:lang w:eastAsia="en-US"/>
    </w:rPr>
  </w:style>
  <w:style w:type="paragraph" w:customStyle="1" w:styleId="DfESBullets">
    <w:name w:val="DfESBullets"/>
    <w:basedOn w:val="Normal"/>
    <w:uiPriority w:val="99"/>
    <w:rsid w:val="001051B4"/>
    <w:pPr>
      <w:widowControl w:val="0"/>
      <w:spacing w:after="240"/>
    </w:pPr>
  </w:style>
  <w:style w:type="paragraph" w:customStyle="1" w:styleId="DeptOutNumbered">
    <w:name w:val="DeptOutNumbered"/>
    <w:basedOn w:val="Normal"/>
    <w:uiPriority w:val="99"/>
    <w:rsid w:val="003E2295"/>
    <w:pPr>
      <w:widowControl w:val="0"/>
      <w:numPr>
        <w:numId w:val="6"/>
      </w:numPr>
      <w:spacing w:after="240"/>
    </w:pPr>
  </w:style>
  <w:style w:type="paragraph" w:customStyle="1" w:styleId="DeptBullets">
    <w:name w:val="DeptBullets"/>
    <w:basedOn w:val="Normal"/>
    <w:link w:val="DeptBulletsChar"/>
    <w:uiPriority w:val="99"/>
    <w:rsid w:val="003E2295"/>
    <w:pPr>
      <w:widowControl w:val="0"/>
      <w:numPr>
        <w:numId w:val="8"/>
      </w:numPr>
      <w:spacing w:after="240"/>
    </w:pPr>
  </w:style>
  <w:style w:type="character" w:customStyle="1" w:styleId="DeptBulletsChar">
    <w:name w:val="DeptBullets Char"/>
    <w:basedOn w:val="NoSpacingChar"/>
    <w:link w:val="DeptBullets"/>
    <w:uiPriority w:val="99"/>
    <w:locked/>
    <w:rsid w:val="00A712C0"/>
  </w:style>
  <w:style w:type="character" w:styleId="Strong">
    <w:name w:val="Strong"/>
    <w:basedOn w:val="DefaultParagraphFont"/>
    <w:uiPriority w:val="99"/>
    <w:qFormat/>
    <w:rsid w:val="00A712C0"/>
    <w:rPr>
      <w:rFonts w:cs="Times New Roman"/>
      <w:b/>
      <w:bCs/>
    </w:rPr>
  </w:style>
  <w:style w:type="paragraph" w:styleId="ListParagraph">
    <w:name w:val="List Paragraph"/>
    <w:basedOn w:val="Normal"/>
    <w:uiPriority w:val="99"/>
    <w:qFormat/>
    <w:rsid w:val="00A712C0"/>
    <w:pPr>
      <w:overflowPunct/>
      <w:autoSpaceDE/>
      <w:autoSpaceDN/>
      <w:adjustRightInd/>
      <w:ind w:left="720"/>
      <w:contextualSpacing/>
      <w:textAlignment w:val="auto"/>
    </w:pPr>
    <w:rPr>
      <w:rFonts w:cs="Garamond"/>
      <w:szCs w:val="24"/>
      <w:lang w:eastAsia="en-GB"/>
    </w:rPr>
  </w:style>
  <w:style w:type="paragraph" w:styleId="NormalWeb">
    <w:name w:val="Normal (Web)"/>
    <w:basedOn w:val="Normal"/>
    <w:uiPriority w:val="99"/>
    <w:rsid w:val="00A712C0"/>
    <w:pPr>
      <w:overflowPunct/>
      <w:autoSpaceDE/>
      <w:autoSpaceDN/>
      <w:adjustRightInd/>
      <w:spacing w:before="100" w:beforeAutospacing="1" w:after="100" w:afterAutospacing="1"/>
      <w:textAlignment w:val="auto"/>
    </w:pPr>
    <w:rPr>
      <w:rFonts w:cs="Arial"/>
      <w:color w:val="000000"/>
      <w:szCs w:val="24"/>
      <w:lang w:eastAsia="en-GB"/>
    </w:rPr>
  </w:style>
  <w:style w:type="character" w:styleId="Hyperlink">
    <w:name w:val="Hyperlink"/>
    <w:basedOn w:val="DefaultParagraphFont"/>
    <w:uiPriority w:val="99"/>
    <w:rsid w:val="00A712C0"/>
    <w:rPr>
      <w:rFonts w:cs="Times New Roman"/>
      <w:color w:val="0000FF"/>
      <w:u w:val="single"/>
    </w:rPr>
  </w:style>
  <w:style w:type="character" w:styleId="CommentReference">
    <w:name w:val="annotation reference"/>
    <w:basedOn w:val="DefaultParagraphFont"/>
    <w:uiPriority w:val="99"/>
    <w:semiHidden/>
    <w:rsid w:val="00A24D89"/>
    <w:rPr>
      <w:rFonts w:cs="Times New Roman"/>
      <w:sz w:val="16"/>
      <w:szCs w:val="16"/>
    </w:rPr>
  </w:style>
  <w:style w:type="paragraph" w:styleId="CommentText">
    <w:name w:val="annotation text"/>
    <w:basedOn w:val="Normal"/>
    <w:link w:val="CommentTextChar"/>
    <w:uiPriority w:val="99"/>
    <w:semiHidden/>
    <w:rsid w:val="00A24D89"/>
    <w:rPr>
      <w:sz w:val="20"/>
    </w:rPr>
  </w:style>
  <w:style w:type="character" w:customStyle="1" w:styleId="CommentTextChar">
    <w:name w:val="Comment Text Char"/>
    <w:basedOn w:val="DefaultParagraphFont"/>
    <w:link w:val="CommentText"/>
    <w:uiPriority w:val="99"/>
    <w:semiHidden/>
    <w:locked/>
    <w:rsid w:val="00A24D89"/>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A24D89"/>
    <w:rPr>
      <w:b/>
      <w:bCs/>
    </w:rPr>
  </w:style>
  <w:style w:type="character" w:customStyle="1" w:styleId="CommentSubjectChar">
    <w:name w:val="Comment Subject Char"/>
    <w:basedOn w:val="CommentTextChar"/>
    <w:link w:val="CommentSubject"/>
    <w:uiPriority w:val="99"/>
    <w:semiHidden/>
    <w:locked/>
    <w:rsid w:val="00A24D89"/>
    <w:rPr>
      <w:b/>
      <w:bCs/>
    </w:rPr>
  </w:style>
</w:styles>
</file>

<file path=word/webSettings.xml><?xml version="1.0" encoding="utf-8"?>
<w:webSettings xmlns:r="http://schemas.openxmlformats.org/officeDocument/2006/relationships" xmlns:w="http://schemas.openxmlformats.org/wordprocessingml/2006/main">
  <w:divs>
    <w:div w:id="935600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taggart\Local%20Settings\Temporary%20Internet%20Files\Content.MSO\AE41CDB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AE41CDBA</Template>
  <TotalTime>1</TotalTime>
  <Pages>10</Pages>
  <Words>2731</Words>
  <Characters>15567</Characters>
  <Application>Microsoft Office Outlook</Application>
  <DocSecurity>0</DocSecurity>
  <Lines>0</Lines>
  <Paragraphs>0</Paragraphs>
  <ScaleCrop>false</ScaleCrop>
  <Company>DfES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DfES Submissions Macro - Draft</dc:title>
  <dc:subject/>
  <dc:creator>STEWART, James</dc:creator>
  <cp:keywords/>
  <dc:description>Draft</dc:description>
  <cp:lastModifiedBy>mwylie</cp:lastModifiedBy>
  <cp:revision>2</cp:revision>
  <cp:lastPrinted>1901-01-01T00:00:00Z</cp:lastPrinted>
  <dcterms:created xsi:type="dcterms:W3CDTF">2012-03-23T16:09:00Z</dcterms:created>
  <dcterms:modified xsi:type="dcterms:W3CDTF">2012-03-23T16:09:00Z</dcterms:modified>
</cp:coreProperties>
</file>