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53" w:rsidRPr="00947511" w:rsidRDefault="00D01253" w:rsidP="00234637">
      <w:pPr>
        <w:jc w:val="center"/>
        <w:rPr>
          <w:rFonts w:ascii="Tahoma" w:hAnsi="Tahoma" w:cs="Tahoma"/>
          <w:sz w:val="36"/>
          <w:szCs w:val="36"/>
        </w:rPr>
      </w:pPr>
      <w:r w:rsidRPr="00947511">
        <w:rPr>
          <w:rFonts w:ascii="Tahoma" w:hAnsi="Tahoma" w:cs="Tahoma"/>
          <w:sz w:val="36"/>
          <w:szCs w:val="36"/>
        </w:rPr>
        <w:t xml:space="preserve">Science Education </w:t>
      </w:r>
      <w:r w:rsidR="00234637" w:rsidRPr="00947511">
        <w:rPr>
          <w:rFonts w:ascii="Tahoma" w:hAnsi="Tahoma" w:cs="Tahoma"/>
          <w:sz w:val="36"/>
          <w:szCs w:val="36"/>
        </w:rPr>
        <w:t xml:space="preserve">Students taking </w:t>
      </w:r>
    </w:p>
    <w:p w:rsidR="00234637" w:rsidRPr="00947511" w:rsidRDefault="00234637" w:rsidP="00234637">
      <w:pPr>
        <w:jc w:val="center"/>
        <w:rPr>
          <w:rFonts w:ascii="Tahoma" w:hAnsi="Tahoma" w:cs="Tahoma"/>
          <w:sz w:val="36"/>
          <w:szCs w:val="36"/>
        </w:rPr>
      </w:pPr>
      <w:r w:rsidRPr="00947511">
        <w:rPr>
          <w:rFonts w:ascii="Tahoma" w:hAnsi="Tahoma" w:cs="Tahoma"/>
          <w:sz w:val="36"/>
          <w:szCs w:val="36"/>
        </w:rPr>
        <w:t>ownership of their learning</w:t>
      </w:r>
    </w:p>
    <w:p w:rsidR="00234637" w:rsidRPr="00947511" w:rsidRDefault="00234637" w:rsidP="00234637">
      <w:pPr>
        <w:jc w:val="center"/>
        <w:rPr>
          <w:rFonts w:ascii="Tahoma" w:hAnsi="Tahoma" w:cs="Tahoma"/>
          <w:sz w:val="20"/>
          <w:szCs w:val="20"/>
        </w:rPr>
      </w:pPr>
    </w:p>
    <w:p w:rsidR="00234637" w:rsidRPr="00947511" w:rsidRDefault="00234637" w:rsidP="00234637">
      <w:pPr>
        <w:rPr>
          <w:rFonts w:ascii="Tahoma" w:hAnsi="Tahoma" w:cs="Tahoma"/>
          <w:sz w:val="28"/>
          <w:szCs w:val="28"/>
        </w:rPr>
      </w:pPr>
      <w:r w:rsidRPr="00947511">
        <w:rPr>
          <w:rFonts w:ascii="Tahoma" w:hAnsi="Tahoma" w:cs="Tahoma"/>
          <w:sz w:val="28"/>
          <w:szCs w:val="28"/>
        </w:rPr>
        <w:t>Abstract</w:t>
      </w:r>
    </w:p>
    <w:p w:rsidR="00234637" w:rsidRPr="00947511" w:rsidRDefault="00234637" w:rsidP="00234637">
      <w:pPr>
        <w:rPr>
          <w:rFonts w:ascii="Tahoma" w:hAnsi="Tahoma" w:cs="Tahoma"/>
          <w:sz w:val="20"/>
          <w:szCs w:val="20"/>
        </w:rPr>
      </w:pPr>
      <w:r w:rsidRPr="00947511">
        <w:rPr>
          <w:rFonts w:ascii="Tahoma" w:hAnsi="Tahoma" w:cs="Tahoma"/>
          <w:sz w:val="20"/>
          <w:szCs w:val="20"/>
        </w:rPr>
        <w:t xml:space="preserve">The acquisition and retention of knowledge doesn’t just happen, it is an active process and one that needs </w:t>
      </w:r>
      <w:r w:rsidRPr="00947511">
        <w:rPr>
          <w:rFonts w:ascii="Tahoma" w:hAnsi="Tahoma" w:cs="Tahoma"/>
          <w:sz w:val="20"/>
          <w:szCs w:val="20"/>
        </w:rPr>
        <w:t xml:space="preserve">to be </w:t>
      </w:r>
      <w:r w:rsidRPr="00947511">
        <w:rPr>
          <w:rFonts w:ascii="Tahoma" w:hAnsi="Tahoma" w:cs="Tahoma"/>
          <w:sz w:val="20"/>
          <w:szCs w:val="20"/>
        </w:rPr>
        <w:t>work</w:t>
      </w:r>
      <w:r w:rsidRPr="00947511">
        <w:rPr>
          <w:rFonts w:ascii="Tahoma" w:hAnsi="Tahoma" w:cs="Tahoma"/>
          <w:sz w:val="20"/>
          <w:szCs w:val="20"/>
        </w:rPr>
        <w:t>ed</w:t>
      </w:r>
      <w:r w:rsidRPr="00947511">
        <w:rPr>
          <w:rFonts w:ascii="Tahoma" w:hAnsi="Tahoma" w:cs="Tahoma"/>
          <w:sz w:val="20"/>
          <w:szCs w:val="20"/>
        </w:rPr>
        <w:t xml:space="preserve"> at.  In order for knowledge to be meaningful and useful, we need to take ownership of our learning.  Indeed this features significantly in the new standards framework. With this in mind, a small pilot study </w:t>
      </w:r>
      <w:r w:rsidRPr="00947511">
        <w:rPr>
          <w:rFonts w:ascii="Tahoma" w:hAnsi="Tahoma" w:cs="Tahoma"/>
          <w:sz w:val="20"/>
          <w:szCs w:val="20"/>
        </w:rPr>
        <w:t>wa</w:t>
      </w:r>
      <w:r w:rsidRPr="00947511">
        <w:rPr>
          <w:rFonts w:ascii="Tahoma" w:hAnsi="Tahoma" w:cs="Tahoma"/>
          <w:sz w:val="20"/>
          <w:szCs w:val="20"/>
        </w:rPr>
        <w:t>s</w:t>
      </w:r>
      <w:r w:rsidRPr="00947511">
        <w:rPr>
          <w:rFonts w:ascii="Tahoma" w:hAnsi="Tahoma" w:cs="Tahoma"/>
          <w:sz w:val="20"/>
          <w:szCs w:val="20"/>
        </w:rPr>
        <w:t xml:space="preserve"> </w:t>
      </w:r>
      <w:r w:rsidRPr="00947511">
        <w:rPr>
          <w:rFonts w:ascii="Tahoma" w:hAnsi="Tahoma" w:cs="Tahoma"/>
          <w:sz w:val="20"/>
          <w:szCs w:val="20"/>
        </w:rPr>
        <w:t xml:space="preserve">conducted into </w:t>
      </w:r>
      <w:r w:rsidRPr="00947511">
        <w:rPr>
          <w:rFonts w:ascii="Tahoma" w:hAnsi="Tahoma" w:cs="Tahoma"/>
          <w:sz w:val="20"/>
          <w:szCs w:val="20"/>
        </w:rPr>
        <w:t xml:space="preserve">enabling </w:t>
      </w:r>
      <w:r w:rsidRPr="00947511">
        <w:rPr>
          <w:rFonts w:ascii="Tahoma" w:hAnsi="Tahoma" w:cs="Tahoma"/>
          <w:sz w:val="20"/>
          <w:szCs w:val="20"/>
        </w:rPr>
        <w:t xml:space="preserve">trainee teachers </w:t>
      </w:r>
      <w:r w:rsidRPr="00947511">
        <w:rPr>
          <w:rFonts w:ascii="Tahoma" w:hAnsi="Tahoma" w:cs="Tahoma"/>
          <w:sz w:val="20"/>
          <w:szCs w:val="20"/>
        </w:rPr>
        <w:t xml:space="preserve">to </w:t>
      </w:r>
      <w:r w:rsidRPr="00947511">
        <w:rPr>
          <w:rFonts w:ascii="Tahoma" w:hAnsi="Tahoma" w:cs="Tahoma"/>
          <w:sz w:val="20"/>
          <w:szCs w:val="20"/>
        </w:rPr>
        <w:t>tak</w:t>
      </w:r>
      <w:r w:rsidRPr="00947511">
        <w:rPr>
          <w:rFonts w:ascii="Tahoma" w:hAnsi="Tahoma" w:cs="Tahoma"/>
          <w:sz w:val="20"/>
          <w:szCs w:val="20"/>
        </w:rPr>
        <w:t>e</w:t>
      </w:r>
      <w:r w:rsidRPr="00947511">
        <w:rPr>
          <w:rFonts w:ascii="Tahoma" w:hAnsi="Tahoma" w:cs="Tahoma"/>
          <w:sz w:val="20"/>
          <w:szCs w:val="20"/>
        </w:rPr>
        <w:t xml:space="preserve"> ownership for their </w:t>
      </w:r>
      <w:r w:rsidRPr="00947511">
        <w:rPr>
          <w:rFonts w:ascii="Tahoma" w:hAnsi="Tahoma" w:cs="Tahoma"/>
          <w:sz w:val="20"/>
          <w:szCs w:val="20"/>
        </w:rPr>
        <w:t xml:space="preserve">own </w:t>
      </w:r>
      <w:r w:rsidRPr="00947511">
        <w:rPr>
          <w:rFonts w:ascii="Tahoma" w:hAnsi="Tahoma" w:cs="Tahoma"/>
          <w:sz w:val="20"/>
          <w:szCs w:val="20"/>
        </w:rPr>
        <w:t>learning.</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Secondary students in the conceptual development year of their undergraduate or post graduate training were asked to use a focussed learning log to assist with their studies.  The log was to be used before and after the taught sessions a</w:t>
      </w:r>
      <w:smartTag w:uri="urn:schemas-microsoft-com:office:smarttags" w:element="PersonName">
        <w:r w:rsidRPr="00947511">
          <w:rPr>
            <w:rFonts w:ascii="Tahoma" w:hAnsi="Tahoma" w:cs="Tahoma"/>
            <w:sz w:val="20"/>
            <w:szCs w:val="20"/>
          </w:rPr>
          <w:t>long</w:t>
        </w:r>
      </w:smartTag>
      <w:r w:rsidRPr="00947511">
        <w:rPr>
          <w:rFonts w:ascii="Tahoma" w:hAnsi="Tahoma" w:cs="Tahoma"/>
          <w:sz w:val="20"/>
          <w:szCs w:val="20"/>
        </w:rPr>
        <w:t>side session plans and copies of support literature in the form of summary notes and power point presentations. The aim of the log was to identify their initial level of knowledge and before each taught session conduct some self-study in preparation for the session.  They would then revisit the log after the taught session and identify areas for continue</w:t>
      </w:r>
      <w:r w:rsidR="00947511" w:rsidRPr="00947511">
        <w:rPr>
          <w:rFonts w:ascii="Tahoma" w:hAnsi="Tahoma" w:cs="Tahoma"/>
          <w:sz w:val="20"/>
          <w:szCs w:val="20"/>
        </w:rPr>
        <w:t>d</w:t>
      </w:r>
      <w:r w:rsidRPr="00947511">
        <w:rPr>
          <w:rFonts w:ascii="Tahoma" w:hAnsi="Tahoma" w:cs="Tahoma"/>
          <w:sz w:val="20"/>
          <w:szCs w:val="20"/>
        </w:rPr>
        <w:t xml:space="preserve"> development as well as possible new questions and issues, which could be followed up at a later date.</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 xml:space="preserve">This paper reports on the initial outcomes of this exercise, the perceived value from the student’s perspective of the approach used and </w:t>
      </w:r>
      <w:r w:rsidRPr="00947511">
        <w:rPr>
          <w:rFonts w:ascii="Tahoma" w:hAnsi="Tahoma" w:cs="Tahoma"/>
          <w:sz w:val="20"/>
          <w:szCs w:val="20"/>
        </w:rPr>
        <w:t xml:space="preserve">paves the way for a more </w:t>
      </w:r>
      <w:r w:rsidRPr="00947511">
        <w:rPr>
          <w:rFonts w:ascii="Tahoma" w:hAnsi="Tahoma" w:cs="Tahoma"/>
          <w:sz w:val="20"/>
          <w:szCs w:val="20"/>
        </w:rPr>
        <w:t>in-depth project into ownership.</w:t>
      </w:r>
    </w:p>
    <w:p w:rsidR="00234637" w:rsidRPr="00947511" w:rsidRDefault="00234637" w:rsidP="00234637">
      <w:pPr>
        <w:rPr>
          <w:rFonts w:ascii="Tahoma" w:hAnsi="Tahoma" w:cs="Tahoma"/>
          <w:sz w:val="20"/>
          <w:szCs w:val="20"/>
        </w:rPr>
      </w:pPr>
    </w:p>
    <w:p w:rsidR="00BA2819" w:rsidRPr="00947511" w:rsidRDefault="00234637" w:rsidP="00BA2819">
      <w:pPr>
        <w:rPr>
          <w:rFonts w:ascii="Tahoma" w:hAnsi="Tahoma" w:cs="Tahoma"/>
          <w:sz w:val="28"/>
          <w:szCs w:val="28"/>
        </w:rPr>
      </w:pPr>
      <w:r w:rsidRPr="00947511">
        <w:rPr>
          <w:rFonts w:ascii="Tahoma" w:hAnsi="Tahoma" w:cs="Tahoma"/>
          <w:sz w:val="28"/>
          <w:szCs w:val="28"/>
        </w:rPr>
        <w:t>Introduction</w:t>
      </w:r>
    </w:p>
    <w:p w:rsidR="00234637" w:rsidRPr="00947511" w:rsidRDefault="00234637" w:rsidP="00BA2819">
      <w:pPr>
        <w:rPr>
          <w:rFonts w:ascii="Tahoma" w:hAnsi="Tahoma" w:cs="Tahoma"/>
          <w:sz w:val="20"/>
          <w:szCs w:val="20"/>
        </w:rPr>
      </w:pPr>
      <w:r w:rsidRPr="00947511">
        <w:rPr>
          <w:rFonts w:ascii="Tahoma" w:hAnsi="Tahoma" w:cs="Tahoma"/>
          <w:sz w:val="20"/>
          <w:szCs w:val="20"/>
        </w:rPr>
        <w:t>Media headlines state repeatedly that exams are getting easier and pupils are leaving school and indeed university with a string of qualifications behind their names but lack the nec</w:t>
      </w:r>
      <w:r w:rsidR="00947511">
        <w:rPr>
          <w:rFonts w:ascii="Tahoma" w:hAnsi="Tahoma" w:cs="Tahoma"/>
          <w:sz w:val="20"/>
          <w:szCs w:val="20"/>
        </w:rPr>
        <w:t>essary skills and attributes to</w:t>
      </w:r>
      <w:r w:rsidRPr="00947511">
        <w:rPr>
          <w:rFonts w:ascii="Tahoma" w:hAnsi="Tahoma" w:cs="Tahoma"/>
          <w:sz w:val="20"/>
          <w:szCs w:val="20"/>
        </w:rPr>
        <w:t xml:space="preserve"> enable them to use them effectively in business</w:t>
      </w:r>
      <w:r w:rsidR="004B5B61">
        <w:rPr>
          <w:rFonts w:ascii="Tahoma" w:hAnsi="Tahoma" w:cs="Tahoma"/>
          <w:sz w:val="20"/>
          <w:szCs w:val="20"/>
        </w:rPr>
        <w:t xml:space="preserve">.  </w:t>
      </w:r>
      <w:r w:rsidR="00711921" w:rsidRPr="00947511">
        <w:rPr>
          <w:rFonts w:ascii="Tahoma" w:hAnsi="Tahoma" w:cs="Tahoma"/>
          <w:sz w:val="20"/>
          <w:szCs w:val="20"/>
        </w:rPr>
        <w:t>The current changes at KS3 will place greater emphasis on using the curriculum to ‘… enhance general skills such as initiative and enterprise that will in turn encourage independent learning – better preparing pupils f</w:t>
      </w:r>
      <w:r w:rsidR="00947511">
        <w:rPr>
          <w:rFonts w:ascii="Tahoma" w:hAnsi="Tahoma" w:cs="Tahoma"/>
          <w:sz w:val="20"/>
          <w:szCs w:val="20"/>
        </w:rPr>
        <w:t>o</w:t>
      </w:r>
      <w:r w:rsidR="00711921" w:rsidRPr="00947511">
        <w:rPr>
          <w:rFonts w:ascii="Tahoma" w:hAnsi="Tahoma" w:cs="Tahoma"/>
          <w:sz w:val="20"/>
          <w:szCs w:val="20"/>
        </w:rPr>
        <w:t>r GCSEs, the new diplomas and ultimately the world of work in the 21</w:t>
      </w:r>
      <w:r w:rsidR="00711921" w:rsidRPr="00947511">
        <w:rPr>
          <w:rFonts w:ascii="Tahoma" w:hAnsi="Tahoma" w:cs="Tahoma"/>
          <w:sz w:val="20"/>
          <w:szCs w:val="20"/>
          <w:vertAlign w:val="superscript"/>
        </w:rPr>
        <w:t>st</w:t>
      </w:r>
      <w:r w:rsidR="00711921" w:rsidRPr="00947511">
        <w:rPr>
          <w:rFonts w:ascii="Tahoma" w:hAnsi="Tahoma" w:cs="Tahoma"/>
          <w:sz w:val="20"/>
          <w:szCs w:val="20"/>
        </w:rPr>
        <w:t xml:space="preserve"> Century’ (Science Learning Centres, 2007).  </w:t>
      </w:r>
      <w:r w:rsidR="00747E8C" w:rsidRPr="00947511">
        <w:rPr>
          <w:rFonts w:ascii="Tahoma" w:hAnsi="Tahoma" w:cs="Tahoma"/>
          <w:sz w:val="20"/>
          <w:szCs w:val="20"/>
        </w:rPr>
        <w:t>The c</w:t>
      </w:r>
      <w:r w:rsidR="00947511">
        <w:rPr>
          <w:rFonts w:ascii="Tahoma" w:hAnsi="Tahoma" w:cs="Tahoma"/>
          <w:sz w:val="20"/>
          <w:szCs w:val="20"/>
        </w:rPr>
        <w:t>hanges aim to give teachers</w:t>
      </w:r>
      <w:r w:rsidR="00747E8C" w:rsidRPr="00947511">
        <w:rPr>
          <w:rFonts w:ascii="Tahoma" w:hAnsi="Tahoma" w:cs="Tahoma"/>
          <w:sz w:val="20"/>
          <w:szCs w:val="20"/>
        </w:rPr>
        <w:t xml:space="preserve"> a greater level of autonomy in their teaching and the potential to foster school focus curriculum development. However, r</w:t>
      </w:r>
      <w:r w:rsidRPr="00947511">
        <w:rPr>
          <w:rFonts w:ascii="Tahoma" w:hAnsi="Tahoma" w:cs="Tahoma"/>
          <w:sz w:val="20"/>
          <w:szCs w:val="20"/>
        </w:rPr>
        <w:t xml:space="preserve">esearch indicates that </w:t>
      </w:r>
      <w:r w:rsidR="00747E8C" w:rsidRPr="00947511">
        <w:rPr>
          <w:rFonts w:ascii="Tahoma" w:hAnsi="Tahoma" w:cs="Tahoma"/>
          <w:sz w:val="20"/>
          <w:szCs w:val="20"/>
        </w:rPr>
        <w:t xml:space="preserve">student </w:t>
      </w:r>
      <w:r w:rsidRPr="00947511">
        <w:rPr>
          <w:rFonts w:ascii="Tahoma" w:hAnsi="Tahoma" w:cs="Tahoma"/>
          <w:sz w:val="20"/>
          <w:szCs w:val="20"/>
        </w:rPr>
        <w:t xml:space="preserve">teachers at both undergraduate and post graduate levels </w:t>
      </w:r>
      <w:r w:rsidR="00756907" w:rsidRPr="00947511">
        <w:rPr>
          <w:rFonts w:ascii="Tahoma" w:hAnsi="Tahoma" w:cs="Tahoma"/>
          <w:sz w:val="20"/>
          <w:szCs w:val="20"/>
        </w:rPr>
        <w:t xml:space="preserve">often </w:t>
      </w:r>
      <w:r w:rsidRPr="00947511">
        <w:rPr>
          <w:rFonts w:ascii="Tahoma" w:hAnsi="Tahoma" w:cs="Tahoma"/>
          <w:sz w:val="20"/>
          <w:szCs w:val="20"/>
        </w:rPr>
        <w:t xml:space="preserve">lack any real degree of autonomy in relation to </w:t>
      </w:r>
      <w:r w:rsidR="00947511">
        <w:rPr>
          <w:rFonts w:ascii="Tahoma" w:hAnsi="Tahoma" w:cs="Tahoma"/>
          <w:sz w:val="20"/>
          <w:szCs w:val="20"/>
        </w:rPr>
        <w:t xml:space="preserve">their </w:t>
      </w:r>
      <w:r w:rsidR="00747E8C" w:rsidRPr="00947511">
        <w:rPr>
          <w:rFonts w:ascii="Tahoma" w:hAnsi="Tahoma" w:cs="Tahoma"/>
          <w:sz w:val="20"/>
          <w:szCs w:val="20"/>
        </w:rPr>
        <w:t xml:space="preserve">own </w:t>
      </w:r>
      <w:r w:rsidRPr="00947511">
        <w:rPr>
          <w:rFonts w:ascii="Tahoma" w:hAnsi="Tahoma" w:cs="Tahoma"/>
          <w:sz w:val="20"/>
          <w:szCs w:val="20"/>
        </w:rPr>
        <w:t>learning</w:t>
      </w:r>
      <w:r w:rsidR="00747E8C" w:rsidRPr="00947511">
        <w:rPr>
          <w:rFonts w:ascii="Tahoma" w:hAnsi="Tahoma" w:cs="Tahoma"/>
          <w:sz w:val="20"/>
          <w:szCs w:val="20"/>
        </w:rPr>
        <w:t xml:space="preserve"> and that this is reflected in their teaching</w:t>
      </w:r>
      <w:r w:rsidR="00947511">
        <w:rPr>
          <w:rFonts w:ascii="Tahoma" w:hAnsi="Tahoma" w:cs="Tahoma"/>
          <w:sz w:val="20"/>
          <w:szCs w:val="20"/>
        </w:rPr>
        <w:t xml:space="preserve"> </w:t>
      </w:r>
      <w:r w:rsidR="00747E8C" w:rsidRPr="00947511">
        <w:rPr>
          <w:rFonts w:ascii="Tahoma" w:hAnsi="Tahoma" w:cs="Tahoma"/>
          <w:sz w:val="20"/>
          <w:szCs w:val="20"/>
        </w:rPr>
        <w:t>(Lakin, 2002 and Lakin, 2004)</w:t>
      </w:r>
      <w:r w:rsidRPr="00947511">
        <w:rPr>
          <w:rFonts w:ascii="Tahoma" w:hAnsi="Tahoma" w:cs="Tahoma"/>
          <w:sz w:val="20"/>
          <w:szCs w:val="20"/>
        </w:rPr>
        <w:t>.  Through school and then often in High</w:t>
      </w:r>
      <w:r w:rsidR="00E10D05">
        <w:rPr>
          <w:rFonts w:ascii="Tahoma" w:hAnsi="Tahoma" w:cs="Tahoma"/>
          <w:sz w:val="20"/>
          <w:szCs w:val="20"/>
        </w:rPr>
        <w:t>er Education, our assessment le</w:t>
      </w:r>
      <w:r w:rsidRPr="00947511">
        <w:rPr>
          <w:rFonts w:ascii="Tahoma" w:hAnsi="Tahoma" w:cs="Tahoma"/>
          <w:sz w:val="20"/>
          <w:szCs w:val="20"/>
        </w:rPr>
        <w:t>d culture gear</w:t>
      </w:r>
      <w:r w:rsidR="00947511">
        <w:rPr>
          <w:rFonts w:ascii="Tahoma" w:hAnsi="Tahoma" w:cs="Tahoma"/>
          <w:sz w:val="20"/>
          <w:szCs w:val="20"/>
        </w:rPr>
        <w:t>s them up for a product orient</w:t>
      </w:r>
      <w:r w:rsidRPr="00947511">
        <w:rPr>
          <w:rFonts w:ascii="Tahoma" w:hAnsi="Tahoma" w:cs="Tahoma"/>
          <w:sz w:val="20"/>
          <w:szCs w:val="20"/>
        </w:rPr>
        <w:t>ed education system which they adhere to rigidly and is often reflected in the way these students transfer their own knowledge and understanding to the children they teach</w:t>
      </w:r>
      <w:r w:rsidR="00747E8C" w:rsidRPr="00947511">
        <w:rPr>
          <w:rFonts w:ascii="Tahoma" w:hAnsi="Tahoma" w:cs="Tahoma"/>
          <w:sz w:val="20"/>
          <w:szCs w:val="20"/>
        </w:rPr>
        <w:t xml:space="preserve"> (ibid). </w:t>
      </w:r>
      <w:r w:rsidRPr="00947511">
        <w:rPr>
          <w:rFonts w:ascii="Tahoma" w:hAnsi="Tahoma" w:cs="Tahoma"/>
          <w:sz w:val="20"/>
          <w:szCs w:val="20"/>
        </w:rPr>
        <w:t xml:space="preserve"> Feedback from dissemination seminars indicates that this passive style of learning, despite our best efforts at active participation, is common place across several HEIs, within teacher education and elsewhere</w:t>
      </w:r>
      <w:r w:rsidR="00747E8C" w:rsidRPr="00947511">
        <w:rPr>
          <w:rFonts w:ascii="Tahoma" w:hAnsi="Tahoma" w:cs="Tahoma"/>
          <w:sz w:val="20"/>
          <w:szCs w:val="20"/>
        </w:rPr>
        <w:t xml:space="preserve"> (Lakin: ASTE, CDLT and SMC, 2007)</w:t>
      </w:r>
      <w:r w:rsidRPr="00947511">
        <w:rPr>
          <w:rFonts w:ascii="Tahoma" w:hAnsi="Tahoma" w:cs="Tahoma"/>
          <w:sz w:val="20"/>
          <w:szCs w:val="20"/>
        </w:rPr>
        <w:t>.</w:t>
      </w:r>
    </w:p>
    <w:p w:rsidR="00747E8C" w:rsidRPr="00947511" w:rsidRDefault="00747E8C" w:rsidP="00234637">
      <w:pPr>
        <w:tabs>
          <w:tab w:val="num" w:pos="709"/>
        </w:tabs>
        <w:rPr>
          <w:rFonts w:ascii="Tahoma" w:hAnsi="Tahoma" w:cs="Tahoma"/>
          <w:sz w:val="28"/>
          <w:szCs w:val="28"/>
        </w:rPr>
      </w:pPr>
    </w:p>
    <w:p w:rsidR="00234637" w:rsidRPr="00947511" w:rsidRDefault="00234637" w:rsidP="00234637">
      <w:pPr>
        <w:tabs>
          <w:tab w:val="num" w:pos="709"/>
        </w:tabs>
        <w:rPr>
          <w:rFonts w:ascii="Tahoma" w:hAnsi="Tahoma" w:cs="Tahoma"/>
          <w:bCs/>
          <w:sz w:val="20"/>
          <w:szCs w:val="20"/>
        </w:rPr>
      </w:pPr>
      <w:r w:rsidRPr="00947511">
        <w:rPr>
          <w:rFonts w:ascii="Tahoma" w:hAnsi="Tahoma" w:cs="Tahoma"/>
          <w:sz w:val="20"/>
          <w:szCs w:val="20"/>
        </w:rPr>
        <w:t xml:space="preserve">The new TDA standards for </w:t>
      </w:r>
      <w:r w:rsidR="001E1AEE" w:rsidRPr="00947511">
        <w:rPr>
          <w:rFonts w:ascii="Tahoma" w:hAnsi="Tahoma" w:cs="Tahoma"/>
          <w:sz w:val="20"/>
          <w:szCs w:val="20"/>
        </w:rPr>
        <w:t xml:space="preserve">NQTs and existing classroom teachers </w:t>
      </w:r>
      <w:r w:rsidRPr="00947511">
        <w:rPr>
          <w:rFonts w:ascii="Tahoma" w:hAnsi="Tahoma" w:cs="Tahoma"/>
          <w:sz w:val="20"/>
          <w:szCs w:val="20"/>
        </w:rPr>
        <w:t>echo progressively throughout the documentation that teachers should enable</w:t>
      </w:r>
      <w:r w:rsidRPr="00947511">
        <w:rPr>
          <w:rFonts w:ascii="Tahoma" w:hAnsi="Tahoma" w:cs="Tahoma"/>
          <w:bCs/>
          <w:sz w:val="20"/>
          <w:szCs w:val="20"/>
        </w:rPr>
        <w:t xml:space="preserve"> learners to:</w:t>
      </w:r>
    </w:p>
    <w:p w:rsidR="00234637" w:rsidRPr="00947511" w:rsidRDefault="00234637" w:rsidP="00234637">
      <w:pPr>
        <w:widowControl w:val="0"/>
        <w:numPr>
          <w:ilvl w:val="0"/>
          <w:numId w:val="5"/>
        </w:numPr>
        <w:tabs>
          <w:tab w:val="left" w:pos="993"/>
        </w:tabs>
        <w:jc w:val="both"/>
        <w:rPr>
          <w:rFonts w:ascii="Tahoma" w:hAnsi="Tahoma" w:cs="Tahoma"/>
          <w:bCs/>
          <w:sz w:val="20"/>
          <w:szCs w:val="20"/>
        </w:rPr>
      </w:pPr>
      <w:r w:rsidRPr="00947511">
        <w:rPr>
          <w:rFonts w:ascii="Tahoma" w:hAnsi="Tahoma" w:cs="Tahoma"/>
          <w:bCs/>
          <w:sz w:val="20"/>
          <w:szCs w:val="20"/>
        </w:rPr>
        <w:t>reflect on their learning</w:t>
      </w:r>
    </w:p>
    <w:p w:rsidR="00234637" w:rsidRPr="00947511" w:rsidRDefault="00234637" w:rsidP="00234637">
      <w:pPr>
        <w:widowControl w:val="0"/>
        <w:numPr>
          <w:ilvl w:val="0"/>
          <w:numId w:val="5"/>
        </w:numPr>
        <w:tabs>
          <w:tab w:val="left" w:pos="993"/>
        </w:tabs>
        <w:jc w:val="both"/>
        <w:rPr>
          <w:rFonts w:ascii="Tahoma" w:hAnsi="Tahoma" w:cs="Tahoma"/>
          <w:bCs/>
          <w:sz w:val="20"/>
          <w:szCs w:val="20"/>
        </w:rPr>
      </w:pPr>
      <w:r w:rsidRPr="00947511">
        <w:rPr>
          <w:rFonts w:ascii="Tahoma" w:hAnsi="Tahoma" w:cs="Tahoma"/>
          <w:bCs/>
          <w:sz w:val="20"/>
          <w:szCs w:val="20"/>
        </w:rPr>
        <w:t>identify the progress they have made</w:t>
      </w:r>
    </w:p>
    <w:p w:rsidR="00234637" w:rsidRPr="00947511" w:rsidRDefault="00234637" w:rsidP="00234637">
      <w:pPr>
        <w:widowControl w:val="0"/>
        <w:numPr>
          <w:ilvl w:val="0"/>
          <w:numId w:val="5"/>
        </w:numPr>
        <w:tabs>
          <w:tab w:val="left" w:pos="993"/>
        </w:tabs>
        <w:jc w:val="both"/>
        <w:rPr>
          <w:rFonts w:ascii="Tahoma" w:hAnsi="Tahoma" w:cs="Tahoma"/>
          <w:bCs/>
          <w:sz w:val="20"/>
          <w:szCs w:val="20"/>
        </w:rPr>
      </w:pPr>
      <w:r w:rsidRPr="00947511">
        <w:rPr>
          <w:rFonts w:ascii="Tahoma" w:hAnsi="Tahoma" w:cs="Tahoma"/>
          <w:bCs/>
          <w:sz w:val="20"/>
          <w:szCs w:val="20"/>
        </w:rPr>
        <w:t>identify their emerging learning needs</w:t>
      </w:r>
    </w:p>
    <w:p w:rsidR="00234637" w:rsidRPr="00947511" w:rsidRDefault="00234637" w:rsidP="00234637">
      <w:pPr>
        <w:widowControl w:val="0"/>
        <w:numPr>
          <w:ilvl w:val="0"/>
          <w:numId w:val="5"/>
        </w:numPr>
        <w:tabs>
          <w:tab w:val="left" w:pos="993"/>
        </w:tabs>
        <w:jc w:val="both"/>
        <w:rPr>
          <w:rFonts w:ascii="Tahoma" w:hAnsi="Tahoma" w:cs="Tahoma"/>
          <w:bCs/>
          <w:sz w:val="20"/>
          <w:szCs w:val="20"/>
        </w:rPr>
      </w:pPr>
      <w:r w:rsidRPr="00947511">
        <w:rPr>
          <w:rFonts w:ascii="Tahoma" w:hAnsi="Tahoma" w:cs="Tahoma"/>
          <w:bCs/>
          <w:sz w:val="20"/>
          <w:szCs w:val="20"/>
        </w:rPr>
        <w:t>become successful independent learners  (</w:t>
      </w:r>
      <w:r w:rsidR="00E27D64">
        <w:rPr>
          <w:rFonts w:ascii="Tahoma" w:hAnsi="Tahoma" w:cs="Tahoma"/>
          <w:bCs/>
          <w:sz w:val="20"/>
          <w:szCs w:val="20"/>
        </w:rPr>
        <w:t>TDA, 2007:</w:t>
      </w:r>
      <w:r w:rsidR="00E10D05">
        <w:rPr>
          <w:rFonts w:ascii="Tahoma" w:hAnsi="Tahoma" w:cs="Tahoma"/>
          <w:bCs/>
          <w:sz w:val="20"/>
          <w:szCs w:val="20"/>
        </w:rPr>
        <w:t>C33</w:t>
      </w:r>
      <w:r w:rsidRPr="00947511">
        <w:rPr>
          <w:rFonts w:ascii="Tahoma" w:hAnsi="Tahoma" w:cs="Tahoma"/>
          <w:bCs/>
          <w:sz w:val="20"/>
          <w:szCs w:val="20"/>
        </w:rPr>
        <w:t>)</w:t>
      </w:r>
    </w:p>
    <w:p w:rsidR="00234637" w:rsidRPr="00947511" w:rsidRDefault="00234637" w:rsidP="00234637">
      <w:pPr>
        <w:widowControl w:val="0"/>
        <w:tabs>
          <w:tab w:val="left" w:pos="993"/>
        </w:tabs>
        <w:jc w:val="both"/>
        <w:rPr>
          <w:rFonts w:ascii="Tahoma" w:hAnsi="Tahoma" w:cs="Tahoma"/>
          <w:bCs/>
          <w:sz w:val="20"/>
          <w:szCs w:val="20"/>
        </w:rPr>
      </w:pPr>
    </w:p>
    <w:p w:rsidR="00234637" w:rsidRPr="00947511" w:rsidRDefault="00234637" w:rsidP="00234637">
      <w:pPr>
        <w:widowControl w:val="0"/>
        <w:tabs>
          <w:tab w:val="left" w:pos="993"/>
        </w:tabs>
        <w:jc w:val="both"/>
        <w:rPr>
          <w:rFonts w:ascii="Tahoma" w:hAnsi="Tahoma" w:cs="Tahoma"/>
          <w:sz w:val="20"/>
          <w:szCs w:val="20"/>
        </w:rPr>
      </w:pPr>
      <w:r w:rsidRPr="00947511">
        <w:rPr>
          <w:rFonts w:ascii="Tahoma" w:hAnsi="Tahoma" w:cs="Tahoma"/>
          <w:bCs/>
          <w:sz w:val="20"/>
          <w:szCs w:val="20"/>
        </w:rPr>
        <w:t xml:space="preserve">But what of the </w:t>
      </w:r>
      <w:r w:rsidR="004B5B61">
        <w:rPr>
          <w:rFonts w:ascii="Tahoma" w:hAnsi="Tahoma" w:cs="Tahoma"/>
          <w:bCs/>
          <w:sz w:val="20"/>
          <w:szCs w:val="20"/>
        </w:rPr>
        <w:t xml:space="preserve">student </w:t>
      </w:r>
      <w:r w:rsidRPr="00947511">
        <w:rPr>
          <w:rFonts w:ascii="Tahoma" w:hAnsi="Tahoma" w:cs="Tahoma"/>
          <w:bCs/>
          <w:sz w:val="20"/>
          <w:szCs w:val="20"/>
        </w:rPr>
        <w:t>teacher</w:t>
      </w:r>
      <w:r w:rsidR="00947511">
        <w:rPr>
          <w:rFonts w:ascii="Tahoma" w:hAnsi="Tahoma" w:cs="Tahoma"/>
          <w:bCs/>
          <w:sz w:val="20"/>
          <w:szCs w:val="20"/>
        </w:rPr>
        <w:t>s</w:t>
      </w:r>
      <w:r w:rsidRPr="00947511">
        <w:rPr>
          <w:rFonts w:ascii="Tahoma" w:hAnsi="Tahoma" w:cs="Tahoma"/>
          <w:bCs/>
          <w:sz w:val="20"/>
          <w:szCs w:val="20"/>
        </w:rPr>
        <w:t xml:space="preserve"> themselves, are they independent learners who can reflect upon their learning and identify their emerging learning needs?  Evidence </w:t>
      </w:r>
      <w:r w:rsidR="00FC3E42" w:rsidRPr="00947511">
        <w:rPr>
          <w:rFonts w:ascii="Tahoma" w:hAnsi="Tahoma" w:cs="Tahoma"/>
          <w:bCs/>
          <w:sz w:val="20"/>
          <w:szCs w:val="20"/>
        </w:rPr>
        <w:t xml:space="preserve">elsewhere </w:t>
      </w:r>
      <w:r w:rsidRPr="00947511">
        <w:rPr>
          <w:rFonts w:ascii="Tahoma" w:hAnsi="Tahoma" w:cs="Tahoma"/>
          <w:sz w:val="20"/>
          <w:szCs w:val="20"/>
        </w:rPr>
        <w:t>(</w:t>
      </w:r>
      <w:r w:rsidR="001443E3" w:rsidRPr="00947511">
        <w:rPr>
          <w:rFonts w:ascii="Tahoma" w:hAnsi="Tahoma" w:cs="Tahoma"/>
          <w:sz w:val="20"/>
          <w:szCs w:val="20"/>
        </w:rPr>
        <w:t>Ward and McCotter, 2004</w:t>
      </w:r>
      <w:r w:rsidRPr="00947511">
        <w:rPr>
          <w:rFonts w:ascii="Tahoma" w:hAnsi="Tahoma" w:cs="Tahoma"/>
          <w:sz w:val="20"/>
          <w:szCs w:val="20"/>
        </w:rPr>
        <w:t xml:space="preserve">) </w:t>
      </w:r>
      <w:r w:rsidRPr="00947511">
        <w:rPr>
          <w:rFonts w:ascii="Tahoma" w:hAnsi="Tahoma" w:cs="Tahoma"/>
          <w:bCs/>
          <w:sz w:val="20"/>
          <w:szCs w:val="20"/>
        </w:rPr>
        <w:t xml:space="preserve">suggests </w:t>
      </w:r>
      <w:r w:rsidR="00FC3E42" w:rsidRPr="00947511">
        <w:rPr>
          <w:rFonts w:ascii="Tahoma" w:hAnsi="Tahoma" w:cs="Tahoma"/>
          <w:bCs/>
          <w:sz w:val="20"/>
          <w:szCs w:val="20"/>
        </w:rPr>
        <w:t xml:space="preserve">this is not always the case </w:t>
      </w:r>
      <w:r w:rsidRPr="00947511">
        <w:rPr>
          <w:rFonts w:ascii="Tahoma" w:hAnsi="Tahoma" w:cs="Tahoma"/>
          <w:bCs/>
          <w:sz w:val="20"/>
          <w:szCs w:val="20"/>
        </w:rPr>
        <w:t xml:space="preserve">and </w:t>
      </w:r>
      <w:r w:rsidR="004B5B61">
        <w:rPr>
          <w:rFonts w:ascii="Tahoma" w:hAnsi="Tahoma" w:cs="Tahoma"/>
          <w:bCs/>
          <w:sz w:val="20"/>
          <w:szCs w:val="20"/>
        </w:rPr>
        <w:t xml:space="preserve">go on to identify </w:t>
      </w:r>
      <w:r w:rsidR="00FC3E42" w:rsidRPr="00947511">
        <w:rPr>
          <w:rFonts w:ascii="Tahoma" w:hAnsi="Tahoma" w:cs="Tahoma"/>
          <w:bCs/>
          <w:sz w:val="20"/>
          <w:szCs w:val="20"/>
        </w:rPr>
        <w:t xml:space="preserve">different levels of reflective practice indicating that some students may struggle to progress </w:t>
      </w:r>
      <w:r w:rsidRPr="00947511">
        <w:rPr>
          <w:rFonts w:ascii="Tahoma" w:hAnsi="Tahoma" w:cs="Tahoma"/>
          <w:bCs/>
          <w:sz w:val="20"/>
          <w:szCs w:val="20"/>
        </w:rPr>
        <w:t xml:space="preserve">beyond the early stages of ‘shallow learning’; learning that is associated with the regurgitation of facts and </w:t>
      </w:r>
      <w:r w:rsidRPr="00947511">
        <w:rPr>
          <w:rFonts w:ascii="Tahoma" w:hAnsi="Tahoma" w:cs="Tahoma"/>
          <w:bCs/>
          <w:sz w:val="20"/>
          <w:szCs w:val="20"/>
        </w:rPr>
        <w:lastRenderedPageBreak/>
        <w:t>processes that become seemingly mechanistic and lack ownership on the part of the learner</w:t>
      </w:r>
      <w:r w:rsidR="00FC3E42" w:rsidRPr="00947511">
        <w:rPr>
          <w:rFonts w:ascii="Tahoma" w:hAnsi="Tahoma" w:cs="Tahoma"/>
          <w:bCs/>
          <w:sz w:val="20"/>
          <w:szCs w:val="20"/>
        </w:rPr>
        <w:t xml:space="preserve"> (Copping, 2007)</w:t>
      </w:r>
      <w:r w:rsidRPr="00947511">
        <w:rPr>
          <w:rFonts w:ascii="Tahoma" w:hAnsi="Tahoma" w:cs="Tahoma"/>
          <w:bCs/>
          <w:sz w:val="20"/>
          <w:szCs w:val="20"/>
        </w:rPr>
        <w:t xml:space="preserve">.  </w:t>
      </w:r>
      <w:r w:rsidR="00FC3E42" w:rsidRPr="00947511">
        <w:rPr>
          <w:rFonts w:ascii="Tahoma" w:hAnsi="Tahoma" w:cs="Tahoma"/>
          <w:bCs/>
          <w:sz w:val="20"/>
          <w:szCs w:val="20"/>
        </w:rPr>
        <w:t>It is concern for this lack of development that lead</w:t>
      </w:r>
      <w:r w:rsidR="00E10D05">
        <w:rPr>
          <w:rFonts w:ascii="Tahoma" w:hAnsi="Tahoma" w:cs="Tahoma"/>
          <w:bCs/>
          <w:sz w:val="20"/>
          <w:szCs w:val="20"/>
        </w:rPr>
        <w:t>s</w:t>
      </w:r>
      <w:r w:rsidR="00FC3E42" w:rsidRPr="00947511">
        <w:rPr>
          <w:rFonts w:ascii="Tahoma" w:hAnsi="Tahoma" w:cs="Tahoma"/>
          <w:bCs/>
          <w:sz w:val="20"/>
          <w:szCs w:val="20"/>
        </w:rPr>
        <w:t xml:space="preserve"> to the </w:t>
      </w:r>
      <w:r w:rsidRPr="00947511">
        <w:rPr>
          <w:rFonts w:ascii="Tahoma" w:hAnsi="Tahoma" w:cs="Tahoma"/>
          <w:bCs/>
          <w:sz w:val="20"/>
          <w:szCs w:val="20"/>
        </w:rPr>
        <w:t>development of this research project</w:t>
      </w:r>
      <w:r w:rsidR="00FC3E42" w:rsidRPr="00947511">
        <w:rPr>
          <w:rFonts w:ascii="Tahoma" w:hAnsi="Tahoma" w:cs="Tahoma"/>
          <w:bCs/>
          <w:sz w:val="20"/>
          <w:szCs w:val="20"/>
        </w:rPr>
        <w:t xml:space="preserve">; the key aims of </w:t>
      </w:r>
      <w:r w:rsidRPr="00947511">
        <w:rPr>
          <w:rFonts w:ascii="Tahoma" w:hAnsi="Tahoma" w:cs="Tahoma"/>
          <w:bCs/>
          <w:sz w:val="20"/>
          <w:szCs w:val="20"/>
        </w:rPr>
        <w:t xml:space="preserve">which </w:t>
      </w:r>
      <w:r w:rsidR="00FC3E42" w:rsidRPr="00947511">
        <w:rPr>
          <w:rFonts w:ascii="Tahoma" w:hAnsi="Tahoma" w:cs="Tahoma"/>
          <w:bCs/>
          <w:sz w:val="20"/>
          <w:szCs w:val="20"/>
        </w:rPr>
        <w:t>are to p</w:t>
      </w:r>
      <w:r w:rsidRPr="00947511">
        <w:rPr>
          <w:rFonts w:ascii="Tahoma" w:hAnsi="Tahoma" w:cs="Tahoma"/>
          <w:sz w:val="20"/>
          <w:szCs w:val="20"/>
        </w:rPr>
        <w:t>resent opportunities for students to:</w:t>
      </w:r>
    </w:p>
    <w:p w:rsidR="00234637" w:rsidRPr="00947511" w:rsidRDefault="00234637" w:rsidP="00234637">
      <w:pPr>
        <w:rPr>
          <w:rFonts w:ascii="Tahoma" w:hAnsi="Tahoma" w:cs="Tahoma"/>
          <w:sz w:val="20"/>
          <w:szCs w:val="20"/>
        </w:rPr>
      </w:pPr>
    </w:p>
    <w:p w:rsidR="00234637" w:rsidRPr="00947511" w:rsidRDefault="00234637" w:rsidP="00234637">
      <w:pPr>
        <w:numPr>
          <w:ilvl w:val="0"/>
          <w:numId w:val="4"/>
        </w:numPr>
        <w:rPr>
          <w:rFonts w:ascii="Tahoma" w:hAnsi="Tahoma" w:cs="Tahoma"/>
          <w:sz w:val="20"/>
          <w:szCs w:val="20"/>
        </w:rPr>
      </w:pPr>
      <w:r w:rsidRPr="00947511">
        <w:rPr>
          <w:rFonts w:ascii="Tahoma" w:hAnsi="Tahoma" w:cs="Tahoma"/>
          <w:sz w:val="20"/>
          <w:szCs w:val="20"/>
        </w:rPr>
        <w:t>appreciate and take an active role in the learning process</w:t>
      </w:r>
    </w:p>
    <w:p w:rsidR="00234637" w:rsidRPr="00947511" w:rsidRDefault="00234637" w:rsidP="00234637">
      <w:pPr>
        <w:numPr>
          <w:ilvl w:val="0"/>
          <w:numId w:val="2"/>
        </w:numPr>
        <w:rPr>
          <w:rFonts w:ascii="Tahoma" w:hAnsi="Tahoma" w:cs="Tahoma"/>
          <w:sz w:val="20"/>
          <w:szCs w:val="20"/>
        </w:rPr>
      </w:pPr>
      <w:r w:rsidRPr="00947511">
        <w:rPr>
          <w:rFonts w:ascii="Tahoma" w:hAnsi="Tahoma" w:cs="Tahoma"/>
          <w:sz w:val="20"/>
          <w:szCs w:val="20"/>
        </w:rPr>
        <w:t>be critical, reflective thinkers able to identify gaps in their own subject knowledge &amp; understanding and to identify how they can ‘fill’ those gaps</w:t>
      </w:r>
    </w:p>
    <w:p w:rsidR="00234637" w:rsidRPr="00947511" w:rsidRDefault="00234637" w:rsidP="00234637">
      <w:pPr>
        <w:numPr>
          <w:ilvl w:val="0"/>
          <w:numId w:val="2"/>
        </w:numPr>
        <w:rPr>
          <w:rFonts w:ascii="Tahoma" w:hAnsi="Tahoma" w:cs="Tahoma"/>
          <w:sz w:val="20"/>
          <w:szCs w:val="20"/>
        </w:rPr>
      </w:pPr>
      <w:r w:rsidRPr="00947511">
        <w:rPr>
          <w:rFonts w:ascii="Tahoma" w:hAnsi="Tahoma" w:cs="Tahoma"/>
          <w:sz w:val="20"/>
          <w:szCs w:val="20"/>
        </w:rPr>
        <w:t>inform their teaching and their pupil’s learning</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iCs/>
          <w:sz w:val="20"/>
          <w:szCs w:val="20"/>
        </w:rPr>
        <w:t>These aspirations not only pave the way for progression within the TDA Standards but also relate directly to the attributes and academi</w:t>
      </w:r>
      <w:r w:rsidR="00E10D05">
        <w:rPr>
          <w:rFonts w:ascii="Tahoma" w:hAnsi="Tahoma" w:cs="Tahoma"/>
          <w:iCs/>
          <w:sz w:val="20"/>
          <w:szCs w:val="20"/>
        </w:rPr>
        <w:t>c rigour associated with Master</w:t>
      </w:r>
      <w:r w:rsidRPr="00947511">
        <w:rPr>
          <w:rFonts w:ascii="Tahoma" w:hAnsi="Tahoma" w:cs="Tahoma"/>
          <w:iCs/>
          <w:sz w:val="20"/>
          <w:szCs w:val="20"/>
        </w:rPr>
        <w:t>s level study (an important factor considering this is increasingly th</w:t>
      </w:r>
      <w:r w:rsidR="00947511">
        <w:rPr>
          <w:rFonts w:ascii="Tahoma" w:hAnsi="Tahoma" w:cs="Tahoma"/>
          <w:iCs/>
          <w:sz w:val="20"/>
          <w:szCs w:val="20"/>
        </w:rPr>
        <w:t>e established route for teacher</w:t>
      </w:r>
      <w:r w:rsidRPr="00947511">
        <w:rPr>
          <w:rFonts w:ascii="Tahoma" w:hAnsi="Tahoma" w:cs="Tahoma"/>
          <w:iCs/>
          <w:sz w:val="20"/>
          <w:szCs w:val="20"/>
        </w:rPr>
        <w:t xml:space="preserve"> training throughout the </w:t>
      </w:r>
      <w:smartTag w:uri="urn:schemas-microsoft-com:office:smarttags" w:element="place">
        <w:smartTag w:uri="urn:schemas-microsoft-com:office:smarttags" w:element="country-region">
          <w:r w:rsidRPr="00947511">
            <w:rPr>
              <w:rFonts w:ascii="Tahoma" w:hAnsi="Tahoma" w:cs="Tahoma"/>
              <w:iCs/>
              <w:sz w:val="20"/>
              <w:szCs w:val="20"/>
            </w:rPr>
            <w:t>UK</w:t>
          </w:r>
        </w:smartTag>
      </w:smartTag>
      <w:r w:rsidRPr="00947511">
        <w:rPr>
          <w:rFonts w:ascii="Tahoma" w:hAnsi="Tahoma" w:cs="Tahoma"/>
          <w:iCs/>
          <w:sz w:val="20"/>
          <w:szCs w:val="20"/>
        </w:rPr>
        <w:t>)</w:t>
      </w:r>
      <w:r w:rsidR="00947511">
        <w:rPr>
          <w:rFonts w:ascii="Tahoma" w:hAnsi="Tahoma" w:cs="Tahoma"/>
          <w:iCs/>
          <w:sz w:val="20"/>
          <w:szCs w:val="20"/>
        </w:rPr>
        <w:t>.</w:t>
      </w:r>
      <w:r w:rsidRPr="00947511">
        <w:rPr>
          <w:rFonts w:ascii="Tahoma" w:hAnsi="Tahoma" w:cs="Tahoma"/>
          <w:sz w:val="20"/>
          <w:szCs w:val="20"/>
        </w:rPr>
        <w:t xml:space="preserve">  </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8"/>
          <w:szCs w:val="28"/>
        </w:rPr>
      </w:pPr>
      <w:r w:rsidRPr="00947511">
        <w:rPr>
          <w:rFonts w:ascii="Tahoma" w:hAnsi="Tahoma" w:cs="Tahoma"/>
          <w:sz w:val="28"/>
          <w:szCs w:val="28"/>
        </w:rPr>
        <w:t>Methodology</w:t>
      </w:r>
    </w:p>
    <w:p w:rsidR="00234637" w:rsidRPr="00947511" w:rsidRDefault="002B3F86" w:rsidP="00234637">
      <w:pPr>
        <w:rPr>
          <w:rFonts w:ascii="Tahoma" w:hAnsi="Tahoma" w:cs="Tahoma"/>
          <w:sz w:val="20"/>
          <w:szCs w:val="20"/>
        </w:rPr>
      </w:pPr>
      <w:r w:rsidRPr="00947511">
        <w:rPr>
          <w:rFonts w:ascii="Tahoma" w:hAnsi="Tahoma" w:cs="Tahoma"/>
          <w:sz w:val="20"/>
          <w:szCs w:val="20"/>
        </w:rPr>
        <w:t xml:space="preserve">An opportunist </w:t>
      </w:r>
      <w:r w:rsidR="00234637" w:rsidRPr="00947511">
        <w:rPr>
          <w:rFonts w:ascii="Tahoma" w:hAnsi="Tahoma" w:cs="Tahoma"/>
          <w:sz w:val="20"/>
          <w:szCs w:val="20"/>
        </w:rPr>
        <w:t>sample was drawn from two cohorts of students, one in the first year of a two year PGCE programme, the other in the second year of a BSc QTS programme. Both followed the same Biol</w:t>
      </w:r>
      <w:r w:rsidRPr="00947511">
        <w:rPr>
          <w:rFonts w:ascii="Tahoma" w:hAnsi="Tahoma" w:cs="Tahoma"/>
          <w:sz w:val="20"/>
          <w:szCs w:val="20"/>
        </w:rPr>
        <w:t xml:space="preserve">ogical Principles modules (n = 12 students comprising 7 PGCE students and 5 </w:t>
      </w:r>
      <w:r w:rsidR="00234637" w:rsidRPr="00947511">
        <w:rPr>
          <w:rFonts w:ascii="Tahoma" w:hAnsi="Tahoma" w:cs="Tahoma"/>
          <w:sz w:val="20"/>
          <w:szCs w:val="20"/>
        </w:rPr>
        <w:t>BSc QTS students</w:t>
      </w:r>
      <w:r w:rsidRPr="00947511">
        <w:rPr>
          <w:rFonts w:ascii="Tahoma" w:hAnsi="Tahoma" w:cs="Tahoma"/>
          <w:sz w:val="20"/>
          <w:szCs w:val="20"/>
        </w:rPr>
        <w:t>).</w:t>
      </w:r>
      <w:r w:rsidR="00234637" w:rsidRPr="00947511">
        <w:rPr>
          <w:rFonts w:ascii="Tahoma" w:hAnsi="Tahoma" w:cs="Tahoma"/>
          <w:sz w:val="20"/>
          <w:szCs w:val="20"/>
        </w:rPr>
        <w:t xml:space="preserve">  The two cohorts were together for the first module running in the autumn 2006, but they took the second modules separately in the spring / summer 2007 owing to other commitments within their various programmes.  This paper will focus on the findings from the first module which both cohorts were assessed on in similar ways.  At the beginning of the module</w:t>
      </w:r>
      <w:r w:rsidR="00F04C6F" w:rsidRPr="00947511">
        <w:rPr>
          <w:rFonts w:ascii="Tahoma" w:hAnsi="Tahoma" w:cs="Tahoma"/>
          <w:sz w:val="20"/>
          <w:szCs w:val="20"/>
        </w:rPr>
        <w:t xml:space="preserve"> it was explained that there would be</w:t>
      </w:r>
      <w:r w:rsidR="00234637" w:rsidRPr="00947511">
        <w:rPr>
          <w:rFonts w:ascii="Tahoma" w:hAnsi="Tahoma" w:cs="Tahoma"/>
          <w:sz w:val="20"/>
          <w:szCs w:val="20"/>
        </w:rPr>
        <w:t xml:space="preserve"> a strong focus on independent learning and with a specific emphasis on the student taking ownership for their learning.  In order to support and assist the student in this support</w:t>
      </w:r>
      <w:r w:rsidR="00E10D05">
        <w:rPr>
          <w:rFonts w:ascii="Tahoma" w:hAnsi="Tahoma" w:cs="Tahoma"/>
          <w:sz w:val="20"/>
          <w:szCs w:val="20"/>
        </w:rPr>
        <w:t xml:space="preserve">, </w:t>
      </w:r>
      <w:r w:rsidR="00947511">
        <w:rPr>
          <w:rFonts w:ascii="Tahoma" w:hAnsi="Tahoma" w:cs="Tahoma"/>
          <w:sz w:val="20"/>
          <w:szCs w:val="20"/>
        </w:rPr>
        <w:t>information was</w:t>
      </w:r>
      <w:r w:rsidR="00234637" w:rsidRPr="00947511">
        <w:rPr>
          <w:rFonts w:ascii="Tahoma" w:hAnsi="Tahoma" w:cs="Tahoma"/>
          <w:sz w:val="20"/>
          <w:szCs w:val="20"/>
        </w:rPr>
        <w:t xml:space="preserve"> made available</w:t>
      </w:r>
      <w:r w:rsidR="00947511">
        <w:rPr>
          <w:rFonts w:ascii="Tahoma" w:hAnsi="Tahoma" w:cs="Tahoma"/>
          <w:sz w:val="20"/>
          <w:szCs w:val="20"/>
        </w:rPr>
        <w:t>: t</w:t>
      </w:r>
      <w:r w:rsidR="00234637" w:rsidRPr="00947511">
        <w:rPr>
          <w:rFonts w:ascii="Tahoma" w:hAnsi="Tahoma" w:cs="Tahoma"/>
          <w:sz w:val="20"/>
          <w:szCs w:val="20"/>
        </w:rPr>
        <w:t>his included an outline scheme of work for the module, detailed lesson plans with clear intended learning ou</w:t>
      </w:r>
      <w:r w:rsidR="00F04C6F" w:rsidRPr="00947511">
        <w:rPr>
          <w:rFonts w:ascii="Tahoma" w:hAnsi="Tahoma" w:cs="Tahoma"/>
          <w:sz w:val="20"/>
          <w:szCs w:val="20"/>
        </w:rPr>
        <w:t>tcomes available approximately 5</w:t>
      </w:r>
      <w:r w:rsidR="00234637" w:rsidRPr="00947511">
        <w:rPr>
          <w:rFonts w:ascii="Tahoma" w:hAnsi="Tahoma" w:cs="Tahoma"/>
          <w:sz w:val="20"/>
          <w:szCs w:val="20"/>
        </w:rPr>
        <w:t xml:space="preserve"> days before each session, the accompanying power point presentation and any other relevant material or suggested re</w:t>
      </w:r>
      <w:r w:rsidR="00F04C6F" w:rsidRPr="00947511">
        <w:rPr>
          <w:rFonts w:ascii="Tahoma" w:hAnsi="Tahoma" w:cs="Tahoma"/>
          <w:sz w:val="20"/>
          <w:szCs w:val="20"/>
        </w:rPr>
        <w:t>ading</w:t>
      </w:r>
      <w:r w:rsidR="00234637" w:rsidRPr="00947511">
        <w:rPr>
          <w:rFonts w:ascii="Tahoma" w:hAnsi="Tahoma" w:cs="Tahoma"/>
          <w:sz w:val="20"/>
          <w:szCs w:val="20"/>
        </w:rPr>
        <w:t xml:space="preserve">. A learning log template was made available for the students to </w:t>
      </w:r>
      <w:r w:rsidR="00F04C6F" w:rsidRPr="00947511">
        <w:rPr>
          <w:rFonts w:ascii="Tahoma" w:hAnsi="Tahoma" w:cs="Tahoma"/>
          <w:sz w:val="20"/>
          <w:szCs w:val="20"/>
        </w:rPr>
        <w:t>use</w:t>
      </w:r>
      <w:r w:rsidR="00234637" w:rsidRPr="00947511">
        <w:rPr>
          <w:rFonts w:ascii="Tahoma" w:hAnsi="Tahoma" w:cs="Tahoma"/>
          <w:sz w:val="20"/>
          <w:szCs w:val="20"/>
        </w:rPr>
        <w:t xml:space="preserve"> before and after each session.  All resources were made available via a Blackboard</w:t>
      </w:r>
      <w:r w:rsidR="00F04C6F" w:rsidRPr="00947511">
        <w:rPr>
          <w:rFonts w:ascii="Tahoma" w:hAnsi="Tahoma" w:cs="Tahoma"/>
          <w:sz w:val="20"/>
          <w:szCs w:val="20"/>
        </w:rPr>
        <w:t xml:space="preserve"> (virtual learning environment) site</w:t>
      </w:r>
      <w:r w:rsidR="00234637" w:rsidRPr="00947511">
        <w:rPr>
          <w:rFonts w:ascii="Tahoma" w:hAnsi="Tahoma" w:cs="Tahoma"/>
          <w:sz w:val="20"/>
          <w:szCs w:val="20"/>
        </w:rPr>
        <w:t xml:space="preserve">.  Problem solving tasks were also made available at the end of each teaching unit as a means of summarising and revisiting key aspects of the unit.  The </w:t>
      </w:r>
      <w:r w:rsidR="0042474A">
        <w:rPr>
          <w:rFonts w:ascii="Tahoma" w:hAnsi="Tahoma" w:cs="Tahoma"/>
          <w:sz w:val="20"/>
          <w:szCs w:val="20"/>
        </w:rPr>
        <w:t>module broadly followed the SNAB’</w:t>
      </w:r>
      <w:r w:rsidR="00234637" w:rsidRPr="00947511">
        <w:rPr>
          <w:rFonts w:ascii="Tahoma" w:hAnsi="Tahoma" w:cs="Tahoma"/>
          <w:sz w:val="20"/>
          <w:szCs w:val="20"/>
        </w:rPr>
        <w:t xml:space="preserve">s </w:t>
      </w:r>
      <w:r w:rsidR="00FD67E4" w:rsidRPr="00947511">
        <w:rPr>
          <w:rFonts w:ascii="Tahoma" w:hAnsi="Tahoma" w:cs="Tahoma"/>
          <w:sz w:val="20"/>
          <w:szCs w:val="20"/>
        </w:rPr>
        <w:t>‘</w:t>
      </w:r>
      <w:r w:rsidR="005649ED">
        <w:rPr>
          <w:rFonts w:ascii="Tahoma" w:hAnsi="Tahoma" w:cs="Tahoma"/>
          <w:sz w:val="20"/>
          <w:szCs w:val="20"/>
        </w:rPr>
        <w:t>A’ l</w:t>
      </w:r>
      <w:r w:rsidR="00234637" w:rsidRPr="00947511">
        <w:rPr>
          <w:rFonts w:ascii="Tahoma" w:hAnsi="Tahoma" w:cs="Tahoma"/>
          <w:sz w:val="20"/>
          <w:szCs w:val="20"/>
        </w:rPr>
        <w:t>evel Biology themes (</w:t>
      </w:r>
      <w:r w:rsidR="004B5B61">
        <w:rPr>
          <w:rFonts w:ascii="Tahoma" w:hAnsi="Tahoma" w:cs="Tahoma"/>
          <w:sz w:val="20"/>
          <w:szCs w:val="20"/>
        </w:rPr>
        <w:t>SNAB, 2005</w:t>
      </w:r>
      <w:r w:rsidR="00234637" w:rsidRPr="00947511">
        <w:rPr>
          <w:rFonts w:ascii="Tahoma" w:hAnsi="Tahoma" w:cs="Tahoma"/>
          <w:sz w:val="20"/>
          <w:szCs w:val="20"/>
        </w:rPr>
        <w:t>) and set the principle biological concepts in a contemporary context.</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After 6 weeks the students were given an initial questionnaire which sort</w:t>
      </w:r>
      <w:r w:rsidR="005649ED">
        <w:rPr>
          <w:rFonts w:ascii="Tahoma" w:hAnsi="Tahoma" w:cs="Tahoma"/>
          <w:sz w:val="20"/>
          <w:szCs w:val="20"/>
        </w:rPr>
        <w:t>s</w:t>
      </w:r>
      <w:r w:rsidRPr="00947511">
        <w:rPr>
          <w:rFonts w:ascii="Tahoma" w:hAnsi="Tahoma" w:cs="Tahoma"/>
          <w:sz w:val="20"/>
          <w:szCs w:val="20"/>
        </w:rPr>
        <w:t xml:space="preserve"> information on the amount of time they spent on biology self-study per week, the information sources used, how useful they found the information on Blackboard and suggestions to make their self-study more effective.  A further questionnaire was issued after the examination period in January and before the start of the second module.  This focused on the effectiveness of th</w:t>
      </w:r>
      <w:r w:rsidR="00FD67E4" w:rsidRPr="00947511">
        <w:rPr>
          <w:rFonts w:ascii="Tahoma" w:hAnsi="Tahoma" w:cs="Tahoma"/>
          <w:sz w:val="20"/>
          <w:szCs w:val="20"/>
        </w:rPr>
        <w:t>eir revision.  I</w:t>
      </w:r>
      <w:r w:rsidRPr="00947511">
        <w:rPr>
          <w:rFonts w:ascii="Tahoma" w:hAnsi="Tahoma" w:cs="Tahoma"/>
          <w:sz w:val="20"/>
          <w:szCs w:val="20"/>
        </w:rPr>
        <w:t xml:space="preserve">nformation </w:t>
      </w:r>
      <w:r w:rsidR="00FD67E4" w:rsidRPr="00947511">
        <w:rPr>
          <w:rFonts w:ascii="Tahoma" w:hAnsi="Tahoma" w:cs="Tahoma"/>
          <w:sz w:val="20"/>
          <w:szCs w:val="20"/>
        </w:rPr>
        <w:t xml:space="preserve">was sought </w:t>
      </w:r>
      <w:r w:rsidR="00947511">
        <w:rPr>
          <w:rFonts w:ascii="Tahoma" w:hAnsi="Tahoma" w:cs="Tahoma"/>
          <w:sz w:val="20"/>
          <w:szCs w:val="20"/>
        </w:rPr>
        <w:t>concerning</w:t>
      </w:r>
      <w:r w:rsidRPr="00947511">
        <w:rPr>
          <w:rFonts w:ascii="Tahoma" w:hAnsi="Tahoma" w:cs="Tahoma"/>
          <w:sz w:val="20"/>
          <w:szCs w:val="20"/>
        </w:rPr>
        <w:t xml:space="preserve"> the amount of time they spent on revision prior to the examination period, the sources of information they used</w:t>
      </w:r>
      <w:r w:rsidR="00FD67E4" w:rsidRPr="00947511">
        <w:rPr>
          <w:rFonts w:ascii="Tahoma" w:hAnsi="Tahoma" w:cs="Tahoma"/>
          <w:sz w:val="20"/>
          <w:szCs w:val="20"/>
        </w:rPr>
        <w:t xml:space="preserve"> for revision purposes and the</w:t>
      </w:r>
      <w:r w:rsidRPr="00947511">
        <w:rPr>
          <w:rFonts w:ascii="Tahoma" w:hAnsi="Tahoma" w:cs="Tahoma"/>
          <w:sz w:val="20"/>
          <w:szCs w:val="20"/>
        </w:rPr>
        <w:t xml:space="preserve"> perceived value of their revision process</w:t>
      </w:r>
      <w:r w:rsidR="00FD67E4" w:rsidRPr="00947511">
        <w:rPr>
          <w:rFonts w:ascii="Tahoma" w:hAnsi="Tahoma" w:cs="Tahoma"/>
          <w:sz w:val="20"/>
          <w:szCs w:val="20"/>
        </w:rPr>
        <w:t xml:space="preserve">.  They were also invited to </w:t>
      </w:r>
      <w:r w:rsidR="00C051BF" w:rsidRPr="00947511">
        <w:rPr>
          <w:rFonts w:ascii="Tahoma" w:hAnsi="Tahoma" w:cs="Tahoma"/>
          <w:sz w:val="20"/>
          <w:szCs w:val="20"/>
        </w:rPr>
        <w:t>comment on</w:t>
      </w:r>
      <w:r w:rsidR="00FD67E4" w:rsidRPr="00947511">
        <w:rPr>
          <w:rFonts w:ascii="Tahoma" w:hAnsi="Tahoma" w:cs="Tahoma"/>
          <w:sz w:val="20"/>
          <w:szCs w:val="20"/>
        </w:rPr>
        <w:t xml:space="preserve"> t</w:t>
      </w:r>
      <w:r w:rsidRPr="00947511">
        <w:rPr>
          <w:rFonts w:ascii="Tahoma" w:hAnsi="Tahoma" w:cs="Tahoma"/>
          <w:sz w:val="20"/>
          <w:szCs w:val="20"/>
        </w:rPr>
        <w:t xml:space="preserve">he teaching and learning approach used throughout the module. This was related to the outcomes achieved through the examination process.  Two further questionnaires were issued during and at the end of the second module.  All questionnaires were anonymous.  </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BA2819" w:rsidRPr="00947511" w:rsidRDefault="00234637" w:rsidP="00BA2819">
      <w:pPr>
        <w:rPr>
          <w:rFonts w:ascii="Tahoma" w:hAnsi="Tahoma" w:cs="Tahoma"/>
          <w:sz w:val="28"/>
          <w:szCs w:val="28"/>
        </w:rPr>
      </w:pPr>
      <w:r w:rsidRPr="00947511">
        <w:rPr>
          <w:rFonts w:ascii="Tahoma" w:hAnsi="Tahoma" w:cs="Tahoma"/>
          <w:sz w:val="28"/>
          <w:szCs w:val="28"/>
        </w:rPr>
        <w:t>Findings</w:t>
      </w:r>
    </w:p>
    <w:p w:rsidR="00234637" w:rsidRPr="00947511" w:rsidRDefault="00810F61" w:rsidP="00BA2819">
      <w:pPr>
        <w:rPr>
          <w:rFonts w:ascii="Tahoma" w:hAnsi="Tahoma" w:cs="Tahoma"/>
          <w:sz w:val="28"/>
          <w:szCs w:val="28"/>
        </w:rPr>
      </w:pPr>
      <w:r w:rsidRPr="00947511">
        <w:rPr>
          <w:rFonts w:ascii="Tahoma" w:hAnsi="Tahoma" w:cs="Tahoma"/>
          <w:sz w:val="20"/>
          <w:szCs w:val="20"/>
        </w:rPr>
        <w:t xml:space="preserve">Responses to </w:t>
      </w:r>
      <w:r w:rsidR="00234637" w:rsidRPr="00947511">
        <w:rPr>
          <w:rFonts w:ascii="Tahoma" w:hAnsi="Tahoma" w:cs="Tahoma"/>
          <w:sz w:val="20"/>
          <w:szCs w:val="20"/>
        </w:rPr>
        <w:t xml:space="preserve">the initial questionnaire </w:t>
      </w:r>
      <w:r w:rsidRPr="00947511">
        <w:rPr>
          <w:rFonts w:ascii="Tahoma" w:hAnsi="Tahoma" w:cs="Tahoma"/>
          <w:sz w:val="20"/>
          <w:szCs w:val="20"/>
        </w:rPr>
        <w:t xml:space="preserve">indicated that the students </w:t>
      </w:r>
      <w:r w:rsidR="00234637" w:rsidRPr="00947511">
        <w:rPr>
          <w:rFonts w:ascii="Tahoma" w:hAnsi="Tahoma" w:cs="Tahoma"/>
          <w:sz w:val="20"/>
          <w:szCs w:val="20"/>
        </w:rPr>
        <w:t xml:space="preserve">were </w:t>
      </w:r>
      <w:r w:rsidRPr="00947511">
        <w:rPr>
          <w:rFonts w:ascii="Tahoma" w:hAnsi="Tahoma" w:cs="Tahoma"/>
          <w:sz w:val="20"/>
          <w:szCs w:val="20"/>
        </w:rPr>
        <w:t xml:space="preserve">spending </w:t>
      </w:r>
      <w:r w:rsidR="00234637" w:rsidRPr="00947511">
        <w:rPr>
          <w:rFonts w:ascii="Tahoma" w:hAnsi="Tahoma" w:cs="Tahoma"/>
          <w:sz w:val="20"/>
          <w:szCs w:val="20"/>
        </w:rPr>
        <w:t xml:space="preserve">between one and three hours </w:t>
      </w:r>
      <w:r w:rsidRPr="00947511">
        <w:rPr>
          <w:rFonts w:ascii="Tahoma" w:hAnsi="Tahoma" w:cs="Tahoma"/>
          <w:sz w:val="20"/>
          <w:szCs w:val="20"/>
        </w:rPr>
        <w:t xml:space="preserve">on </w:t>
      </w:r>
      <w:r w:rsidR="00234637" w:rsidRPr="00947511">
        <w:rPr>
          <w:rFonts w:ascii="Tahoma" w:hAnsi="Tahoma" w:cs="Tahoma"/>
          <w:sz w:val="20"/>
          <w:szCs w:val="20"/>
        </w:rPr>
        <w:t>self study per week in relation to the taught sessions (see graph 1 below).  On average, approximately two hours per week revision was being carried out in the period prior to the exam. The two students who spent less than one hour per week on biology revision in the run up to the exams were both confident in their own knowledge of biology and therefore felt prepared for the exam.  One of these students gained average marks</w:t>
      </w:r>
      <w:r w:rsidRPr="00947511">
        <w:rPr>
          <w:rFonts w:ascii="Tahoma" w:hAnsi="Tahoma" w:cs="Tahoma"/>
          <w:sz w:val="20"/>
          <w:szCs w:val="20"/>
        </w:rPr>
        <w:t xml:space="preserve"> for the cohort, </w:t>
      </w:r>
      <w:r w:rsidR="00234637" w:rsidRPr="00947511">
        <w:rPr>
          <w:rFonts w:ascii="Tahoma" w:hAnsi="Tahoma" w:cs="Tahoma"/>
          <w:sz w:val="20"/>
          <w:szCs w:val="20"/>
        </w:rPr>
        <w:t xml:space="preserve">but felt </w:t>
      </w:r>
      <w:r w:rsidR="005649ED">
        <w:rPr>
          <w:rFonts w:ascii="Tahoma" w:hAnsi="Tahoma" w:cs="Tahoma"/>
          <w:sz w:val="20"/>
          <w:szCs w:val="20"/>
        </w:rPr>
        <w:t>he could have done better if he ha</w:t>
      </w:r>
      <w:r w:rsidR="00234637" w:rsidRPr="00947511">
        <w:rPr>
          <w:rFonts w:ascii="Tahoma" w:hAnsi="Tahoma" w:cs="Tahoma"/>
          <w:sz w:val="20"/>
          <w:szCs w:val="20"/>
        </w:rPr>
        <w:t xml:space="preserve">d spent more time revising the work.  He was however a regular attendee at the taught sessions and had been putting in </w:t>
      </w:r>
      <w:r w:rsidR="00234637" w:rsidRPr="00947511">
        <w:rPr>
          <w:rFonts w:ascii="Tahoma" w:hAnsi="Tahoma" w:cs="Tahoma"/>
          <w:sz w:val="20"/>
          <w:szCs w:val="20"/>
        </w:rPr>
        <w:lastRenderedPageBreak/>
        <w:t xml:space="preserve">at least 2 hours per week in self study.  The other student failed his exam and stated that although he was a strong believer in self study he recognised the need </w:t>
      </w:r>
      <w:r w:rsidRPr="00947511">
        <w:rPr>
          <w:rFonts w:ascii="Tahoma" w:hAnsi="Tahoma" w:cs="Tahoma"/>
          <w:sz w:val="20"/>
          <w:szCs w:val="20"/>
        </w:rPr>
        <w:t xml:space="preserve">to </w:t>
      </w:r>
      <w:r w:rsidR="00234637" w:rsidRPr="00947511">
        <w:rPr>
          <w:rFonts w:ascii="Tahoma" w:hAnsi="Tahoma" w:cs="Tahoma"/>
          <w:sz w:val="20"/>
          <w:szCs w:val="20"/>
        </w:rPr>
        <w:t>attend the taught sessions and put in the self study time during the module.  It was apparent that he had</w:t>
      </w:r>
      <w:r w:rsidR="005649ED">
        <w:rPr>
          <w:rFonts w:ascii="Tahoma" w:hAnsi="Tahoma" w:cs="Tahoma"/>
          <w:sz w:val="20"/>
          <w:szCs w:val="20"/>
        </w:rPr>
        <w:t xml:space="preserve"> no</w:t>
      </w:r>
      <w:r w:rsidR="00234637" w:rsidRPr="00947511">
        <w:rPr>
          <w:rFonts w:ascii="Tahoma" w:hAnsi="Tahoma" w:cs="Tahoma"/>
          <w:sz w:val="20"/>
          <w:szCs w:val="20"/>
        </w:rPr>
        <w:t>t done this. Being frequently absent from the taught sessions he did not complete the initial questionnaire so there is no data available for him regarding self study time during the module.</w:t>
      </w:r>
    </w:p>
    <w:p w:rsidR="00234637" w:rsidRPr="00947511" w:rsidRDefault="00234637" w:rsidP="00234637">
      <w:pPr>
        <w:rPr>
          <w:rFonts w:ascii="Tahoma" w:hAnsi="Tahoma" w:cs="Tahoma"/>
          <w:sz w:val="28"/>
          <w:szCs w:val="28"/>
        </w:rPr>
      </w:pPr>
    </w:p>
    <w:p w:rsidR="00234637" w:rsidRPr="00947511" w:rsidRDefault="00771249" w:rsidP="00234637">
      <w:pPr>
        <w:rPr>
          <w:rFonts w:ascii="Tahoma" w:hAnsi="Tahoma" w:cs="Tahoma"/>
          <w:sz w:val="20"/>
          <w:szCs w:val="20"/>
        </w:rPr>
      </w:pPr>
      <w:r>
        <w:rPr>
          <w:noProof/>
        </w:rPr>
        <w:drawing>
          <wp:inline distT="0" distB="0" distL="0" distR="0">
            <wp:extent cx="46863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686300" cy="2743200"/>
                    </a:xfrm>
                    <a:prstGeom prst="rect">
                      <a:avLst/>
                    </a:prstGeom>
                    <a:noFill/>
                    <a:ln w="9525">
                      <a:noFill/>
                      <a:miter lim="800000"/>
                      <a:headEnd/>
                      <a:tailEnd/>
                    </a:ln>
                  </pic:spPr>
                </pic:pic>
              </a:graphicData>
            </a:graphic>
          </wp:inline>
        </w:drawing>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ab/>
      </w:r>
      <w:r w:rsidRPr="00947511">
        <w:rPr>
          <w:rFonts w:ascii="Tahoma" w:hAnsi="Tahoma" w:cs="Tahoma"/>
          <w:sz w:val="20"/>
          <w:szCs w:val="20"/>
        </w:rPr>
        <w:tab/>
      </w:r>
      <w:r w:rsidRPr="00947511">
        <w:rPr>
          <w:rFonts w:ascii="Tahoma" w:hAnsi="Tahoma" w:cs="Tahoma"/>
          <w:sz w:val="20"/>
          <w:szCs w:val="20"/>
        </w:rPr>
        <w:tab/>
      </w:r>
      <w:r w:rsidRPr="00947511">
        <w:rPr>
          <w:rFonts w:ascii="Tahoma" w:hAnsi="Tahoma" w:cs="Tahoma"/>
          <w:sz w:val="20"/>
          <w:szCs w:val="20"/>
        </w:rPr>
        <w:tab/>
        <w:t>(Graph 1)</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When asked about the resources used for self study purposes both cohorts readily referred to the session information available on Blackboard (see Graph 2 below).  The lesson plan and Power Point presentation se</w:t>
      </w:r>
      <w:r w:rsidR="00761C2B" w:rsidRPr="00947511">
        <w:rPr>
          <w:rFonts w:ascii="Tahoma" w:hAnsi="Tahoma" w:cs="Tahoma"/>
          <w:sz w:val="20"/>
          <w:szCs w:val="20"/>
        </w:rPr>
        <w:t>rved to focus the self study, whilst</w:t>
      </w:r>
      <w:r w:rsidRPr="00947511">
        <w:rPr>
          <w:rFonts w:ascii="Tahoma" w:hAnsi="Tahoma" w:cs="Tahoma"/>
          <w:sz w:val="20"/>
          <w:szCs w:val="20"/>
        </w:rPr>
        <w:t xml:space="preserve"> areas for development were supported predominantly by reference to </w:t>
      </w:r>
      <w:r w:rsidR="00F4329C">
        <w:rPr>
          <w:rFonts w:ascii="Tahoma" w:hAnsi="Tahoma" w:cs="Tahoma"/>
          <w:sz w:val="20"/>
          <w:szCs w:val="20"/>
        </w:rPr>
        <w:t>‘</w:t>
      </w:r>
      <w:r w:rsidRPr="00947511">
        <w:rPr>
          <w:rFonts w:ascii="Tahoma" w:hAnsi="Tahoma" w:cs="Tahoma"/>
          <w:sz w:val="20"/>
          <w:szCs w:val="20"/>
        </w:rPr>
        <w:t>A</w:t>
      </w:r>
      <w:r w:rsidR="005649ED">
        <w:rPr>
          <w:rFonts w:ascii="Tahoma" w:hAnsi="Tahoma" w:cs="Tahoma"/>
          <w:sz w:val="20"/>
          <w:szCs w:val="20"/>
        </w:rPr>
        <w:t>’</w:t>
      </w:r>
      <w:r w:rsidRPr="00947511">
        <w:rPr>
          <w:rFonts w:ascii="Tahoma" w:hAnsi="Tahoma" w:cs="Tahoma"/>
          <w:sz w:val="20"/>
          <w:szCs w:val="20"/>
        </w:rPr>
        <w:t xml:space="preserve"> level textbooks.  Significant emphasis was given to on-line resources and although the topic information available on Blackboard included hotlinks to selected sites, the students tended to use ‘Google’ and ‘Wikipedia’ searches as their initial and main information sources.  One student did make regular use of the New Scientist </w:t>
      </w:r>
      <w:r w:rsidR="00761C2B" w:rsidRPr="00947511">
        <w:rPr>
          <w:rFonts w:ascii="Tahoma" w:hAnsi="Tahoma" w:cs="Tahoma"/>
          <w:sz w:val="20"/>
          <w:szCs w:val="20"/>
        </w:rPr>
        <w:t>web</w:t>
      </w:r>
      <w:r w:rsidRPr="00947511">
        <w:rPr>
          <w:rFonts w:ascii="Tahoma" w:hAnsi="Tahoma" w:cs="Tahoma"/>
          <w:sz w:val="20"/>
          <w:szCs w:val="20"/>
        </w:rPr>
        <w:t xml:space="preserve">site as well </w:t>
      </w:r>
      <w:r w:rsidR="00947511">
        <w:rPr>
          <w:rFonts w:ascii="Tahoma" w:hAnsi="Tahoma" w:cs="Tahoma"/>
          <w:sz w:val="20"/>
          <w:szCs w:val="20"/>
        </w:rPr>
        <w:t xml:space="preserve">as </w:t>
      </w:r>
      <w:r w:rsidRPr="00947511">
        <w:rPr>
          <w:rFonts w:ascii="Tahoma" w:hAnsi="Tahoma" w:cs="Tahoma"/>
          <w:sz w:val="20"/>
          <w:szCs w:val="20"/>
        </w:rPr>
        <w:t xml:space="preserve">other e-journals available through the library.  He did however acknowledge ‘Wikipedia’ was his preferred initial research tool and </w:t>
      </w:r>
      <w:r w:rsidR="00761C2B" w:rsidRPr="00947511">
        <w:rPr>
          <w:rFonts w:ascii="Tahoma" w:hAnsi="Tahoma" w:cs="Tahoma"/>
          <w:sz w:val="20"/>
          <w:szCs w:val="20"/>
        </w:rPr>
        <w:t xml:space="preserve">interestingly </w:t>
      </w:r>
      <w:r w:rsidRPr="00947511">
        <w:rPr>
          <w:rFonts w:ascii="Tahoma" w:hAnsi="Tahoma" w:cs="Tahoma"/>
          <w:sz w:val="20"/>
          <w:szCs w:val="20"/>
        </w:rPr>
        <w:t>apologised</w:t>
      </w:r>
      <w:r w:rsidR="00761C2B" w:rsidRPr="00947511">
        <w:rPr>
          <w:rFonts w:ascii="Tahoma" w:hAnsi="Tahoma" w:cs="Tahoma"/>
          <w:sz w:val="20"/>
          <w:szCs w:val="20"/>
        </w:rPr>
        <w:t xml:space="preserve"> unprompted,</w:t>
      </w:r>
      <w:r w:rsidRPr="00947511">
        <w:rPr>
          <w:rFonts w:ascii="Tahoma" w:hAnsi="Tahoma" w:cs="Tahoma"/>
          <w:sz w:val="20"/>
          <w:szCs w:val="20"/>
        </w:rPr>
        <w:t xml:space="preserve"> on the questionnaire for this.  </w:t>
      </w:r>
    </w:p>
    <w:p w:rsidR="00234637" w:rsidRPr="00947511" w:rsidRDefault="00234637" w:rsidP="00234637">
      <w:pPr>
        <w:rPr>
          <w:rFonts w:ascii="Tahoma" w:hAnsi="Tahoma" w:cs="Tahoma"/>
          <w:sz w:val="20"/>
          <w:szCs w:val="20"/>
        </w:rPr>
      </w:pPr>
    </w:p>
    <w:p w:rsidR="00234637" w:rsidRPr="00947511" w:rsidRDefault="00234637" w:rsidP="00234637">
      <w:pPr>
        <w:rPr>
          <w:rFonts w:ascii="Arial" w:hAnsi="Arial" w:cs="Arial"/>
          <w:sz w:val="20"/>
          <w:szCs w:val="20"/>
        </w:rPr>
      </w:pPr>
      <w:r w:rsidRPr="00947511">
        <w:rPr>
          <w:rFonts w:ascii="Tahoma" w:hAnsi="Tahoma" w:cs="Tahoma"/>
          <w:sz w:val="20"/>
          <w:szCs w:val="20"/>
        </w:rPr>
        <w:t>When asked about the resources used for revision purposes the lesson plan and Power point featured significantly in the students’ responses (see Graph 2 below).  This was to be expected</w:t>
      </w:r>
      <w:r w:rsidR="00FA7C1F" w:rsidRPr="00947511">
        <w:rPr>
          <w:rFonts w:ascii="Tahoma" w:hAnsi="Tahoma" w:cs="Tahoma"/>
          <w:sz w:val="20"/>
          <w:szCs w:val="20"/>
        </w:rPr>
        <w:t xml:space="preserve"> as the students were informed that the examination would focus on the key terms and concepts identified in the individual lesson plans.  </w:t>
      </w:r>
      <w:r w:rsidRPr="00947511">
        <w:rPr>
          <w:rFonts w:ascii="Tahoma" w:hAnsi="Tahoma" w:cs="Tahoma"/>
          <w:sz w:val="20"/>
          <w:szCs w:val="20"/>
        </w:rPr>
        <w:t xml:space="preserve">I was </w:t>
      </w:r>
      <w:r w:rsidR="00FA7C1F" w:rsidRPr="00947511">
        <w:rPr>
          <w:rFonts w:ascii="Tahoma" w:hAnsi="Tahoma" w:cs="Tahoma"/>
          <w:sz w:val="20"/>
          <w:szCs w:val="20"/>
        </w:rPr>
        <w:t xml:space="preserve">however </w:t>
      </w:r>
      <w:r w:rsidRPr="00947511">
        <w:rPr>
          <w:rFonts w:ascii="Tahoma" w:hAnsi="Tahoma" w:cs="Tahoma"/>
          <w:sz w:val="20"/>
          <w:szCs w:val="20"/>
        </w:rPr>
        <w:t xml:space="preserve">concerned at the emphasis placed by the PGCE students on </w:t>
      </w:r>
      <w:r w:rsidR="005649ED">
        <w:rPr>
          <w:rFonts w:ascii="Tahoma" w:hAnsi="Tahoma" w:cs="Tahoma"/>
          <w:sz w:val="20"/>
          <w:szCs w:val="20"/>
        </w:rPr>
        <w:t>‘</w:t>
      </w:r>
      <w:r w:rsidRPr="00947511">
        <w:rPr>
          <w:rFonts w:ascii="Tahoma" w:hAnsi="Tahoma" w:cs="Tahoma"/>
          <w:sz w:val="20"/>
          <w:szCs w:val="20"/>
        </w:rPr>
        <w:t>A</w:t>
      </w:r>
      <w:r w:rsidR="005649ED">
        <w:rPr>
          <w:rFonts w:ascii="Tahoma" w:hAnsi="Tahoma" w:cs="Tahoma"/>
          <w:sz w:val="20"/>
          <w:szCs w:val="20"/>
        </w:rPr>
        <w:t>’</w:t>
      </w:r>
      <w:r w:rsidRPr="00947511">
        <w:rPr>
          <w:rFonts w:ascii="Tahoma" w:hAnsi="Tahoma" w:cs="Tahoma"/>
          <w:sz w:val="20"/>
          <w:szCs w:val="20"/>
        </w:rPr>
        <w:t xml:space="preserve"> </w:t>
      </w:r>
      <w:r w:rsidR="00947511">
        <w:rPr>
          <w:rFonts w:ascii="Tahoma" w:hAnsi="Tahoma" w:cs="Tahoma"/>
          <w:sz w:val="20"/>
          <w:szCs w:val="20"/>
        </w:rPr>
        <w:t xml:space="preserve">Level </w:t>
      </w:r>
      <w:r w:rsidRPr="00947511">
        <w:rPr>
          <w:rFonts w:ascii="Tahoma" w:hAnsi="Tahoma" w:cs="Tahoma"/>
          <w:sz w:val="20"/>
          <w:szCs w:val="20"/>
        </w:rPr>
        <w:t xml:space="preserve">text as the main revision resource.  Reduced emphasis was placed generally on their own notes although two BSc QTS students indicated that this was their main revision source.  The internet still featured significantly as a revision resource and at least one student from each cohort used this as their main source of revision.  </w:t>
      </w:r>
      <w:r w:rsidRPr="00947511">
        <w:rPr>
          <w:rFonts w:ascii="Arial" w:hAnsi="Arial" w:cs="Arial"/>
          <w:sz w:val="20"/>
          <w:szCs w:val="20"/>
        </w:rPr>
        <w:t>Those students who revised for less than 1 hr per week tended to use</w:t>
      </w:r>
      <w:r w:rsidR="005649ED">
        <w:rPr>
          <w:rFonts w:ascii="Arial" w:hAnsi="Arial" w:cs="Arial"/>
          <w:sz w:val="20"/>
          <w:szCs w:val="20"/>
        </w:rPr>
        <w:t xml:space="preserve"> ‘</w:t>
      </w:r>
      <w:r w:rsidRPr="00947511">
        <w:rPr>
          <w:rFonts w:ascii="Arial" w:hAnsi="Arial" w:cs="Arial"/>
          <w:sz w:val="20"/>
          <w:szCs w:val="20"/>
        </w:rPr>
        <w:t>A</w:t>
      </w:r>
      <w:r w:rsidR="005649ED">
        <w:rPr>
          <w:rFonts w:ascii="Arial" w:hAnsi="Arial" w:cs="Arial"/>
          <w:sz w:val="20"/>
          <w:szCs w:val="20"/>
        </w:rPr>
        <w:t>’</w:t>
      </w:r>
      <w:r w:rsidRPr="00947511">
        <w:rPr>
          <w:rFonts w:ascii="Arial" w:hAnsi="Arial" w:cs="Arial"/>
          <w:sz w:val="20"/>
          <w:szCs w:val="20"/>
        </w:rPr>
        <w:t xml:space="preserve"> level text as the main revision resource and Wikipedia for overview.</w:t>
      </w:r>
    </w:p>
    <w:p w:rsidR="00FA7C1F" w:rsidRPr="00947511" w:rsidRDefault="00FA7C1F" w:rsidP="00234637">
      <w:pPr>
        <w:rPr>
          <w:rFonts w:ascii="Arial" w:hAnsi="Arial" w:cs="Arial"/>
          <w:sz w:val="20"/>
          <w:szCs w:val="20"/>
        </w:rPr>
      </w:pPr>
    </w:p>
    <w:p w:rsidR="00FA7C1F" w:rsidRDefault="00FA7C1F" w:rsidP="00234637">
      <w:pPr>
        <w:rPr>
          <w:rFonts w:ascii="Arial" w:hAnsi="Arial" w:cs="Arial"/>
          <w:sz w:val="20"/>
          <w:szCs w:val="20"/>
        </w:rPr>
      </w:pPr>
    </w:p>
    <w:p w:rsidR="009402EA" w:rsidRPr="00947511" w:rsidRDefault="009402EA" w:rsidP="00234637">
      <w:pPr>
        <w:rPr>
          <w:rFonts w:ascii="Arial" w:hAnsi="Arial" w:cs="Arial"/>
          <w:sz w:val="20"/>
          <w:szCs w:val="20"/>
        </w:rPr>
      </w:pPr>
    </w:p>
    <w:p w:rsidR="00FA7C1F" w:rsidRPr="00947511" w:rsidRDefault="00FA7C1F" w:rsidP="00234637">
      <w:pPr>
        <w:rPr>
          <w:rFonts w:ascii="Tahoma" w:hAnsi="Tahoma" w:cs="Tahoma"/>
          <w:sz w:val="20"/>
          <w:szCs w:val="20"/>
        </w:rPr>
      </w:pPr>
    </w:p>
    <w:p w:rsidR="00947511" w:rsidRDefault="00947511" w:rsidP="00234637"/>
    <w:p w:rsidR="00947511" w:rsidRDefault="00947511" w:rsidP="00234637"/>
    <w:p w:rsidR="009402EA" w:rsidRDefault="009402EA" w:rsidP="00234637"/>
    <w:p w:rsidR="00234637" w:rsidRPr="00947511" w:rsidRDefault="00771249" w:rsidP="00234637">
      <w:r>
        <w:rPr>
          <w:noProof/>
        </w:rPr>
        <w:lastRenderedPageBreak/>
        <w:drawing>
          <wp:anchor distT="0" distB="0" distL="114300" distR="114300" simplePos="0" relativeHeight="251657216" behindDoc="0" locked="0" layoutInCell="1" allowOverlap="1">
            <wp:simplePos x="0" y="0"/>
            <wp:positionH relativeFrom="column">
              <wp:posOffset>9525</wp:posOffset>
            </wp:positionH>
            <wp:positionV relativeFrom="paragraph">
              <wp:posOffset>76200</wp:posOffset>
            </wp:positionV>
            <wp:extent cx="4715510" cy="2581275"/>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Pr="00947511" w:rsidRDefault="00234637" w:rsidP="00234637"/>
    <w:p w:rsidR="00234637" w:rsidRDefault="00234637" w:rsidP="00234637"/>
    <w:p w:rsidR="009402EA" w:rsidRDefault="009402EA" w:rsidP="00234637"/>
    <w:p w:rsidR="009402EA" w:rsidRPr="00947511" w:rsidRDefault="009402EA" w:rsidP="00234637"/>
    <w:p w:rsidR="00234637" w:rsidRPr="00947511" w:rsidRDefault="00234637" w:rsidP="00234637">
      <w:r w:rsidRPr="00947511">
        <w:tab/>
      </w:r>
      <w:r w:rsidRPr="00947511">
        <w:tab/>
      </w:r>
      <w:r w:rsidRPr="00947511">
        <w:tab/>
      </w:r>
      <w:r w:rsidRPr="00947511">
        <w:tab/>
        <w:t>(Graph 2)</w:t>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A comparison was made between the exam results of previous cohorts sitting a similar exam over the past 3 academic years.  Data for PGCE cohorts were available for the last 3 years but only 2 years worth of data for BSc QTS students were available.   Although the findings are inconclusive it can be seen from the graph that there is a generalised shift towards the higher grade categories over the years (see Graph 3 below).</w:t>
      </w:r>
    </w:p>
    <w:p w:rsidR="00FA7C1F" w:rsidRPr="00947511" w:rsidRDefault="00FA7C1F" w:rsidP="00234637">
      <w:pPr>
        <w:rPr>
          <w:rFonts w:ascii="Tahoma" w:hAnsi="Tahoma" w:cs="Tahoma"/>
          <w:sz w:val="20"/>
          <w:szCs w:val="20"/>
        </w:rPr>
      </w:pPr>
    </w:p>
    <w:p w:rsidR="00234637" w:rsidRPr="00947511" w:rsidRDefault="00771249" w:rsidP="00234637">
      <w:pPr>
        <w:rPr>
          <w:rFonts w:ascii="Tahoma" w:hAnsi="Tahoma" w:cs="Tahoma"/>
          <w:sz w:val="20"/>
          <w:szCs w:val="20"/>
        </w:rPr>
      </w:pPr>
      <w:r>
        <w:rPr>
          <w:rFonts w:ascii="Tahoma" w:hAnsi="Tahoma" w:cs="Tahoma"/>
          <w:noProof/>
          <w:sz w:val="20"/>
          <w:szCs w:val="20"/>
        </w:rPr>
        <w:drawing>
          <wp:anchor distT="0" distB="0" distL="114300" distR="114300" simplePos="0" relativeHeight="251658240" behindDoc="0" locked="0" layoutInCell="1" allowOverlap="1">
            <wp:simplePos x="0" y="0"/>
            <wp:positionH relativeFrom="column">
              <wp:posOffset>-38100</wp:posOffset>
            </wp:positionH>
            <wp:positionV relativeFrom="paragraph">
              <wp:posOffset>114935</wp:posOffset>
            </wp:positionV>
            <wp:extent cx="4677410" cy="2591435"/>
            <wp:effectExtent l="0" t="635" r="0" b="0"/>
            <wp:wrapNone/>
            <wp:docPr id="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p>
    <w:p w:rsidR="00234637" w:rsidRPr="00947511" w:rsidRDefault="00234637" w:rsidP="00234637">
      <w:pPr>
        <w:rPr>
          <w:rFonts w:ascii="Tahoma" w:hAnsi="Tahoma" w:cs="Tahoma"/>
          <w:sz w:val="20"/>
          <w:szCs w:val="20"/>
        </w:rPr>
      </w:pPr>
      <w:r w:rsidRPr="00947511">
        <w:rPr>
          <w:rFonts w:ascii="Tahoma" w:hAnsi="Tahoma" w:cs="Tahoma"/>
          <w:sz w:val="20"/>
          <w:szCs w:val="20"/>
        </w:rPr>
        <w:tab/>
      </w:r>
      <w:r w:rsidRPr="00947511">
        <w:rPr>
          <w:rFonts w:ascii="Tahoma" w:hAnsi="Tahoma" w:cs="Tahoma"/>
          <w:sz w:val="20"/>
          <w:szCs w:val="20"/>
        </w:rPr>
        <w:tab/>
      </w:r>
      <w:r w:rsidRPr="00947511">
        <w:rPr>
          <w:rFonts w:ascii="Tahoma" w:hAnsi="Tahoma" w:cs="Tahoma"/>
          <w:sz w:val="20"/>
          <w:szCs w:val="20"/>
        </w:rPr>
        <w:tab/>
      </w:r>
      <w:r w:rsidRPr="00947511">
        <w:rPr>
          <w:rFonts w:ascii="Tahoma" w:hAnsi="Tahoma" w:cs="Tahoma"/>
          <w:sz w:val="20"/>
          <w:szCs w:val="20"/>
        </w:rPr>
        <w:tab/>
        <w:t>(Graph 3)</w:t>
      </w:r>
    </w:p>
    <w:p w:rsidR="00234637" w:rsidRPr="00947511" w:rsidRDefault="00234637" w:rsidP="00234637">
      <w:pPr>
        <w:rPr>
          <w:rFonts w:ascii="Tahoma" w:hAnsi="Tahoma" w:cs="Tahoma"/>
          <w:sz w:val="28"/>
          <w:szCs w:val="28"/>
        </w:rPr>
      </w:pPr>
    </w:p>
    <w:p w:rsidR="00FA7C1F" w:rsidRDefault="009402EA" w:rsidP="00234637">
      <w:pPr>
        <w:rPr>
          <w:rFonts w:ascii="Tahoma" w:hAnsi="Tahoma" w:cs="Tahoma"/>
          <w:sz w:val="20"/>
          <w:szCs w:val="20"/>
        </w:rPr>
      </w:pPr>
      <w:r>
        <w:rPr>
          <w:rFonts w:ascii="Tahoma" w:hAnsi="Tahoma" w:cs="Tahoma"/>
          <w:sz w:val="20"/>
          <w:szCs w:val="20"/>
        </w:rPr>
        <w:t>G</w:t>
      </w:r>
      <w:r w:rsidR="00FA7C1F" w:rsidRPr="00947511">
        <w:rPr>
          <w:rFonts w:ascii="Tahoma" w:hAnsi="Tahoma" w:cs="Tahoma"/>
          <w:sz w:val="20"/>
          <w:szCs w:val="20"/>
        </w:rPr>
        <w:t xml:space="preserve">eneral feedback from the students concerning the approach taken and the emphasis given to self-study </w:t>
      </w:r>
      <w:r>
        <w:rPr>
          <w:rFonts w:ascii="Tahoma" w:hAnsi="Tahoma" w:cs="Tahoma"/>
          <w:sz w:val="20"/>
          <w:szCs w:val="20"/>
        </w:rPr>
        <w:t xml:space="preserve">was positive.  The availability of the session material well in advance enabled them to prepare and read up on the topic and made them feel more able to contribute during the sessions.  </w:t>
      </w:r>
    </w:p>
    <w:p w:rsidR="009402EA" w:rsidRPr="00947511" w:rsidRDefault="009402EA" w:rsidP="00234637">
      <w:pPr>
        <w:rPr>
          <w:rFonts w:ascii="Tahoma" w:hAnsi="Tahoma" w:cs="Tahoma"/>
          <w:sz w:val="28"/>
          <w:szCs w:val="28"/>
        </w:rPr>
      </w:pPr>
    </w:p>
    <w:p w:rsidR="00230A16" w:rsidRPr="00947511" w:rsidRDefault="00234637" w:rsidP="00234637">
      <w:pPr>
        <w:rPr>
          <w:rFonts w:ascii="Tahoma" w:hAnsi="Tahoma" w:cs="Tahoma"/>
          <w:sz w:val="28"/>
          <w:szCs w:val="28"/>
        </w:rPr>
      </w:pPr>
      <w:r w:rsidRPr="00947511">
        <w:rPr>
          <w:rFonts w:ascii="Tahoma" w:hAnsi="Tahoma" w:cs="Tahoma"/>
          <w:sz w:val="28"/>
          <w:szCs w:val="28"/>
        </w:rPr>
        <w:t>Discussion</w:t>
      </w:r>
    </w:p>
    <w:p w:rsidR="00230A16" w:rsidRPr="00947511" w:rsidRDefault="00FA7C1F" w:rsidP="00230A16">
      <w:pPr>
        <w:rPr>
          <w:rFonts w:ascii="Tahoma" w:hAnsi="Tahoma" w:cs="Tahoma"/>
          <w:sz w:val="20"/>
          <w:szCs w:val="20"/>
        </w:rPr>
      </w:pPr>
      <w:r w:rsidRPr="00947511">
        <w:rPr>
          <w:rFonts w:ascii="Tahoma" w:hAnsi="Tahoma" w:cs="Tahoma"/>
          <w:sz w:val="20"/>
          <w:szCs w:val="20"/>
        </w:rPr>
        <w:t>Although the students welcomed the opportunity to take ownership of their learning this was</w:t>
      </w:r>
      <w:r w:rsidR="00947511">
        <w:rPr>
          <w:rFonts w:ascii="Tahoma" w:hAnsi="Tahoma" w:cs="Tahoma"/>
          <w:sz w:val="20"/>
          <w:szCs w:val="20"/>
        </w:rPr>
        <w:t xml:space="preserve"> a significant culture change f</w:t>
      </w:r>
      <w:r w:rsidRPr="00947511">
        <w:rPr>
          <w:rFonts w:ascii="Tahoma" w:hAnsi="Tahoma" w:cs="Tahoma"/>
          <w:sz w:val="20"/>
          <w:szCs w:val="20"/>
        </w:rPr>
        <w:t>r</w:t>
      </w:r>
      <w:r w:rsidR="00947511">
        <w:rPr>
          <w:rFonts w:ascii="Tahoma" w:hAnsi="Tahoma" w:cs="Tahoma"/>
          <w:sz w:val="20"/>
          <w:szCs w:val="20"/>
        </w:rPr>
        <w:t>o</w:t>
      </w:r>
      <w:r w:rsidRPr="00947511">
        <w:rPr>
          <w:rFonts w:ascii="Tahoma" w:hAnsi="Tahoma" w:cs="Tahoma"/>
          <w:sz w:val="20"/>
          <w:szCs w:val="20"/>
        </w:rPr>
        <w:t xml:space="preserve">m what they had been used to and indeed from the approaches used in other modules on the programme.  There was a marked move away from the distribution of extensive handouts akin to the </w:t>
      </w:r>
      <w:r w:rsidR="005649ED">
        <w:rPr>
          <w:rFonts w:ascii="Tahoma" w:hAnsi="Tahoma" w:cs="Tahoma"/>
          <w:sz w:val="20"/>
          <w:szCs w:val="20"/>
        </w:rPr>
        <w:t>‘</w:t>
      </w:r>
      <w:r w:rsidRPr="00947511">
        <w:rPr>
          <w:rFonts w:ascii="Tahoma" w:hAnsi="Tahoma" w:cs="Tahoma"/>
          <w:sz w:val="20"/>
          <w:szCs w:val="20"/>
        </w:rPr>
        <w:t>A</w:t>
      </w:r>
      <w:r w:rsidR="005649ED">
        <w:rPr>
          <w:rFonts w:ascii="Tahoma" w:hAnsi="Tahoma" w:cs="Tahoma"/>
          <w:sz w:val="20"/>
          <w:szCs w:val="20"/>
        </w:rPr>
        <w:t>’</w:t>
      </w:r>
      <w:r w:rsidRPr="00947511">
        <w:rPr>
          <w:rFonts w:ascii="Tahoma" w:hAnsi="Tahoma" w:cs="Tahoma"/>
          <w:sz w:val="20"/>
          <w:szCs w:val="20"/>
        </w:rPr>
        <w:t xml:space="preserve"> Level tomes they used at home, to the </w:t>
      </w:r>
      <w:r w:rsidRPr="00947511">
        <w:rPr>
          <w:rFonts w:ascii="Tahoma" w:hAnsi="Tahoma" w:cs="Tahoma"/>
          <w:sz w:val="20"/>
          <w:szCs w:val="20"/>
        </w:rPr>
        <w:lastRenderedPageBreak/>
        <w:t>emphasis on discussion, dialogue and informed debate.  This necessitated preparation on the part of the student, which they generally accepted.  It also required them to work at their own level in their self-study time to produce their own notes and summary information.</w:t>
      </w:r>
      <w:r w:rsidR="00420C56" w:rsidRPr="00947511">
        <w:rPr>
          <w:rFonts w:ascii="Tahoma" w:hAnsi="Tahoma" w:cs="Tahoma"/>
          <w:sz w:val="20"/>
          <w:szCs w:val="20"/>
        </w:rPr>
        <w:t xml:space="preserve">  The findings of the research suggest however that some students struggled with this approach; questioning their perceived aim of the self-study time.  The impression immerging from the data implied a view of learning that </w:t>
      </w:r>
      <w:r w:rsidR="00D52A34" w:rsidRPr="00947511">
        <w:rPr>
          <w:rFonts w:ascii="Tahoma" w:hAnsi="Tahoma" w:cs="Tahoma"/>
          <w:sz w:val="20"/>
          <w:szCs w:val="20"/>
        </w:rPr>
        <w:t>tended to</w:t>
      </w:r>
      <w:r w:rsidR="00420C56" w:rsidRPr="00947511">
        <w:rPr>
          <w:rFonts w:ascii="Tahoma" w:hAnsi="Tahoma" w:cs="Tahoma"/>
          <w:sz w:val="20"/>
          <w:szCs w:val="20"/>
        </w:rPr>
        <w:t xml:space="preserve">wards the </w:t>
      </w:r>
      <w:r w:rsidR="00D52A34" w:rsidRPr="00947511">
        <w:rPr>
          <w:rFonts w:ascii="Tahoma" w:hAnsi="Tahoma" w:cs="Tahoma"/>
          <w:sz w:val="20"/>
          <w:szCs w:val="20"/>
        </w:rPr>
        <w:t>gathering or harvesting of information.  The sources they used were very specific i.e.</w:t>
      </w:r>
      <w:r w:rsidR="005649ED">
        <w:rPr>
          <w:rFonts w:ascii="Tahoma" w:hAnsi="Tahoma" w:cs="Tahoma"/>
          <w:sz w:val="20"/>
          <w:szCs w:val="20"/>
        </w:rPr>
        <w:t xml:space="preserve"> ‘</w:t>
      </w:r>
      <w:r w:rsidR="00D52A34" w:rsidRPr="00947511">
        <w:rPr>
          <w:rFonts w:ascii="Tahoma" w:hAnsi="Tahoma" w:cs="Tahoma"/>
          <w:sz w:val="20"/>
          <w:szCs w:val="20"/>
        </w:rPr>
        <w:t>A</w:t>
      </w:r>
      <w:r w:rsidR="005649ED">
        <w:rPr>
          <w:rFonts w:ascii="Tahoma" w:hAnsi="Tahoma" w:cs="Tahoma"/>
          <w:sz w:val="20"/>
          <w:szCs w:val="20"/>
        </w:rPr>
        <w:t>’</w:t>
      </w:r>
      <w:r w:rsidR="00D52A34" w:rsidRPr="00947511">
        <w:rPr>
          <w:rFonts w:ascii="Tahoma" w:hAnsi="Tahoma" w:cs="Tahoma"/>
          <w:sz w:val="20"/>
          <w:szCs w:val="20"/>
        </w:rPr>
        <w:t xml:space="preserve"> Leve</w:t>
      </w:r>
      <w:r w:rsidR="005649ED">
        <w:rPr>
          <w:rFonts w:ascii="Tahoma" w:hAnsi="Tahoma" w:cs="Tahoma"/>
          <w:sz w:val="20"/>
          <w:szCs w:val="20"/>
        </w:rPr>
        <w:t>l text; factual sites from the I</w:t>
      </w:r>
      <w:r w:rsidR="00D52A34" w:rsidRPr="00947511">
        <w:rPr>
          <w:rFonts w:ascii="Tahoma" w:hAnsi="Tahoma" w:cs="Tahoma"/>
          <w:sz w:val="20"/>
          <w:szCs w:val="20"/>
        </w:rPr>
        <w:t>nternet and copies of the ses</w:t>
      </w:r>
      <w:r w:rsidR="003D221D">
        <w:rPr>
          <w:rFonts w:ascii="Tahoma" w:hAnsi="Tahoma" w:cs="Tahoma"/>
          <w:sz w:val="20"/>
          <w:szCs w:val="20"/>
        </w:rPr>
        <w:t>sion Power point presentations (</w:t>
      </w:r>
      <w:r w:rsidR="00D52A34" w:rsidRPr="00947511">
        <w:rPr>
          <w:rFonts w:ascii="Tahoma" w:hAnsi="Tahoma" w:cs="Tahoma"/>
          <w:sz w:val="20"/>
          <w:szCs w:val="20"/>
        </w:rPr>
        <w:t xml:space="preserve">these were aimed as stimulus for discussion rather than </w:t>
      </w:r>
      <w:r w:rsidR="00E27795" w:rsidRPr="00947511">
        <w:rPr>
          <w:rFonts w:ascii="Tahoma" w:hAnsi="Tahoma" w:cs="Tahoma"/>
          <w:sz w:val="20"/>
          <w:szCs w:val="20"/>
        </w:rPr>
        <w:t>purely informative</w:t>
      </w:r>
      <w:r w:rsidR="003D221D">
        <w:rPr>
          <w:rFonts w:ascii="Tahoma" w:hAnsi="Tahoma" w:cs="Tahoma"/>
          <w:sz w:val="20"/>
          <w:szCs w:val="20"/>
        </w:rPr>
        <w:t>)</w:t>
      </w:r>
      <w:r w:rsidR="00E27795" w:rsidRPr="00947511">
        <w:rPr>
          <w:rFonts w:ascii="Tahoma" w:hAnsi="Tahoma" w:cs="Tahoma"/>
          <w:sz w:val="20"/>
          <w:szCs w:val="20"/>
        </w:rPr>
        <w:t xml:space="preserve">.  The approach to learning echoes Bruner’s comments, ‘… </w:t>
      </w:r>
      <w:r w:rsidR="00BA2819" w:rsidRPr="00947511">
        <w:rPr>
          <w:rFonts w:ascii="Tahoma" w:hAnsi="Tahoma" w:cs="Tahoma"/>
          <w:sz w:val="20"/>
          <w:szCs w:val="20"/>
        </w:rPr>
        <w:t xml:space="preserve">that knowledge is too often construed as a product rather than a </w:t>
      </w:r>
      <w:r w:rsidR="00E27795" w:rsidRPr="00947511">
        <w:rPr>
          <w:rFonts w:ascii="Tahoma" w:hAnsi="Tahoma" w:cs="Tahoma"/>
          <w:sz w:val="20"/>
          <w:szCs w:val="20"/>
        </w:rPr>
        <w:t xml:space="preserve">process’ (Bruner, </w:t>
      </w:r>
      <w:r w:rsidR="00BA2819" w:rsidRPr="00947511">
        <w:rPr>
          <w:rFonts w:ascii="Tahoma" w:hAnsi="Tahoma" w:cs="Tahoma"/>
          <w:sz w:val="20"/>
          <w:szCs w:val="20"/>
        </w:rPr>
        <w:t>1966 p.72)</w:t>
      </w:r>
      <w:r w:rsidR="00E27795" w:rsidRPr="00947511">
        <w:rPr>
          <w:rFonts w:ascii="Tahoma" w:hAnsi="Tahoma" w:cs="Tahoma"/>
          <w:sz w:val="20"/>
          <w:szCs w:val="20"/>
        </w:rPr>
        <w:t>.  This was even more apparent when considering the</w:t>
      </w:r>
      <w:r w:rsidR="00163874" w:rsidRPr="00947511">
        <w:rPr>
          <w:rFonts w:ascii="Tahoma" w:hAnsi="Tahoma" w:cs="Tahoma"/>
          <w:sz w:val="20"/>
          <w:szCs w:val="20"/>
        </w:rPr>
        <w:t xml:space="preserve"> </w:t>
      </w:r>
      <w:r w:rsidR="00BA2819" w:rsidRPr="00947511">
        <w:rPr>
          <w:rFonts w:ascii="Tahoma" w:hAnsi="Tahoma" w:cs="Tahoma"/>
          <w:sz w:val="20"/>
          <w:szCs w:val="20"/>
        </w:rPr>
        <w:t xml:space="preserve">student’s </w:t>
      </w:r>
      <w:r w:rsidR="00163874" w:rsidRPr="00947511">
        <w:rPr>
          <w:rFonts w:ascii="Tahoma" w:hAnsi="Tahoma" w:cs="Tahoma"/>
          <w:sz w:val="20"/>
          <w:szCs w:val="20"/>
        </w:rPr>
        <w:t xml:space="preserve">attitudes towards </w:t>
      </w:r>
      <w:r w:rsidR="00E27795" w:rsidRPr="00947511">
        <w:rPr>
          <w:rFonts w:ascii="Tahoma" w:hAnsi="Tahoma" w:cs="Tahoma"/>
          <w:sz w:val="20"/>
          <w:szCs w:val="20"/>
        </w:rPr>
        <w:t>revision.</w:t>
      </w:r>
      <w:r w:rsidR="00BA2819" w:rsidRPr="00947511">
        <w:rPr>
          <w:rFonts w:ascii="Tahoma" w:hAnsi="Tahoma" w:cs="Tahoma"/>
          <w:sz w:val="20"/>
          <w:szCs w:val="20"/>
        </w:rPr>
        <w:t xml:space="preserve">  </w:t>
      </w:r>
      <w:r w:rsidR="0039249C" w:rsidRPr="00947511">
        <w:rPr>
          <w:rFonts w:ascii="Tahoma" w:hAnsi="Tahoma" w:cs="Tahoma"/>
          <w:sz w:val="20"/>
          <w:szCs w:val="20"/>
        </w:rPr>
        <w:t>When asked about resources for revision purposes it was clear that the purpose of the revision activity was spurious; many of the students were using this time to ‘learn’ information.  They aimed to ‘absorb’ as much information as they could before the examination, essentially ‘cramming’ ready to regurgitate facts in the exam; its retention was short lived.  This was limited in its effectiveness because</w:t>
      </w:r>
      <w:r w:rsidR="003D221D">
        <w:rPr>
          <w:rFonts w:ascii="Tahoma" w:hAnsi="Tahoma" w:cs="Tahoma"/>
          <w:sz w:val="20"/>
          <w:szCs w:val="20"/>
        </w:rPr>
        <w:t>, as the students were aware, the majority of</w:t>
      </w:r>
      <w:r w:rsidR="0039249C" w:rsidRPr="00947511">
        <w:rPr>
          <w:rFonts w:ascii="Tahoma" w:hAnsi="Tahoma" w:cs="Tahoma"/>
          <w:sz w:val="20"/>
          <w:szCs w:val="20"/>
        </w:rPr>
        <w:t xml:space="preserve"> questions on the paper were testing higher level skills of description, explanation and comparison.  There were only a limited number of factual recall questions and these required the student to demonstrate a deeper understanding of the fact rather than merely a definition.</w:t>
      </w:r>
      <w:r w:rsidR="00230A16" w:rsidRPr="00947511">
        <w:rPr>
          <w:rFonts w:ascii="Tahoma" w:hAnsi="Tahoma" w:cs="Tahoma"/>
          <w:sz w:val="20"/>
          <w:szCs w:val="20"/>
        </w:rPr>
        <w:t xml:space="preserve"> The emphasis was more on understanding than testing factual recall.</w:t>
      </w:r>
      <w:r w:rsidR="00E27795" w:rsidRPr="00947511">
        <w:rPr>
          <w:rFonts w:ascii="Tahoma" w:hAnsi="Tahoma" w:cs="Tahoma"/>
          <w:sz w:val="20"/>
          <w:szCs w:val="20"/>
        </w:rPr>
        <w:t xml:space="preserve">  Perhaps even more disconcerting was the lack of confidence they appeared to have in their own notes.  Few used these for revision purposes, preferring instead to call upon an established </w:t>
      </w:r>
      <w:r w:rsidR="005649ED">
        <w:rPr>
          <w:rFonts w:ascii="Tahoma" w:hAnsi="Tahoma" w:cs="Tahoma"/>
          <w:sz w:val="20"/>
          <w:szCs w:val="20"/>
        </w:rPr>
        <w:t>‘</w:t>
      </w:r>
      <w:r w:rsidR="00E27795" w:rsidRPr="00947511">
        <w:rPr>
          <w:rFonts w:ascii="Tahoma" w:hAnsi="Tahoma" w:cs="Tahoma"/>
          <w:sz w:val="20"/>
          <w:szCs w:val="20"/>
        </w:rPr>
        <w:t>A</w:t>
      </w:r>
      <w:r w:rsidR="005649ED">
        <w:rPr>
          <w:rFonts w:ascii="Tahoma" w:hAnsi="Tahoma" w:cs="Tahoma"/>
          <w:sz w:val="20"/>
          <w:szCs w:val="20"/>
        </w:rPr>
        <w:t>’</w:t>
      </w:r>
      <w:r w:rsidR="00E27795" w:rsidRPr="00947511">
        <w:rPr>
          <w:rFonts w:ascii="Tahoma" w:hAnsi="Tahoma" w:cs="Tahoma"/>
          <w:sz w:val="20"/>
          <w:szCs w:val="20"/>
        </w:rPr>
        <w:t xml:space="preserve"> Level text, or in one case, Internet sources only.</w:t>
      </w:r>
    </w:p>
    <w:p w:rsidR="002D4A52" w:rsidRPr="00947511" w:rsidRDefault="002D4A52" w:rsidP="00230A16">
      <w:pPr>
        <w:rPr>
          <w:rFonts w:ascii="Tahoma" w:hAnsi="Tahoma" w:cs="Tahoma"/>
          <w:sz w:val="20"/>
          <w:szCs w:val="20"/>
        </w:rPr>
      </w:pPr>
    </w:p>
    <w:p w:rsidR="00AA78A0" w:rsidRPr="00947511" w:rsidRDefault="002D4A52" w:rsidP="00230A16">
      <w:pPr>
        <w:rPr>
          <w:rFonts w:ascii="Tahoma" w:hAnsi="Tahoma" w:cs="Tahoma"/>
          <w:sz w:val="20"/>
          <w:szCs w:val="20"/>
        </w:rPr>
      </w:pPr>
      <w:r w:rsidRPr="00947511">
        <w:rPr>
          <w:rFonts w:ascii="Tahoma" w:hAnsi="Tahoma" w:cs="Tahoma"/>
          <w:sz w:val="20"/>
          <w:szCs w:val="20"/>
        </w:rPr>
        <w:t>The approach used throughout the taught sessions was one of reflection and debate; students were encouraged to consider the ‘Big Picture’ view of the topic in question.  For example, when considering the blood circulation in Humans, a graph of the Cardiac Cycle together with an ECG readout and phonogram were discussed.  The link between the electrical stimulus, characteri</w:t>
      </w:r>
      <w:r w:rsidR="00931ACB" w:rsidRPr="00947511">
        <w:rPr>
          <w:rFonts w:ascii="Tahoma" w:hAnsi="Tahoma" w:cs="Tahoma"/>
          <w:sz w:val="20"/>
          <w:szCs w:val="20"/>
        </w:rPr>
        <w:t>stic sound of the heart beat,</w:t>
      </w:r>
      <w:r w:rsidRPr="00947511">
        <w:rPr>
          <w:rFonts w:ascii="Tahoma" w:hAnsi="Tahoma" w:cs="Tahoma"/>
          <w:sz w:val="20"/>
          <w:szCs w:val="20"/>
        </w:rPr>
        <w:t xml:space="preserve"> the </w:t>
      </w:r>
      <w:r w:rsidR="00931ACB" w:rsidRPr="00947511">
        <w:rPr>
          <w:rFonts w:ascii="Tahoma" w:hAnsi="Tahoma" w:cs="Tahoma"/>
          <w:sz w:val="20"/>
          <w:szCs w:val="20"/>
        </w:rPr>
        <w:t xml:space="preserve">sequence of </w:t>
      </w:r>
      <w:r w:rsidRPr="00947511">
        <w:rPr>
          <w:rFonts w:ascii="Tahoma" w:hAnsi="Tahoma" w:cs="Tahoma"/>
          <w:sz w:val="20"/>
          <w:szCs w:val="20"/>
        </w:rPr>
        <w:t>heart muscle</w:t>
      </w:r>
      <w:r w:rsidR="00931ACB" w:rsidRPr="00947511">
        <w:rPr>
          <w:rFonts w:ascii="Tahoma" w:hAnsi="Tahoma" w:cs="Tahoma"/>
          <w:sz w:val="20"/>
          <w:szCs w:val="20"/>
        </w:rPr>
        <w:t xml:space="preserve"> contraction</w:t>
      </w:r>
      <w:r w:rsidRPr="00947511">
        <w:rPr>
          <w:rFonts w:ascii="Tahoma" w:hAnsi="Tahoma" w:cs="Tahoma"/>
          <w:sz w:val="20"/>
          <w:szCs w:val="20"/>
        </w:rPr>
        <w:t xml:space="preserve"> and the circulating blood were all taken into account.  This was a move away from the more isolated, reductionistic approach that is too often afforded to </w:t>
      </w:r>
      <w:r w:rsidR="003D221D">
        <w:rPr>
          <w:rFonts w:ascii="Tahoma" w:hAnsi="Tahoma" w:cs="Tahoma"/>
          <w:sz w:val="20"/>
          <w:szCs w:val="20"/>
        </w:rPr>
        <w:t xml:space="preserve">the teaching of </w:t>
      </w:r>
      <w:r w:rsidRPr="00947511">
        <w:rPr>
          <w:rFonts w:ascii="Tahoma" w:hAnsi="Tahoma" w:cs="Tahoma"/>
          <w:sz w:val="20"/>
          <w:szCs w:val="20"/>
        </w:rPr>
        <w:t>biology (</w:t>
      </w:r>
      <w:r w:rsidR="00DA56AD" w:rsidRPr="00947511">
        <w:rPr>
          <w:rFonts w:ascii="Tahoma" w:hAnsi="Tahoma" w:cs="Tahoma"/>
          <w:sz w:val="20"/>
          <w:szCs w:val="20"/>
        </w:rPr>
        <w:t>Lakin, 2004).  The students however had</w:t>
      </w:r>
      <w:r w:rsidRPr="00947511">
        <w:rPr>
          <w:rFonts w:ascii="Tahoma" w:hAnsi="Tahoma" w:cs="Tahoma"/>
          <w:sz w:val="20"/>
          <w:szCs w:val="20"/>
        </w:rPr>
        <w:t xml:space="preserve"> been so used to ‘regurgitation style’ assessment that </w:t>
      </w:r>
      <w:r w:rsidR="00DA56AD" w:rsidRPr="00947511">
        <w:rPr>
          <w:rFonts w:ascii="Tahoma" w:hAnsi="Tahoma" w:cs="Tahoma"/>
          <w:sz w:val="20"/>
          <w:szCs w:val="20"/>
        </w:rPr>
        <w:t>initially they foun</w:t>
      </w:r>
      <w:r w:rsidRPr="00947511">
        <w:rPr>
          <w:rFonts w:ascii="Tahoma" w:hAnsi="Tahoma" w:cs="Tahoma"/>
          <w:sz w:val="20"/>
          <w:szCs w:val="20"/>
        </w:rPr>
        <w:t>d it difficult to see beyond the detail.  Ph</w:t>
      </w:r>
      <w:r w:rsidR="00DA56AD" w:rsidRPr="00947511">
        <w:rPr>
          <w:rFonts w:ascii="Tahoma" w:hAnsi="Tahoma" w:cs="Tahoma"/>
          <w:sz w:val="20"/>
          <w:szCs w:val="20"/>
        </w:rPr>
        <w:t>otosynthesis and respiration were</w:t>
      </w:r>
      <w:r w:rsidRPr="00947511">
        <w:rPr>
          <w:rFonts w:ascii="Tahoma" w:hAnsi="Tahoma" w:cs="Tahoma"/>
          <w:sz w:val="20"/>
          <w:szCs w:val="20"/>
        </w:rPr>
        <w:t xml:space="preserve"> a case in point.  These two vital life processes are invariably taught separately, from the very early introductions at upper Key Stage 2 to the more detailed accounts at post 16.  Students seldom see the connection between them and often end up </w:t>
      </w:r>
      <w:r w:rsidR="00F96061" w:rsidRPr="00947511">
        <w:rPr>
          <w:rFonts w:ascii="Tahoma" w:hAnsi="Tahoma" w:cs="Tahoma"/>
          <w:sz w:val="20"/>
          <w:szCs w:val="20"/>
        </w:rPr>
        <w:t>battling</w:t>
      </w:r>
      <w:r w:rsidRPr="00947511">
        <w:rPr>
          <w:rFonts w:ascii="Tahoma" w:hAnsi="Tahoma" w:cs="Tahoma"/>
          <w:sz w:val="20"/>
          <w:szCs w:val="20"/>
        </w:rPr>
        <w:t xml:space="preserve"> with a list of chemical formulae and equations that are essentially meaningless.</w:t>
      </w:r>
      <w:r w:rsidR="00F96061" w:rsidRPr="00947511">
        <w:rPr>
          <w:rFonts w:ascii="Tahoma" w:hAnsi="Tahoma" w:cs="Tahoma"/>
          <w:sz w:val="20"/>
          <w:szCs w:val="20"/>
        </w:rPr>
        <w:t xml:space="preserve">  When however they are viewed in terms of the overall aims of both processes it becomes apparent that in plants respiration is needed to support photosynthesis and vice versa.</w:t>
      </w:r>
      <w:r w:rsidR="0070317B" w:rsidRPr="00947511">
        <w:rPr>
          <w:rFonts w:ascii="Tahoma" w:hAnsi="Tahoma" w:cs="Tahoma"/>
          <w:sz w:val="20"/>
          <w:szCs w:val="20"/>
        </w:rPr>
        <w:t xml:space="preserve">  Given the time and encouragement to consider science on this le</w:t>
      </w:r>
      <w:r w:rsidR="00241ED7">
        <w:rPr>
          <w:rFonts w:ascii="Tahoma" w:hAnsi="Tahoma" w:cs="Tahoma"/>
          <w:sz w:val="20"/>
          <w:szCs w:val="20"/>
        </w:rPr>
        <w:t>vel, the learning begins to fall</w:t>
      </w:r>
      <w:r w:rsidR="0070317B" w:rsidRPr="00947511">
        <w:rPr>
          <w:rFonts w:ascii="Tahoma" w:hAnsi="Tahoma" w:cs="Tahoma"/>
          <w:sz w:val="20"/>
          <w:szCs w:val="20"/>
        </w:rPr>
        <w:t xml:space="preserve"> into place.  This was reflected in the assessment when students were informed that chemical detail and minutia were not the focus of the examination, more an insight into understanding, analysis and explanation.  Throughout</w:t>
      </w:r>
      <w:r w:rsidR="008D6FB5">
        <w:rPr>
          <w:rFonts w:ascii="Tahoma" w:hAnsi="Tahoma" w:cs="Tahoma"/>
          <w:sz w:val="20"/>
          <w:szCs w:val="20"/>
        </w:rPr>
        <w:t xml:space="preserve"> the module</w:t>
      </w:r>
      <w:r w:rsidR="0070317B" w:rsidRPr="00947511">
        <w:rPr>
          <w:rFonts w:ascii="Tahoma" w:hAnsi="Tahoma" w:cs="Tahoma"/>
          <w:sz w:val="20"/>
          <w:szCs w:val="20"/>
        </w:rPr>
        <w:t xml:space="preserve"> the students were encouraged to reflect upon their own learning.  A confidence quiz helped with this.  </w:t>
      </w:r>
      <w:r w:rsidR="008D6FB5">
        <w:rPr>
          <w:rFonts w:ascii="Tahoma" w:hAnsi="Tahoma" w:cs="Tahoma"/>
          <w:sz w:val="20"/>
          <w:szCs w:val="20"/>
        </w:rPr>
        <w:t xml:space="preserve">It </w:t>
      </w:r>
      <w:r w:rsidR="0070317B" w:rsidRPr="00947511">
        <w:rPr>
          <w:rFonts w:ascii="Tahoma" w:hAnsi="Tahoma" w:cs="Tahoma"/>
          <w:sz w:val="20"/>
          <w:szCs w:val="20"/>
        </w:rPr>
        <w:t>also serve</w:t>
      </w:r>
      <w:r w:rsidR="008D6FB5">
        <w:rPr>
          <w:rFonts w:ascii="Tahoma" w:hAnsi="Tahoma" w:cs="Tahoma"/>
          <w:sz w:val="20"/>
          <w:szCs w:val="20"/>
        </w:rPr>
        <w:t>d</w:t>
      </w:r>
      <w:r w:rsidR="0070317B" w:rsidRPr="00947511">
        <w:rPr>
          <w:rFonts w:ascii="Tahoma" w:hAnsi="Tahoma" w:cs="Tahoma"/>
          <w:sz w:val="20"/>
          <w:szCs w:val="20"/>
        </w:rPr>
        <w:t xml:space="preserve"> to tease out those who </w:t>
      </w:r>
      <w:r w:rsidR="008D6FB5">
        <w:rPr>
          <w:rFonts w:ascii="Tahoma" w:hAnsi="Tahoma" w:cs="Tahoma"/>
          <w:sz w:val="20"/>
          <w:szCs w:val="20"/>
        </w:rPr>
        <w:t xml:space="preserve">felt </w:t>
      </w:r>
      <w:r w:rsidR="0070317B" w:rsidRPr="00947511">
        <w:rPr>
          <w:rFonts w:ascii="Tahoma" w:hAnsi="Tahoma" w:cs="Tahoma"/>
          <w:sz w:val="20"/>
          <w:szCs w:val="20"/>
        </w:rPr>
        <w:t xml:space="preserve">confident about a particular </w:t>
      </w:r>
      <w:r w:rsidR="008D6FB5">
        <w:rPr>
          <w:rFonts w:ascii="Tahoma" w:hAnsi="Tahoma" w:cs="Tahoma"/>
          <w:sz w:val="20"/>
          <w:szCs w:val="20"/>
        </w:rPr>
        <w:t xml:space="preserve">statement, that </w:t>
      </w:r>
      <w:r w:rsidR="0070317B" w:rsidRPr="00947511">
        <w:rPr>
          <w:rFonts w:ascii="Tahoma" w:hAnsi="Tahoma" w:cs="Tahoma"/>
          <w:sz w:val="20"/>
          <w:szCs w:val="20"/>
        </w:rPr>
        <w:t>was in fact incorrect; an issue that had come to light elsewhere (</w:t>
      </w:r>
      <w:r w:rsidR="00DA56AD" w:rsidRPr="00947511">
        <w:rPr>
          <w:rFonts w:ascii="Tahoma" w:hAnsi="Tahoma" w:cs="Tahoma"/>
          <w:sz w:val="20"/>
          <w:szCs w:val="20"/>
        </w:rPr>
        <w:t>ibid).</w:t>
      </w:r>
    </w:p>
    <w:p w:rsidR="00DA56AD" w:rsidRPr="00947511" w:rsidRDefault="00DA56AD" w:rsidP="00230A16">
      <w:pPr>
        <w:rPr>
          <w:rFonts w:ascii="Tahoma" w:hAnsi="Tahoma" w:cs="Tahoma"/>
          <w:sz w:val="20"/>
          <w:szCs w:val="20"/>
        </w:rPr>
      </w:pPr>
    </w:p>
    <w:p w:rsidR="00D53AAC" w:rsidRPr="00947511" w:rsidRDefault="00EB4C43" w:rsidP="00F32746">
      <w:pPr>
        <w:rPr>
          <w:rFonts w:ascii="Tahoma" w:hAnsi="Tahoma" w:cs="Tahoma"/>
          <w:sz w:val="20"/>
          <w:szCs w:val="20"/>
        </w:rPr>
      </w:pPr>
      <w:r w:rsidRPr="00241ED7">
        <w:rPr>
          <w:rFonts w:ascii="Tahoma" w:hAnsi="Tahoma" w:cs="Tahoma"/>
          <w:sz w:val="20"/>
          <w:szCs w:val="20"/>
        </w:rPr>
        <w:t>Meta</w:t>
      </w:r>
      <w:r w:rsidR="00DA56AD" w:rsidRPr="00241ED7">
        <w:rPr>
          <w:rFonts w:ascii="Tahoma" w:hAnsi="Tahoma" w:cs="Tahoma"/>
          <w:sz w:val="20"/>
          <w:szCs w:val="20"/>
        </w:rPr>
        <w:t xml:space="preserve">cognition; </w:t>
      </w:r>
      <w:r w:rsidRPr="00241ED7">
        <w:rPr>
          <w:rFonts w:ascii="Tahoma" w:hAnsi="Tahoma" w:cs="Tahoma"/>
          <w:sz w:val="20"/>
          <w:szCs w:val="20"/>
        </w:rPr>
        <w:t xml:space="preserve">the ability to reflect upon one’s own learning </w:t>
      </w:r>
      <w:r w:rsidRPr="00241ED7">
        <w:rPr>
          <w:rFonts w:ascii="Tahoma" w:hAnsi="Tahoma" w:cs="Tahoma"/>
          <w:bCs/>
          <w:sz w:val="20"/>
          <w:szCs w:val="20"/>
        </w:rPr>
        <w:t>has become widely recognised within teaching and learning generally and science and the environment, specifically (Fisher, 1995; Bruner,1996; Parker and Hess, 2001; Maiteny, 2002; Pollard, 2002; Ward and McCotter, 2004</w:t>
      </w:r>
      <w:r w:rsidR="00650320" w:rsidRPr="00241ED7">
        <w:rPr>
          <w:rFonts w:ascii="Tahoma" w:hAnsi="Tahoma" w:cs="Tahoma"/>
          <w:bCs/>
          <w:sz w:val="20"/>
          <w:szCs w:val="20"/>
        </w:rPr>
        <w:t>, Lakin, 2005</w:t>
      </w:r>
      <w:r w:rsidRPr="00241ED7">
        <w:rPr>
          <w:rFonts w:ascii="Tahoma" w:hAnsi="Tahoma" w:cs="Tahoma"/>
          <w:bCs/>
          <w:sz w:val="20"/>
          <w:szCs w:val="20"/>
        </w:rPr>
        <w:t>)</w:t>
      </w:r>
      <w:r w:rsidR="00B421BB" w:rsidRPr="00241ED7">
        <w:rPr>
          <w:rFonts w:ascii="Tahoma" w:hAnsi="Tahoma" w:cs="Tahoma"/>
          <w:bCs/>
          <w:sz w:val="20"/>
          <w:szCs w:val="20"/>
        </w:rPr>
        <w:t xml:space="preserve"> </w:t>
      </w:r>
      <w:r w:rsidR="00AA78A0" w:rsidRPr="00241ED7">
        <w:rPr>
          <w:rFonts w:ascii="Tahoma" w:hAnsi="Tahoma" w:cs="Tahoma"/>
          <w:sz w:val="20"/>
          <w:szCs w:val="20"/>
        </w:rPr>
        <w:t xml:space="preserve">but </w:t>
      </w:r>
      <w:r w:rsidR="00432A21">
        <w:rPr>
          <w:rFonts w:ascii="Tahoma" w:hAnsi="Tahoma" w:cs="Tahoma"/>
          <w:sz w:val="20"/>
          <w:szCs w:val="20"/>
        </w:rPr>
        <w:t xml:space="preserve">as stated previously, this can take place at different levels </w:t>
      </w:r>
      <w:r w:rsidR="001E20EC" w:rsidRPr="00241ED7">
        <w:rPr>
          <w:rFonts w:ascii="Tahoma" w:hAnsi="Tahoma" w:cs="Tahoma"/>
          <w:sz w:val="20"/>
          <w:szCs w:val="20"/>
        </w:rPr>
        <w:t>(Ward &amp; McCotter, 2004 and Copping, 2007)</w:t>
      </w:r>
      <w:r w:rsidR="00AA78A0" w:rsidRPr="00241ED7">
        <w:rPr>
          <w:rFonts w:ascii="Tahoma" w:hAnsi="Tahoma" w:cs="Tahoma"/>
          <w:sz w:val="20"/>
          <w:szCs w:val="20"/>
        </w:rPr>
        <w:t>.  The effectiveness of this process appears to depend upon the level of reflection administered.  A child at Key Stage 2 can reflect upon their own level of knowledge and understanding and possibly suggest in simple terms what they would need to do to progress to the next level of attainment.  Likewi</w:t>
      </w:r>
      <w:r w:rsidR="00241ED7">
        <w:rPr>
          <w:rFonts w:ascii="Tahoma" w:hAnsi="Tahoma" w:cs="Tahoma"/>
          <w:sz w:val="20"/>
          <w:szCs w:val="20"/>
        </w:rPr>
        <w:t>se a child in Key Stage 3 and 4; b</w:t>
      </w:r>
      <w:r w:rsidR="00AA78A0" w:rsidRPr="00241ED7">
        <w:rPr>
          <w:rFonts w:ascii="Tahoma" w:hAnsi="Tahoma" w:cs="Tahoma"/>
          <w:sz w:val="20"/>
          <w:szCs w:val="20"/>
        </w:rPr>
        <w:t xml:space="preserve">ut at what stage does this cease being the superficial ‘explain something rather than describe it’ to the more detailed progression leading to conceptual change?  </w:t>
      </w:r>
      <w:r w:rsidR="00AA78A0" w:rsidRPr="00241ED7">
        <w:rPr>
          <w:rFonts w:ascii="Tahoma" w:hAnsi="Tahoma" w:cs="Tahoma"/>
          <w:sz w:val="20"/>
          <w:szCs w:val="20"/>
        </w:rPr>
        <w:lastRenderedPageBreak/>
        <w:t xml:space="preserve">Something I would suggest that school pupils have significant difficulty </w:t>
      </w:r>
      <w:r w:rsidR="00F32746" w:rsidRPr="00241ED7">
        <w:rPr>
          <w:rFonts w:ascii="Tahoma" w:hAnsi="Tahoma" w:cs="Tahoma"/>
          <w:sz w:val="20"/>
          <w:szCs w:val="20"/>
        </w:rPr>
        <w:t xml:space="preserve">in </w:t>
      </w:r>
      <w:r w:rsidR="00AA78A0" w:rsidRPr="00241ED7">
        <w:rPr>
          <w:rFonts w:ascii="Tahoma" w:hAnsi="Tahoma" w:cs="Tahoma"/>
          <w:sz w:val="20"/>
          <w:szCs w:val="20"/>
        </w:rPr>
        <w:t>without the ‘expert scaffolding’ (Driver et al</w:t>
      </w:r>
      <w:r w:rsidR="00D53AAC" w:rsidRPr="00241ED7">
        <w:rPr>
          <w:rFonts w:ascii="Tahoma" w:hAnsi="Tahoma" w:cs="Tahoma"/>
          <w:sz w:val="20"/>
          <w:szCs w:val="20"/>
        </w:rPr>
        <w:t>, 1985</w:t>
      </w:r>
      <w:r w:rsidR="00AA78A0" w:rsidRPr="00241ED7">
        <w:rPr>
          <w:rFonts w:ascii="Tahoma" w:hAnsi="Tahoma" w:cs="Tahoma"/>
          <w:sz w:val="20"/>
          <w:szCs w:val="20"/>
        </w:rPr>
        <w:t>) of a practi</w:t>
      </w:r>
      <w:r w:rsidR="00480CF0">
        <w:rPr>
          <w:rFonts w:ascii="Tahoma" w:hAnsi="Tahoma" w:cs="Tahoma"/>
          <w:sz w:val="20"/>
          <w:szCs w:val="20"/>
        </w:rPr>
        <w:t>ti</w:t>
      </w:r>
      <w:r w:rsidR="00AA78A0" w:rsidRPr="00241ED7">
        <w:rPr>
          <w:rFonts w:ascii="Tahoma" w:hAnsi="Tahoma" w:cs="Tahoma"/>
          <w:sz w:val="20"/>
          <w:szCs w:val="20"/>
        </w:rPr>
        <w:t xml:space="preserve">oner.  </w:t>
      </w:r>
      <w:r w:rsidR="00F32746" w:rsidRPr="00241ED7">
        <w:rPr>
          <w:rFonts w:ascii="Tahoma" w:hAnsi="Tahoma" w:cs="Tahoma"/>
          <w:sz w:val="20"/>
          <w:szCs w:val="20"/>
        </w:rPr>
        <w:t>To achieve</w:t>
      </w:r>
      <w:r w:rsidR="00F32746" w:rsidRPr="00947511">
        <w:rPr>
          <w:rFonts w:ascii="Tahoma" w:hAnsi="Tahoma" w:cs="Tahoma"/>
          <w:sz w:val="20"/>
          <w:szCs w:val="20"/>
        </w:rPr>
        <w:t xml:space="preserve"> conceptual change, with or without the input of an expert practi</w:t>
      </w:r>
      <w:r w:rsidR="00480CF0">
        <w:rPr>
          <w:rFonts w:ascii="Tahoma" w:hAnsi="Tahoma" w:cs="Tahoma"/>
          <w:sz w:val="20"/>
          <w:szCs w:val="20"/>
        </w:rPr>
        <w:t>ti</w:t>
      </w:r>
      <w:r w:rsidR="00F32746" w:rsidRPr="00947511">
        <w:rPr>
          <w:rFonts w:ascii="Tahoma" w:hAnsi="Tahoma" w:cs="Tahoma"/>
          <w:sz w:val="20"/>
          <w:szCs w:val="20"/>
        </w:rPr>
        <w:t xml:space="preserve">oner, the learner needs to be actively engaged in the learning process.  </w:t>
      </w:r>
      <w:r w:rsidR="00F32F99" w:rsidRPr="00947511">
        <w:rPr>
          <w:rFonts w:ascii="Tahoma" w:hAnsi="Tahoma" w:cs="Tahoma"/>
          <w:sz w:val="20"/>
          <w:szCs w:val="20"/>
        </w:rPr>
        <w:t xml:space="preserve">This in itself </w:t>
      </w:r>
      <w:r w:rsidR="00F32746" w:rsidRPr="00947511">
        <w:rPr>
          <w:rFonts w:ascii="Tahoma" w:hAnsi="Tahoma" w:cs="Tahoma"/>
          <w:sz w:val="20"/>
          <w:szCs w:val="20"/>
        </w:rPr>
        <w:t>goes beyond the mere inclusion of active learning activities.  As Ross et al explains,</w:t>
      </w:r>
    </w:p>
    <w:p w:rsidR="00F32746" w:rsidRPr="00947511" w:rsidRDefault="00F32746" w:rsidP="00F32746">
      <w:pPr>
        <w:rPr>
          <w:bCs/>
        </w:rPr>
      </w:pPr>
      <w:r w:rsidRPr="00947511">
        <w:rPr>
          <w:rFonts w:ascii="Tahoma" w:hAnsi="Tahoma" w:cs="Tahoma"/>
          <w:sz w:val="20"/>
          <w:szCs w:val="20"/>
        </w:rPr>
        <w:t xml:space="preserve"> </w:t>
      </w:r>
    </w:p>
    <w:p w:rsidR="00F32746" w:rsidRPr="00947511" w:rsidRDefault="00F32746" w:rsidP="00F32746">
      <w:pPr>
        <w:rPr>
          <w:rFonts w:ascii="Tahoma" w:hAnsi="Tahoma" w:cs="Tahoma"/>
          <w:sz w:val="20"/>
          <w:szCs w:val="20"/>
        </w:rPr>
      </w:pPr>
      <w:r w:rsidRPr="00947511">
        <w:rPr>
          <w:rFonts w:ascii="Tahoma" w:hAnsi="Tahoma" w:cs="Tahoma"/>
          <w:sz w:val="20"/>
          <w:szCs w:val="20"/>
        </w:rPr>
        <w:t xml:space="preserve">‘… active learning doesn’t usually give autonomy over organisation of the learning to the learner: many active learning tasks are very directional and specific, but the main point is that they are impossible to do unless the children </w:t>
      </w:r>
      <w:r w:rsidR="0042474A" w:rsidRPr="00947511">
        <w:rPr>
          <w:rFonts w:ascii="Tahoma" w:hAnsi="Tahoma" w:cs="Tahoma"/>
          <w:i/>
          <w:sz w:val="20"/>
          <w:szCs w:val="20"/>
        </w:rPr>
        <w:t>think</w:t>
      </w:r>
      <w:r w:rsidR="0042474A">
        <w:rPr>
          <w:rFonts w:ascii="Tahoma" w:hAnsi="Tahoma" w:cs="Tahoma"/>
          <w:sz w:val="20"/>
          <w:szCs w:val="20"/>
        </w:rPr>
        <w:t>.</w:t>
      </w:r>
      <w:r w:rsidR="00480CF0">
        <w:rPr>
          <w:rFonts w:ascii="Tahoma" w:hAnsi="Tahoma" w:cs="Tahoma"/>
          <w:sz w:val="20"/>
          <w:szCs w:val="20"/>
        </w:rPr>
        <w:t xml:space="preserve">’ </w:t>
      </w:r>
      <w:r w:rsidRPr="00947511">
        <w:rPr>
          <w:rFonts w:ascii="Tahoma" w:hAnsi="Tahoma" w:cs="Tahoma"/>
          <w:sz w:val="20"/>
          <w:szCs w:val="20"/>
        </w:rPr>
        <w:t>(Ross et al, 2004 p. 58)</w:t>
      </w:r>
    </w:p>
    <w:p w:rsidR="00F32746" w:rsidRPr="00947511" w:rsidRDefault="00F32746" w:rsidP="00F32746">
      <w:pPr>
        <w:rPr>
          <w:rFonts w:ascii="Tahoma" w:hAnsi="Tahoma" w:cs="Tahoma"/>
          <w:sz w:val="20"/>
          <w:szCs w:val="20"/>
        </w:rPr>
      </w:pPr>
    </w:p>
    <w:p w:rsidR="00230A16" w:rsidRPr="00947511" w:rsidRDefault="00AB76D3" w:rsidP="00230A16">
      <w:pPr>
        <w:rPr>
          <w:rFonts w:ascii="Tahoma" w:hAnsi="Tahoma" w:cs="Tahoma"/>
          <w:sz w:val="20"/>
          <w:szCs w:val="20"/>
        </w:rPr>
      </w:pPr>
      <w:r>
        <w:rPr>
          <w:rFonts w:ascii="Tahoma" w:hAnsi="Tahoma" w:cs="Tahoma"/>
          <w:sz w:val="20"/>
          <w:szCs w:val="20"/>
        </w:rPr>
        <w:t>For this to be productive, time is required for the learner to</w:t>
      </w:r>
      <w:r w:rsidR="00F32746" w:rsidRPr="00947511">
        <w:rPr>
          <w:rFonts w:ascii="Tahoma" w:hAnsi="Tahoma" w:cs="Tahoma"/>
          <w:sz w:val="20"/>
          <w:szCs w:val="20"/>
        </w:rPr>
        <w:t xml:space="preserve"> reformulate the ideas they are in putting; to assimilate them and take ownership of them.  Until this happens the learner’s engagement is only superficial and deep learning (</w:t>
      </w:r>
      <w:r w:rsidR="00473C06" w:rsidRPr="00947511">
        <w:rPr>
          <w:rFonts w:ascii="Tahoma" w:hAnsi="Tahoma" w:cs="Tahoma"/>
          <w:sz w:val="20"/>
          <w:szCs w:val="20"/>
        </w:rPr>
        <w:t>the acquisition of higher order skills such as analysing, interpreting and evaluating information rather than simply amassing, reproducing and describing it (Hill and Woodland, 2002</w:t>
      </w:r>
      <w:r w:rsidR="00F32746" w:rsidRPr="00947511">
        <w:rPr>
          <w:rFonts w:ascii="Tahoma" w:hAnsi="Tahoma" w:cs="Tahoma"/>
          <w:sz w:val="20"/>
          <w:szCs w:val="20"/>
        </w:rPr>
        <w:t>)</w:t>
      </w:r>
      <w:r>
        <w:rPr>
          <w:rFonts w:ascii="Tahoma" w:hAnsi="Tahoma" w:cs="Tahoma"/>
          <w:sz w:val="20"/>
          <w:szCs w:val="20"/>
        </w:rPr>
        <w:t>)</w:t>
      </w:r>
      <w:r w:rsidR="00F32746" w:rsidRPr="00947511">
        <w:rPr>
          <w:rFonts w:ascii="Tahoma" w:hAnsi="Tahoma" w:cs="Tahoma"/>
          <w:sz w:val="20"/>
          <w:szCs w:val="20"/>
        </w:rPr>
        <w:t xml:space="preserve"> and understanding are not achieved.</w:t>
      </w:r>
      <w:r w:rsidR="008A4511" w:rsidRPr="00947511">
        <w:rPr>
          <w:rFonts w:ascii="Tahoma" w:hAnsi="Tahoma" w:cs="Tahoma"/>
          <w:sz w:val="20"/>
          <w:szCs w:val="20"/>
        </w:rPr>
        <w:t xml:space="preserve">  </w:t>
      </w:r>
      <w:r w:rsidR="00F32F99" w:rsidRPr="00947511">
        <w:rPr>
          <w:rFonts w:ascii="Tahoma" w:hAnsi="Tahoma" w:cs="Tahoma"/>
          <w:sz w:val="20"/>
          <w:szCs w:val="20"/>
        </w:rPr>
        <w:t>Part of this process is to be able to recognise and fill the gaps in subject knowledge and understand</w:t>
      </w:r>
      <w:r w:rsidR="00241ED7">
        <w:rPr>
          <w:rFonts w:ascii="Tahoma" w:hAnsi="Tahoma" w:cs="Tahoma"/>
          <w:sz w:val="20"/>
          <w:szCs w:val="20"/>
        </w:rPr>
        <w:t>ing</w:t>
      </w:r>
      <w:r w:rsidR="00F32F99" w:rsidRPr="00947511">
        <w:rPr>
          <w:rFonts w:ascii="Tahoma" w:hAnsi="Tahoma" w:cs="Tahoma"/>
          <w:sz w:val="20"/>
          <w:szCs w:val="20"/>
        </w:rPr>
        <w:t xml:space="preserve">.  </w:t>
      </w:r>
      <w:r w:rsidR="00F32F99" w:rsidRPr="00241ED7">
        <w:rPr>
          <w:rFonts w:ascii="Tahoma" w:hAnsi="Tahoma" w:cs="Tahoma"/>
          <w:i/>
          <w:sz w:val="20"/>
          <w:szCs w:val="20"/>
        </w:rPr>
        <w:t xml:space="preserve">But </w:t>
      </w:r>
      <w:r w:rsidR="008A4511" w:rsidRPr="00241ED7">
        <w:rPr>
          <w:rFonts w:ascii="Tahoma" w:hAnsi="Tahoma" w:cs="Tahoma"/>
          <w:i/>
          <w:sz w:val="20"/>
          <w:szCs w:val="20"/>
        </w:rPr>
        <w:t>how can the learner know, what they don’t know</w:t>
      </w:r>
      <w:r w:rsidR="008A4511" w:rsidRPr="00947511">
        <w:rPr>
          <w:rFonts w:ascii="Tahoma" w:hAnsi="Tahoma" w:cs="Tahoma"/>
          <w:sz w:val="20"/>
          <w:szCs w:val="20"/>
        </w:rPr>
        <w:t>?</w:t>
      </w:r>
      <w:r w:rsidR="00F32F99" w:rsidRPr="00947511">
        <w:rPr>
          <w:rFonts w:ascii="Tahoma" w:hAnsi="Tahoma" w:cs="Tahoma"/>
          <w:sz w:val="20"/>
          <w:szCs w:val="20"/>
        </w:rPr>
        <w:t xml:space="preserve"> I would suggest that if the</w:t>
      </w:r>
      <w:r w:rsidR="008A4511" w:rsidRPr="00947511">
        <w:rPr>
          <w:rFonts w:ascii="Tahoma" w:hAnsi="Tahoma" w:cs="Tahoma"/>
          <w:sz w:val="20"/>
          <w:szCs w:val="20"/>
        </w:rPr>
        <w:t xml:space="preserve"> learner has</w:t>
      </w:r>
      <w:r w:rsidR="00F32F99" w:rsidRPr="00947511">
        <w:rPr>
          <w:rFonts w:ascii="Tahoma" w:hAnsi="Tahoma" w:cs="Tahoma"/>
          <w:sz w:val="20"/>
          <w:szCs w:val="20"/>
        </w:rPr>
        <w:t xml:space="preserve"> the ability to tease out conceptual progression; identify the stages in the development of a concept, for example density or photosynthesis, the gaps in the subject knowledge begin to appear i.e. </w:t>
      </w:r>
      <w:r w:rsidR="00756907" w:rsidRPr="00947511">
        <w:rPr>
          <w:rFonts w:ascii="Tahoma" w:hAnsi="Tahoma" w:cs="Tahoma"/>
          <w:sz w:val="20"/>
          <w:szCs w:val="20"/>
        </w:rPr>
        <w:t>What d</w:t>
      </w:r>
      <w:r w:rsidR="00F32F99" w:rsidRPr="00947511">
        <w:rPr>
          <w:rFonts w:ascii="Tahoma" w:hAnsi="Tahoma" w:cs="Tahoma"/>
          <w:sz w:val="20"/>
          <w:szCs w:val="20"/>
        </w:rPr>
        <w:t xml:space="preserve">o I need to know to progress from </w:t>
      </w:r>
      <w:r w:rsidR="00F32F99" w:rsidRPr="00947511">
        <w:rPr>
          <w:rFonts w:ascii="Tahoma" w:hAnsi="Tahoma" w:cs="Tahoma"/>
          <w:i/>
          <w:sz w:val="20"/>
          <w:szCs w:val="20"/>
        </w:rPr>
        <w:t>understanding</w:t>
      </w:r>
      <w:r w:rsidR="00F32F99" w:rsidRPr="00947511">
        <w:rPr>
          <w:rFonts w:ascii="Tahoma" w:hAnsi="Tahoma" w:cs="Tahoma"/>
          <w:sz w:val="20"/>
          <w:szCs w:val="20"/>
        </w:rPr>
        <w:t xml:space="preserve"> that a green plant requires sunlight, ‘air’ and water </w:t>
      </w:r>
      <w:r w:rsidR="00BA5C5C" w:rsidRPr="00947511">
        <w:rPr>
          <w:rFonts w:ascii="Tahoma" w:hAnsi="Tahoma" w:cs="Tahoma"/>
          <w:sz w:val="20"/>
          <w:szCs w:val="20"/>
        </w:rPr>
        <w:t xml:space="preserve">to survive to </w:t>
      </w:r>
      <w:r w:rsidR="00BA5C5C" w:rsidRPr="00947511">
        <w:rPr>
          <w:rFonts w:ascii="Tahoma" w:hAnsi="Tahoma" w:cs="Tahoma"/>
          <w:i/>
          <w:sz w:val="20"/>
          <w:szCs w:val="20"/>
        </w:rPr>
        <w:t>understand</w:t>
      </w:r>
      <w:r w:rsidR="008A4511" w:rsidRPr="00947511">
        <w:rPr>
          <w:rFonts w:ascii="Tahoma" w:hAnsi="Tahoma" w:cs="Tahoma"/>
          <w:i/>
          <w:sz w:val="20"/>
          <w:szCs w:val="20"/>
        </w:rPr>
        <w:t xml:space="preserve">ing and </w:t>
      </w:r>
      <w:r w:rsidR="00F25365">
        <w:rPr>
          <w:rFonts w:ascii="Tahoma" w:hAnsi="Tahoma" w:cs="Tahoma"/>
          <w:i/>
          <w:sz w:val="20"/>
          <w:szCs w:val="20"/>
        </w:rPr>
        <w:t xml:space="preserve">indeed, </w:t>
      </w:r>
      <w:r w:rsidR="008A4511" w:rsidRPr="00947511">
        <w:rPr>
          <w:rFonts w:ascii="Tahoma" w:hAnsi="Tahoma" w:cs="Tahoma"/>
          <w:i/>
          <w:sz w:val="20"/>
          <w:szCs w:val="20"/>
        </w:rPr>
        <w:t>explaining</w:t>
      </w:r>
      <w:r w:rsidR="008A4511" w:rsidRPr="00947511">
        <w:rPr>
          <w:rFonts w:ascii="Tahoma" w:hAnsi="Tahoma" w:cs="Tahoma"/>
          <w:sz w:val="20"/>
          <w:szCs w:val="20"/>
        </w:rPr>
        <w:t xml:space="preserve"> </w:t>
      </w:r>
      <w:r w:rsidR="00BA5C5C" w:rsidRPr="00947511">
        <w:rPr>
          <w:rFonts w:ascii="Tahoma" w:hAnsi="Tahoma" w:cs="Tahoma"/>
          <w:sz w:val="20"/>
          <w:szCs w:val="20"/>
        </w:rPr>
        <w:t>that it is in fact a combination of carbon dioxide and oxygen that is required a</w:t>
      </w:r>
      <w:smartTag w:uri="urn:schemas-microsoft-com:office:smarttags" w:element="PersonName">
        <w:r w:rsidR="00BA5C5C" w:rsidRPr="00947511">
          <w:rPr>
            <w:rFonts w:ascii="Tahoma" w:hAnsi="Tahoma" w:cs="Tahoma"/>
            <w:sz w:val="20"/>
            <w:szCs w:val="20"/>
          </w:rPr>
          <w:t>long</w:t>
        </w:r>
      </w:smartTag>
      <w:r w:rsidR="00BA5C5C" w:rsidRPr="00947511">
        <w:rPr>
          <w:rFonts w:ascii="Tahoma" w:hAnsi="Tahoma" w:cs="Tahoma"/>
          <w:sz w:val="20"/>
          <w:szCs w:val="20"/>
        </w:rPr>
        <w:t xml:space="preserve"> with the other requi</w:t>
      </w:r>
      <w:r w:rsidR="008A4511" w:rsidRPr="00947511">
        <w:rPr>
          <w:rFonts w:ascii="Tahoma" w:hAnsi="Tahoma" w:cs="Tahoma"/>
          <w:sz w:val="20"/>
          <w:szCs w:val="20"/>
        </w:rPr>
        <w:t>rements for a plant to survive.</w:t>
      </w:r>
    </w:p>
    <w:p w:rsidR="00BA5C5C" w:rsidRPr="00947511" w:rsidRDefault="00BA5C5C" w:rsidP="00230A16">
      <w:pPr>
        <w:rPr>
          <w:rFonts w:ascii="Tahoma" w:hAnsi="Tahoma" w:cs="Tahoma"/>
          <w:sz w:val="20"/>
          <w:szCs w:val="20"/>
        </w:rPr>
      </w:pPr>
    </w:p>
    <w:p w:rsidR="004E28DC" w:rsidRPr="00947511" w:rsidRDefault="004E28DC" w:rsidP="00234637">
      <w:pPr>
        <w:rPr>
          <w:rFonts w:ascii="Tahoma" w:hAnsi="Tahoma" w:cs="Tahoma"/>
          <w:sz w:val="20"/>
          <w:szCs w:val="20"/>
        </w:rPr>
      </w:pPr>
      <w:r w:rsidRPr="00947511">
        <w:rPr>
          <w:rFonts w:ascii="Tahoma" w:hAnsi="Tahoma" w:cs="Tahoma"/>
          <w:sz w:val="20"/>
          <w:szCs w:val="20"/>
        </w:rPr>
        <w:t xml:space="preserve">Gaps in subject knowledge and understanding </w:t>
      </w:r>
      <w:r w:rsidR="00BA5C5C" w:rsidRPr="00947511">
        <w:rPr>
          <w:rFonts w:ascii="Tahoma" w:hAnsi="Tahoma" w:cs="Tahoma"/>
          <w:sz w:val="20"/>
          <w:szCs w:val="20"/>
        </w:rPr>
        <w:t xml:space="preserve">have </w:t>
      </w:r>
      <w:smartTag w:uri="urn:schemas-microsoft-com:office:smarttags" w:element="PersonName">
        <w:r w:rsidRPr="00947511">
          <w:rPr>
            <w:rFonts w:ascii="Tahoma" w:hAnsi="Tahoma" w:cs="Tahoma"/>
            <w:sz w:val="20"/>
            <w:szCs w:val="20"/>
          </w:rPr>
          <w:t>long</w:t>
        </w:r>
      </w:smartTag>
      <w:r w:rsidRPr="00947511">
        <w:rPr>
          <w:rFonts w:ascii="Tahoma" w:hAnsi="Tahoma" w:cs="Tahoma"/>
          <w:sz w:val="20"/>
          <w:szCs w:val="20"/>
        </w:rPr>
        <w:t xml:space="preserve"> been recognised as an issue for</w:t>
      </w:r>
      <w:r w:rsidR="00BA5C5C" w:rsidRPr="00947511">
        <w:rPr>
          <w:rFonts w:ascii="Tahoma" w:hAnsi="Tahoma" w:cs="Tahoma"/>
          <w:sz w:val="20"/>
          <w:szCs w:val="20"/>
        </w:rPr>
        <w:t xml:space="preserve"> ITE</w:t>
      </w:r>
      <w:r w:rsidRPr="00947511">
        <w:rPr>
          <w:rFonts w:ascii="Tahoma" w:hAnsi="Tahoma" w:cs="Tahoma"/>
          <w:sz w:val="20"/>
          <w:szCs w:val="20"/>
        </w:rPr>
        <w:t xml:space="preserve"> (Lakin, 2005) but equally</w:t>
      </w:r>
      <w:r w:rsidR="00F25365">
        <w:rPr>
          <w:rFonts w:ascii="Tahoma" w:hAnsi="Tahoma" w:cs="Tahoma"/>
          <w:sz w:val="20"/>
          <w:szCs w:val="20"/>
        </w:rPr>
        <w:t>,</w:t>
      </w:r>
      <w:r w:rsidRPr="00947511">
        <w:rPr>
          <w:rFonts w:ascii="Tahoma" w:hAnsi="Tahoma" w:cs="Tahoma"/>
          <w:sz w:val="20"/>
          <w:szCs w:val="20"/>
        </w:rPr>
        <w:t xml:space="preserve"> that </w:t>
      </w:r>
      <w:r w:rsidR="00480CF0">
        <w:rPr>
          <w:rFonts w:ascii="Tahoma" w:hAnsi="Tahoma" w:cs="Tahoma"/>
          <w:sz w:val="20"/>
          <w:szCs w:val="20"/>
        </w:rPr>
        <w:t>we canno</w:t>
      </w:r>
      <w:r w:rsidR="00BA5C5C" w:rsidRPr="00947511">
        <w:rPr>
          <w:rFonts w:ascii="Tahoma" w:hAnsi="Tahoma" w:cs="Tahoma"/>
          <w:sz w:val="20"/>
          <w:szCs w:val="20"/>
        </w:rPr>
        <w:t>t hope to fill all these gaps during the PGCE year and that increasing</w:t>
      </w:r>
      <w:r w:rsidRPr="00947511">
        <w:rPr>
          <w:rFonts w:ascii="Tahoma" w:hAnsi="Tahoma" w:cs="Tahoma"/>
          <w:sz w:val="20"/>
          <w:szCs w:val="20"/>
        </w:rPr>
        <w:t xml:space="preserve">ly </w:t>
      </w:r>
      <w:r w:rsidR="00BA5C5C" w:rsidRPr="00947511">
        <w:rPr>
          <w:rFonts w:ascii="Tahoma" w:hAnsi="Tahoma" w:cs="Tahoma"/>
          <w:sz w:val="20"/>
          <w:szCs w:val="20"/>
        </w:rPr>
        <w:t xml:space="preserve">ownership </w:t>
      </w:r>
      <w:r w:rsidRPr="00947511">
        <w:rPr>
          <w:rFonts w:ascii="Tahoma" w:hAnsi="Tahoma" w:cs="Tahoma"/>
          <w:sz w:val="20"/>
          <w:szCs w:val="20"/>
        </w:rPr>
        <w:t xml:space="preserve">for identifying and filling these gaps </w:t>
      </w:r>
      <w:r w:rsidR="00BA5C5C" w:rsidRPr="00947511">
        <w:rPr>
          <w:rFonts w:ascii="Tahoma" w:hAnsi="Tahoma" w:cs="Tahoma"/>
          <w:sz w:val="20"/>
          <w:szCs w:val="20"/>
        </w:rPr>
        <w:t>needs to be taken by the student</w:t>
      </w:r>
      <w:r w:rsidRPr="00947511">
        <w:rPr>
          <w:rFonts w:ascii="Tahoma" w:hAnsi="Tahoma" w:cs="Tahoma"/>
          <w:sz w:val="20"/>
          <w:szCs w:val="20"/>
        </w:rPr>
        <w:t xml:space="preserve"> teacher</w:t>
      </w:r>
      <w:r w:rsidR="00BA5C5C" w:rsidRPr="00947511">
        <w:rPr>
          <w:rFonts w:ascii="Tahoma" w:hAnsi="Tahoma" w:cs="Tahoma"/>
          <w:sz w:val="20"/>
          <w:szCs w:val="20"/>
        </w:rPr>
        <w:t xml:space="preserve">.  They need to access reliable information at the appropriate level and with a clear enough explanation.  The </w:t>
      </w:r>
      <w:r w:rsidR="00230A16" w:rsidRPr="00947511">
        <w:rPr>
          <w:rFonts w:ascii="Tahoma" w:hAnsi="Tahoma" w:cs="Tahoma"/>
          <w:sz w:val="20"/>
          <w:szCs w:val="20"/>
        </w:rPr>
        <w:t xml:space="preserve">problem arises when they do not have the </w:t>
      </w:r>
      <w:r w:rsidR="00F25365">
        <w:rPr>
          <w:rFonts w:ascii="Tahoma" w:hAnsi="Tahoma" w:cs="Tahoma"/>
          <w:sz w:val="20"/>
          <w:szCs w:val="20"/>
        </w:rPr>
        <w:t xml:space="preserve">necessary </w:t>
      </w:r>
      <w:r w:rsidR="00230A16" w:rsidRPr="00947511">
        <w:rPr>
          <w:rFonts w:ascii="Tahoma" w:hAnsi="Tahoma" w:cs="Tahoma"/>
          <w:sz w:val="20"/>
          <w:szCs w:val="20"/>
        </w:rPr>
        <w:t>skills to research information and select wha</w:t>
      </w:r>
      <w:r w:rsidRPr="00947511">
        <w:rPr>
          <w:rFonts w:ascii="Tahoma" w:hAnsi="Tahoma" w:cs="Tahoma"/>
          <w:sz w:val="20"/>
          <w:szCs w:val="20"/>
        </w:rPr>
        <w:t>t is useful and what is useless</w:t>
      </w:r>
      <w:r w:rsidR="00F25365">
        <w:rPr>
          <w:rFonts w:ascii="Tahoma" w:hAnsi="Tahoma" w:cs="Tahoma"/>
          <w:sz w:val="20"/>
          <w:szCs w:val="20"/>
        </w:rPr>
        <w:t>, and recognise a suitable depth of information for inclusion.</w:t>
      </w:r>
    </w:p>
    <w:p w:rsidR="00234637" w:rsidRPr="00947511" w:rsidRDefault="00234637" w:rsidP="00234637">
      <w:pPr>
        <w:rPr>
          <w:rFonts w:ascii="Tahoma" w:hAnsi="Tahoma" w:cs="Tahoma"/>
          <w:sz w:val="20"/>
          <w:szCs w:val="20"/>
        </w:rPr>
      </w:pPr>
    </w:p>
    <w:p w:rsidR="00756907" w:rsidRPr="00947511" w:rsidRDefault="004D0EED" w:rsidP="004D0EED">
      <w:pPr>
        <w:rPr>
          <w:rFonts w:ascii="Tahoma" w:hAnsi="Tahoma" w:cs="Tahoma"/>
          <w:sz w:val="28"/>
          <w:szCs w:val="28"/>
        </w:rPr>
      </w:pPr>
      <w:r w:rsidRPr="00947511">
        <w:rPr>
          <w:rFonts w:ascii="Tahoma" w:hAnsi="Tahoma" w:cs="Tahoma"/>
          <w:sz w:val="28"/>
          <w:szCs w:val="28"/>
        </w:rPr>
        <w:t xml:space="preserve">Conclusion </w:t>
      </w:r>
    </w:p>
    <w:p w:rsidR="004D0EED" w:rsidRPr="00947511" w:rsidRDefault="004E28DC" w:rsidP="004D0EED">
      <w:pPr>
        <w:rPr>
          <w:rFonts w:ascii="Tahoma" w:hAnsi="Tahoma" w:cs="Tahoma"/>
          <w:sz w:val="20"/>
          <w:szCs w:val="20"/>
        </w:rPr>
      </w:pPr>
      <w:r w:rsidRPr="00947511">
        <w:rPr>
          <w:rFonts w:ascii="Tahoma" w:hAnsi="Tahoma" w:cs="Tahoma"/>
          <w:sz w:val="20"/>
          <w:szCs w:val="20"/>
        </w:rPr>
        <w:t xml:space="preserve">So where does the student teacher go from here?  The current proposed changes for </w:t>
      </w:r>
      <w:r w:rsidR="004D0EED" w:rsidRPr="00947511">
        <w:rPr>
          <w:rFonts w:ascii="Tahoma" w:hAnsi="Tahoma" w:cs="Tahoma"/>
          <w:sz w:val="20"/>
          <w:szCs w:val="20"/>
        </w:rPr>
        <w:t xml:space="preserve">KS 3 </w:t>
      </w:r>
      <w:r w:rsidRPr="00947511">
        <w:rPr>
          <w:rFonts w:ascii="Tahoma" w:hAnsi="Tahoma" w:cs="Tahoma"/>
          <w:sz w:val="20"/>
          <w:szCs w:val="20"/>
        </w:rPr>
        <w:t xml:space="preserve">aim </w:t>
      </w:r>
      <w:r w:rsidR="004D0EED" w:rsidRPr="00947511">
        <w:rPr>
          <w:rFonts w:ascii="Tahoma" w:hAnsi="Tahoma" w:cs="Tahoma"/>
          <w:sz w:val="20"/>
          <w:szCs w:val="20"/>
        </w:rPr>
        <w:t>to limit content and</w:t>
      </w:r>
      <w:r w:rsidR="00917530" w:rsidRPr="00947511">
        <w:rPr>
          <w:rFonts w:ascii="Tahoma" w:hAnsi="Tahoma" w:cs="Tahoma"/>
          <w:sz w:val="20"/>
          <w:szCs w:val="20"/>
        </w:rPr>
        <w:t xml:space="preserve"> put greater emphasis on skills,</w:t>
      </w:r>
      <w:r w:rsidRPr="00947511">
        <w:rPr>
          <w:rFonts w:ascii="Tahoma" w:hAnsi="Tahoma" w:cs="Tahoma"/>
          <w:sz w:val="20"/>
          <w:szCs w:val="20"/>
        </w:rPr>
        <w:t xml:space="preserve"> attitudes and attributes; </w:t>
      </w:r>
      <w:r w:rsidR="00917530" w:rsidRPr="00947511">
        <w:rPr>
          <w:rFonts w:ascii="Tahoma" w:hAnsi="Tahoma" w:cs="Tahoma"/>
          <w:sz w:val="20"/>
          <w:szCs w:val="20"/>
        </w:rPr>
        <w:t xml:space="preserve">this </w:t>
      </w:r>
      <w:r w:rsidRPr="00947511">
        <w:rPr>
          <w:rFonts w:ascii="Tahoma" w:hAnsi="Tahoma" w:cs="Tahoma"/>
          <w:sz w:val="20"/>
          <w:szCs w:val="20"/>
        </w:rPr>
        <w:t xml:space="preserve">can equate </w:t>
      </w:r>
      <w:r w:rsidR="00917530" w:rsidRPr="00947511">
        <w:rPr>
          <w:rFonts w:ascii="Tahoma" w:hAnsi="Tahoma" w:cs="Tahoma"/>
          <w:sz w:val="20"/>
          <w:szCs w:val="20"/>
        </w:rPr>
        <w:t xml:space="preserve">to the development of critical thinking skills and </w:t>
      </w:r>
      <w:r w:rsidR="0070031C" w:rsidRPr="00947511">
        <w:rPr>
          <w:rFonts w:ascii="Tahoma" w:hAnsi="Tahoma" w:cs="Tahoma"/>
          <w:sz w:val="20"/>
          <w:szCs w:val="20"/>
        </w:rPr>
        <w:t xml:space="preserve">indeed </w:t>
      </w:r>
      <w:r w:rsidR="00917530" w:rsidRPr="00947511">
        <w:rPr>
          <w:rFonts w:ascii="Tahoma" w:hAnsi="Tahoma" w:cs="Tahoma"/>
          <w:sz w:val="20"/>
          <w:szCs w:val="20"/>
        </w:rPr>
        <w:t>an understanding of the process of science and the nature of how science works.</w:t>
      </w:r>
      <w:r w:rsidR="004D0EED" w:rsidRPr="00947511">
        <w:rPr>
          <w:rFonts w:ascii="Tahoma" w:hAnsi="Tahoma" w:cs="Tahoma"/>
          <w:sz w:val="20"/>
          <w:szCs w:val="20"/>
        </w:rPr>
        <w:t xml:space="preserve">  </w:t>
      </w:r>
      <w:r w:rsidR="00917530" w:rsidRPr="00947511">
        <w:rPr>
          <w:rFonts w:ascii="Tahoma" w:hAnsi="Tahoma" w:cs="Tahoma"/>
          <w:sz w:val="20"/>
          <w:szCs w:val="20"/>
        </w:rPr>
        <w:t>Osborne (2002) recognises that one of the key aims of science</w:t>
      </w:r>
      <w:r w:rsidR="00F25365">
        <w:rPr>
          <w:rFonts w:ascii="Tahoma" w:hAnsi="Tahoma" w:cs="Tahoma"/>
          <w:sz w:val="20"/>
          <w:szCs w:val="20"/>
        </w:rPr>
        <w:t xml:space="preserve"> education</w:t>
      </w:r>
      <w:r w:rsidR="00917530" w:rsidRPr="00947511">
        <w:rPr>
          <w:rFonts w:ascii="Tahoma" w:hAnsi="Tahoma" w:cs="Tahoma"/>
          <w:sz w:val="20"/>
          <w:szCs w:val="20"/>
        </w:rPr>
        <w:t xml:space="preserve"> is to develop a scientifically literate populace, who will have the critical faculties to begin to assess the significance of scientific evidence and ideas in modern day society.  In order to achieve this not only must the content and approaches to sc</w:t>
      </w:r>
      <w:r w:rsidR="0070031C" w:rsidRPr="00947511">
        <w:rPr>
          <w:rFonts w:ascii="Tahoma" w:hAnsi="Tahoma" w:cs="Tahoma"/>
          <w:sz w:val="20"/>
          <w:szCs w:val="20"/>
        </w:rPr>
        <w:t xml:space="preserve">ience education be </w:t>
      </w:r>
      <w:r w:rsidR="00241ED7" w:rsidRPr="00947511">
        <w:rPr>
          <w:rFonts w:ascii="Tahoma" w:hAnsi="Tahoma" w:cs="Tahoma"/>
          <w:sz w:val="20"/>
          <w:szCs w:val="20"/>
        </w:rPr>
        <w:t>conducive</w:t>
      </w:r>
      <w:r w:rsidR="0070031C" w:rsidRPr="00947511">
        <w:rPr>
          <w:rFonts w:ascii="Tahoma" w:hAnsi="Tahoma" w:cs="Tahoma"/>
          <w:sz w:val="20"/>
          <w:szCs w:val="20"/>
        </w:rPr>
        <w:t xml:space="preserve"> with</w:t>
      </w:r>
      <w:r w:rsidR="00917530" w:rsidRPr="00947511">
        <w:rPr>
          <w:rFonts w:ascii="Tahoma" w:hAnsi="Tahoma" w:cs="Tahoma"/>
          <w:sz w:val="20"/>
          <w:szCs w:val="20"/>
        </w:rPr>
        <w:t xml:space="preserve"> this but also opportunities need to be afforded that encourage the development of such skills and attributes.  This will only </w:t>
      </w:r>
      <w:r w:rsidR="0070031C" w:rsidRPr="00947511">
        <w:rPr>
          <w:rFonts w:ascii="Tahoma" w:hAnsi="Tahoma" w:cs="Tahoma"/>
          <w:sz w:val="20"/>
          <w:szCs w:val="20"/>
        </w:rPr>
        <w:t xml:space="preserve">occur when </w:t>
      </w:r>
      <w:r w:rsidR="00917530" w:rsidRPr="00947511">
        <w:rPr>
          <w:rFonts w:ascii="Tahoma" w:hAnsi="Tahoma" w:cs="Tahoma"/>
          <w:sz w:val="20"/>
          <w:szCs w:val="20"/>
        </w:rPr>
        <w:t>the learner take</w:t>
      </w:r>
      <w:r w:rsidR="0070031C" w:rsidRPr="00947511">
        <w:rPr>
          <w:rFonts w:ascii="Tahoma" w:hAnsi="Tahoma" w:cs="Tahoma"/>
          <w:sz w:val="20"/>
          <w:szCs w:val="20"/>
        </w:rPr>
        <w:t>s</w:t>
      </w:r>
      <w:r w:rsidR="00917530" w:rsidRPr="00947511">
        <w:rPr>
          <w:rFonts w:ascii="Tahoma" w:hAnsi="Tahoma" w:cs="Tahoma"/>
          <w:sz w:val="20"/>
          <w:szCs w:val="20"/>
        </w:rPr>
        <w:t xml:space="preserve"> ownership of their own learning and development; encouraging them to develop critical thinking skills and powers of reflection and deduction.  </w:t>
      </w:r>
    </w:p>
    <w:p w:rsidR="00917530" w:rsidRPr="00947511" w:rsidRDefault="00917530" w:rsidP="004D0EED">
      <w:pPr>
        <w:rPr>
          <w:rFonts w:ascii="Tahoma" w:hAnsi="Tahoma" w:cs="Tahoma"/>
          <w:sz w:val="20"/>
          <w:szCs w:val="20"/>
        </w:rPr>
      </w:pPr>
    </w:p>
    <w:p w:rsidR="004D0EED" w:rsidRPr="00947511" w:rsidRDefault="0070031C" w:rsidP="004D0EED">
      <w:pPr>
        <w:rPr>
          <w:rFonts w:ascii="Tahoma" w:hAnsi="Tahoma" w:cs="Tahoma"/>
          <w:bCs/>
          <w:sz w:val="20"/>
          <w:szCs w:val="20"/>
        </w:rPr>
      </w:pPr>
      <w:r w:rsidRPr="00947511">
        <w:rPr>
          <w:rFonts w:ascii="Tahoma" w:hAnsi="Tahoma" w:cs="Tahoma"/>
          <w:sz w:val="20"/>
          <w:szCs w:val="20"/>
        </w:rPr>
        <w:t>So i</w:t>
      </w:r>
      <w:r w:rsidR="00B60B68" w:rsidRPr="00947511">
        <w:rPr>
          <w:rFonts w:ascii="Tahoma" w:hAnsi="Tahoma" w:cs="Tahoma"/>
          <w:sz w:val="20"/>
          <w:szCs w:val="20"/>
        </w:rPr>
        <w:t xml:space="preserve">t may be more than just coincidence </w:t>
      </w:r>
      <w:r w:rsidR="007D37A1" w:rsidRPr="00947511">
        <w:rPr>
          <w:rFonts w:ascii="Tahoma" w:hAnsi="Tahoma" w:cs="Tahoma"/>
          <w:sz w:val="20"/>
          <w:szCs w:val="20"/>
        </w:rPr>
        <w:t xml:space="preserve">that these skills are reflected explicitly in </w:t>
      </w:r>
      <w:r w:rsidR="00B60B68" w:rsidRPr="00947511">
        <w:rPr>
          <w:rFonts w:ascii="Tahoma" w:hAnsi="Tahoma" w:cs="Tahoma"/>
          <w:sz w:val="20"/>
          <w:szCs w:val="20"/>
        </w:rPr>
        <w:t>the new Standards for</w:t>
      </w:r>
      <w:r w:rsidR="004D0EED" w:rsidRPr="00947511">
        <w:rPr>
          <w:rFonts w:ascii="Tahoma" w:hAnsi="Tahoma" w:cs="Tahoma"/>
          <w:b/>
          <w:bCs/>
          <w:sz w:val="20"/>
          <w:szCs w:val="20"/>
        </w:rPr>
        <w:t xml:space="preserve"> </w:t>
      </w:r>
      <w:r w:rsidR="004D0EED" w:rsidRPr="00947511">
        <w:rPr>
          <w:rFonts w:ascii="Tahoma" w:hAnsi="Tahoma" w:cs="Tahoma"/>
          <w:bCs/>
          <w:sz w:val="20"/>
          <w:szCs w:val="20"/>
        </w:rPr>
        <w:t>classroom teachers</w:t>
      </w:r>
      <w:r w:rsidRPr="00947511">
        <w:rPr>
          <w:rFonts w:ascii="Tahoma" w:hAnsi="Tahoma" w:cs="Tahoma"/>
          <w:bCs/>
          <w:sz w:val="20"/>
          <w:szCs w:val="20"/>
        </w:rPr>
        <w:t xml:space="preserve"> (TDA</w:t>
      </w:r>
      <w:r w:rsidR="00480CF0">
        <w:rPr>
          <w:rFonts w:ascii="Tahoma" w:hAnsi="Tahoma" w:cs="Tahoma"/>
          <w:bCs/>
          <w:sz w:val="20"/>
          <w:szCs w:val="20"/>
        </w:rPr>
        <w:t>, 2007</w:t>
      </w:r>
      <w:r w:rsidRPr="00947511">
        <w:rPr>
          <w:rFonts w:ascii="Tahoma" w:hAnsi="Tahoma" w:cs="Tahoma"/>
          <w:bCs/>
          <w:sz w:val="20"/>
          <w:szCs w:val="20"/>
        </w:rPr>
        <w:t xml:space="preserve">) and indeed, not surprising </w:t>
      </w:r>
      <w:r w:rsidR="007D37A1" w:rsidRPr="00947511">
        <w:rPr>
          <w:rFonts w:ascii="Tahoma" w:hAnsi="Tahoma" w:cs="Tahoma"/>
          <w:sz w:val="20"/>
          <w:szCs w:val="20"/>
        </w:rPr>
        <w:t xml:space="preserve">that PGCE programmes across the </w:t>
      </w:r>
      <w:smartTag w:uri="urn:schemas-microsoft-com:office:smarttags" w:element="place">
        <w:smartTag w:uri="urn:schemas-microsoft-com:office:smarttags" w:element="country-region">
          <w:r w:rsidR="007D37A1" w:rsidRPr="00947511">
            <w:rPr>
              <w:rFonts w:ascii="Tahoma" w:hAnsi="Tahoma" w:cs="Tahoma"/>
              <w:sz w:val="20"/>
              <w:szCs w:val="20"/>
            </w:rPr>
            <w:t>UK</w:t>
          </w:r>
        </w:smartTag>
      </w:smartTag>
      <w:r w:rsidR="007D37A1" w:rsidRPr="00947511">
        <w:rPr>
          <w:rFonts w:ascii="Tahoma" w:hAnsi="Tahoma" w:cs="Tahoma"/>
          <w:sz w:val="20"/>
          <w:szCs w:val="20"/>
        </w:rPr>
        <w:t xml:space="preserve"> are increasingly ascribing to Master’s Level as these same higher order skills underpin the academic rigour afforded by such studies.</w:t>
      </w:r>
    </w:p>
    <w:p w:rsidR="004D0EED" w:rsidRPr="00947511" w:rsidRDefault="004D0EED" w:rsidP="004D0EED">
      <w:pPr>
        <w:rPr>
          <w:rFonts w:ascii="Tahoma" w:hAnsi="Tahoma" w:cs="Tahoma"/>
          <w:sz w:val="20"/>
          <w:szCs w:val="20"/>
        </w:rPr>
      </w:pPr>
    </w:p>
    <w:p w:rsidR="007D37A1" w:rsidRPr="00947511" w:rsidRDefault="007D37A1" w:rsidP="00D52A34">
      <w:pPr>
        <w:rPr>
          <w:rFonts w:ascii="Tahoma" w:hAnsi="Tahoma" w:cs="Tahoma"/>
          <w:sz w:val="20"/>
          <w:szCs w:val="20"/>
        </w:rPr>
      </w:pPr>
      <w:r w:rsidRPr="00947511">
        <w:rPr>
          <w:rFonts w:ascii="Tahoma" w:hAnsi="Tahoma" w:cs="Tahoma"/>
          <w:sz w:val="20"/>
          <w:szCs w:val="20"/>
        </w:rPr>
        <w:t xml:space="preserve">This study, although small scale and inconclusive </w:t>
      </w:r>
      <w:r w:rsidR="0070031C" w:rsidRPr="00947511">
        <w:rPr>
          <w:rFonts w:ascii="Tahoma" w:hAnsi="Tahoma" w:cs="Tahoma"/>
          <w:sz w:val="20"/>
          <w:szCs w:val="20"/>
        </w:rPr>
        <w:t xml:space="preserve">does </w:t>
      </w:r>
      <w:r w:rsidRPr="00947511">
        <w:rPr>
          <w:rFonts w:ascii="Tahoma" w:hAnsi="Tahoma" w:cs="Tahoma"/>
          <w:sz w:val="20"/>
          <w:szCs w:val="20"/>
        </w:rPr>
        <w:t xml:space="preserve">suggest that </w:t>
      </w:r>
      <w:r w:rsidR="0070031C" w:rsidRPr="00947511">
        <w:rPr>
          <w:rFonts w:ascii="Tahoma" w:hAnsi="Tahoma" w:cs="Tahoma"/>
          <w:sz w:val="20"/>
          <w:szCs w:val="20"/>
        </w:rPr>
        <w:t xml:space="preserve">there is considerable work to be done </w:t>
      </w:r>
      <w:r w:rsidRPr="00947511">
        <w:rPr>
          <w:rFonts w:ascii="Tahoma" w:hAnsi="Tahoma" w:cs="Tahoma"/>
          <w:sz w:val="20"/>
          <w:szCs w:val="20"/>
        </w:rPr>
        <w:t xml:space="preserve">if our future teachers are to aspire to the challenges of contemporary science education and </w:t>
      </w:r>
      <w:r w:rsidR="0070031C" w:rsidRPr="00947511">
        <w:rPr>
          <w:rFonts w:ascii="Tahoma" w:hAnsi="Tahoma" w:cs="Tahoma"/>
          <w:sz w:val="20"/>
          <w:szCs w:val="20"/>
        </w:rPr>
        <w:t xml:space="preserve">themselves </w:t>
      </w:r>
      <w:r w:rsidRPr="00947511">
        <w:rPr>
          <w:rFonts w:ascii="Tahoma" w:hAnsi="Tahoma" w:cs="Tahoma"/>
          <w:sz w:val="20"/>
          <w:szCs w:val="20"/>
        </w:rPr>
        <w:t xml:space="preserve">strive to develop a scientifically literate populace </w:t>
      </w:r>
      <w:r w:rsidR="003E3C68" w:rsidRPr="00947511">
        <w:rPr>
          <w:rFonts w:ascii="Tahoma" w:hAnsi="Tahoma" w:cs="Tahoma"/>
          <w:sz w:val="20"/>
          <w:szCs w:val="20"/>
        </w:rPr>
        <w:t>capable of critical analysis and reflection as suggested by the current changes in science education.</w:t>
      </w:r>
    </w:p>
    <w:p w:rsidR="007D37A1" w:rsidRPr="00947511" w:rsidRDefault="007D37A1" w:rsidP="00D52A34">
      <w:pPr>
        <w:rPr>
          <w:rFonts w:ascii="Tahoma" w:hAnsi="Tahoma" w:cs="Tahoma"/>
          <w:sz w:val="20"/>
          <w:szCs w:val="20"/>
        </w:rPr>
      </w:pPr>
    </w:p>
    <w:p w:rsidR="000946A5" w:rsidRDefault="000946A5">
      <w:pPr>
        <w:rPr>
          <w:rFonts w:ascii="Tahoma" w:hAnsi="Tahoma" w:cs="Tahoma"/>
          <w:b/>
        </w:rPr>
      </w:pPr>
    </w:p>
    <w:p w:rsidR="004C719B" w:rsidRPr="00947511" w:rsidRDefault="004C719B">
      <w:pPr>
        <w:rPr>
          <w:rFonts w:ascii="Tahoma" w:hAnsi="Tahoma" w:cs="Tahoma"/>
          <w:b/>
        </w:rPr>
      </w:pPr>
      <w:r w:rsidRPr="00947511">
        <w:rPr>
          <w:rFonts w:ascii="Tahoma" w:hAnsi="Tahoma" w:cs="Tahoma"/>
          <w:b/>
        </w:rPr>
        <w:lastRenderedPageBreak/>
        <w:t>Recommendations</w:t>
      </w:r>
    </w:p>
    <w:p w:rsidR="003E3C68" w:rsidRPr="00947511" w:rsidRDefault="004C719B">
      <w:pPr>
        <w:rPr>
          <w:rFonts w:ascii="Tahoma" w:hAnsi="Tahoma" w:cs="Tahoma"/>
          <w:sz w:val="20"/>
          <w:szCs w:val="20"/>
        </w:rPr>
      </w:pPr>
      <w:r w:rsidRPr="00947511">
        <w:rPr>
          <w:rFonts w:ascii="Tahoma" w:hAnsi="Tahoma" w:cs="Tahoma"/>
          <w:sz w:val="20"/>
          <w:szCs w:val="20"/>
        </w:rPr>
        <w:t xml:space="preserve">The following </w:t>
      </w:r>
      <w:r w:rsidR="00510E7F" w:rsidRPr="00947511">
        <w:rPr>
          <w:rFonts w:ascii="Tahoma" w:hAnsi="Tahoma" w:cs="Tahoma"/>
          <w:sz w:val="20"/>
          <w:szCs w:val="20"/>
        </w:rPr>
        <w:t xml:space="preserve">key recommendations </w:t>
      </w:r>
      <w:r w:rsidRPr="00947511">
        <w:rPr>
          <w:rFonts w:ascii="Tahoma" w:hAnsi="Tahoma" w:cs="Tahoma"/>
          <w:sz w:val="20"/>
          <w:szCs w:val="20"/>
        </w:rPr>
        <w:t>have arisen from this study and will inform the next stage of its development</w:t>
      </w:r>
      <w:r w:rsidR="003E3C68" w:rsidRPr="00947511">
        <w:rPr>
          <w:rFonts w:ascii="Tahoma" w:hAnsi="Tahoma" w:cs="Tahoma"/>
          <w:sz w:val="20"/>
          <w:szCs w:val="20"/>
        </w:rPr>
        <w:t>:</w:t>
      </w:r>
    </w:p>
    <w:p w:rsidR="003E3C68" w:rsidRPr="00947511" w:rsidRDefault="003E3C68">
      <w:pPr>
        <w:rPr>
          <w:rFonts w:ascii="Tahoma" w:hAnsi="Tahoma" w:cs="Tahoma"/>
          <w:sz w:val="20"/>
          <w:szCs w:val="20"/>
        </w:rPr>
      </w:pPr>
    </w:p>
    <w:p w:rsidR="003E3C68" w:rsidRPr="00947511" w:rsidRDefault="0070031C" w:rsidP="003E3C68">
      <w:pPr>
        <w:numPr>
          <w:ilvl w:val="0"/>
          <w:numId w:val="7"/>
        </w:numPr>
        <w:rPr>
          <w:rFonts w:ascii="Tahoma" w:hAnsi="Tahoma" w:cs="Tahoma"/>
          <w:sz w:val="20"/>
          <w:szCs w:val="20"/>
        </w:rPr>
      </w:pPr>
      <w:r w:rsidRPr="00947511">
        <w:rPr>
          <w:rFonts w:ascii="Tahoma" w:hAnsi="Tahoma" w:cs="Tahoma"/>
          <w:sz w:val="20"/>
          <w:szCs w:val="20"/>
        </w:rPr>
        <w:t>The n</w:t>
      </w:r>
      <w:r w:rsidR="003E3C68" w:rsidRPr="00947511">
        <w:rPr>
          <w:rFonts w:ascii="Tahoma" w:hAnsi="Tahoma" w:cs="Tahoma"/>
          <w:sz w:val="20"/>
          <w:szCs w:val="20"/>
        </w:rPr>
        <w:t xml:space="preserve">eed for clear and accessible learning </w:t>
      </w:r>
      <w:r w:rsidR="00510E7F" w:rsidRPr="00947511">
        <w:rPr>
          <w:rFonts w:ascii="Tahoma" w:hAnsi="Tahoma" w:cs="Tahoma"/>
          <w:sz w:val="20"/>
          <w:szCs w:val="20"/>
        </w:rPr>
        <w:t xml:space="preserve">intensions and </w:t>
      </w:r>
      <w:r w:rsidR="003E3C68" w:rsidRPr="00947511">
        <w:rPr>
          <w:rFonts w:ascii="Tahoma" w:hAnsi="Tahoma" w:cs="Tahoma"/>
          <w:sz w:val="20"/>
          <w:szCs w:val="20"/>
        </w:rPr>
        <w:t>outcomes which focus the learner’s area of self study</w:t>
      </w:r>
      <w:r w:rsidR="00E64AFE" w:rsidRPr="00947511">
        <w:rPr>
          <w:rFonts w:ascii="Tahoma" w:hAnsi="Tahoma" w:cs="Tahoma"/>
          <w:sz w:val="20"/>
          <w:szCs w:val="20"/>
        </w:rPr>
        <w:t xml:space="preserve">.  Tunnicliffe and Ueckert </w:t>
      </w:r>
      <w:r w:rsidR="0042474A" w:rsidRPr="00947511">
        <w:rPr>
          <w:rFonts w:ascii="Tahoma" w:hAnsi="Tahoma" w:cs="Tahoma"/>
          <w:sz w:val="20"/>
          <w:szCs w:val="20"/>
        </w:rPr>
        <w:t>(2007</w:t>
      </w:r>
      <w:r w:rsidR="00E64AFE" w:rsidRPr="00947511">
        <w:rPr>
          <w:rFonts w:ascii="Tahoma" w:hAnsi="Tahoma" w:cs="Tahoma"/>
          <w:sz w:val="20"/>
          <w:szCs w:val="20"/>
        </w:rPr>
        <w:t>) stress that, ‘… if students are to connect ideas and develop deep understandings over time, it is essential that learning goals are coherent</w:t>
      </w:r>
      <w:r w:rsidR="00DE76A0" w:rsidRPr="00947511">
        <w:rPr>
          <w:rFonts w:ascii="Tahoma" w:hAnsi="Tahoma" w:cs="Tahoma"/>
          <w:sz w:val="20"/>
          <w:szCs w:val="20"/>
        </w:rPr>
        <w:t xml:space="preserve"> …’</w:t>
      </w:r>
      <w:r w:rsidR="00E64AFE" w:rsidRPr="00947511">
        <w:rPr>
          <w:rFonts w:ascii="Tahoma" w:hAnsi="Tahoma" w:cs="Tahoma"/>
          <w:sz w:val="20"/>
          <w:szCs w:val="20"/>
        </w:rPr>
        <w:t xml:space="preserve"> (p.52)</w:t>
      </w:r>
      <w:r w:rsidRPr="00947511">
        <w:rPr>
          <w:rFonts w:ascii="Tahoma" w:hAnsi="Tahoma" w:cs="Tahoma"/>
          <w:sz w:val="20"/>
          <w:szCs w:val="20"/>
        </w:rPr>
        <w:t>.  This in itself is just good educational practice.</w:t>
      </w:r>
    </w:p>
    <w:p w:rsidR="00DE76A0" w:rsidRPr="00947511" w:rsidRDefault="00DE76A0" w:rsidP="00DE76A0">
      <w:pPr>
        <w:numPr>
          <w:ilvl w:val="0"/>
          <w:numId w:val="7"/>
        </w:numPr>
        <w:rPr>
          <w:rFonts w:ascii="Tahoma" w:hAnsi="Tahoma" w:cs="Tahoma"/>
          <w:sz w:val="20"/>
          <w:szCs w:val="20"/>
        </w:rPr>
      </w:pPr>
      <w:r w:rsidRPr="00947511">
        <w:rPr>
          <w:rFonts w:ascii="Tahoma" w:hAnsi="Tahoma" w:cs="Tahoma"/>
          <w:sz w:val="20"/>
          <w:szCs w:val="20"/>
        </w:rPr>
        <w:t>The curriculum should emphasise connectivity and inclusion to ensure the ‘Big Picture’ approach is attained rather than just isolated unconnected concepts.</w:t>
      </w:r>
    </w:p>
    <w:p w:rsidR="003E3C68" w:rsidRPr="00947511" w:rsidRDefault="0070031C" w:rsidP="003E3C68">
      <w:pPr>
        <w:numPr>
          <w:ilvl w:val="0"/>
          <w:numId w:val="7"/>
        </w:numPr>
        <w:rPr>
          <w:rFonts w:ascii="Tahoma" w:hAnsi="Tahoma" w:cs="Tahoma"/>
          <w:sz w:val="20"/>
          <w:szCs w:val="20"/>
        </w:rPr>
      </w:pPr>
      <w:r w:rsidRPr="00947511">
        <w:rPr>
          <w:rFonts w:ascii="Tahoma" w:hAnsi="Tahoma" w:cs="Tahoma"/>
          <w:sz w:val="20"/>
          <w:szCs w:val="20"/>
        </w:rPr>
        <w:t xml:space="preserve">A review of assessment </w:t>
      </w:r>
      <w:r w:rsidR="00510E7F" w:rsidRPr="00947511">
        <w:rPr>
          <w:rFonts w:ascii="Tahoma" w:hAnsi="Tahoma" w:cs="Tahoma"/>
          <w:sz w:val="20"/>
          <w:szCs w:val="20"/>
        </w:rPr>
        <w:t>to ensure that it does not lead the learning but rather informs and enables it</w:t>
      </w:r>
      <w:r w:rsidRPr="00947511">
        <w:rPr>
          <w:rFonts w:ascii="Tahoma" w:hAnsi="Tahoma" w:cs="Tahoma"/>
          <w:sz w:val="20"/>
          <w:szCs w:val="20"/>
        </w:rPr>
        <w:t>.</w:t>
      </w:r>
    </w:p>
    <w:p w:rsidR="00510E7F" w:rsidRPr="00947511" w:rsidRDefault="0070031C" w:rsidP="003E3C68">
      <w:pPr>
        <w:numPr>
          <w:ilvl w:val="0"/>
          <w:numId w:val="7"/>
        </w:numPr>
        <w:rPr>
          <w:rFonts w:ascii="Tahoma" w:hAnsi="Tahoma" w:cs="Tahoma"/>
          <w:sz w:val="20"/>
          <w:szCs w:val="20"/>
        </w:rPr>
      </w:pPr>
      <w:r w:rsidRPr="00947511">
        <w:rPr>
          <w:rFonts w:ascii="Tahoma" w:hAnsi="Tahoma" w:cs="Tahoma"/>
          <w:sz w:val="20"/>
          <w:szCs w:val="20"/>
        </w:rPr>
        <w:t xml:space="preserve">Encourage </w:t>
      </w:r>
      <w:r w:rsidR="00510E7F" w:rsidRPr="00947511">
        <w:rPr>
          <w:rFonts w:ascii="Tahoma" w:hAnsi="Tahoma" w:cs="Tahoma"/>
          <w:sz w:val="20"/>
          <w:szCs w:val="20"/>
        </w:rPr>
        <w:t>indepen</w:t>
      </w:r>
      <w:r w:rsidRPr="00947511">
        <w:rPr>
          <w:rFonts w:ascii="Tahoma" w:hAnsi="Tahoma" w:cs="Tahoma"/>
          <w:sz w:val="20"/>
          <w:szCs w:val="20"/>
        </w:rPr>
        <w:t xml:space="preserve">dent learning whilst developing </w:t>
      </w:r>
      <w:r w:rsidR="00510E7F" w:rsidRPr="00947511">
        <w:rPr>
          <w:rFonts w:ascii="Tahoma" w:hAnsi="Tahoma" w:cs="Tahoma"/>
          <w:sz w:val="20"/>
          <w:szCs w:val="20"/>
        </w:rPr>
        <w:t>the hi</w:t>
      </w:r>
      <w:r w:rsidR="00785F6B" w:rsidRPr="00947511">
        <w:rPr>
          <w:rFonts w:ascii="Tahoma" w:hAnsi="Tahoma" w:cs="Tahoma"/>
          <w:sz w:val="20"/>
          <w:szCs w:val="20"/>
        </w:rPr>
        <w:t>gher order skills of reflective and</w:t>
      </w:r>
      <w:r w:rsidR="00510E7F" w:rsidRPr="00947511">
        <w:rPr>
          <w:rFonts w:ascii="Tahoma" w:hAnsi="Tahoma" w:cs="Tahoma"/>
          <w:sz w:val="20"/>
          <w:szCs w:val="20"/>
        </w:rPr>
        <w:t xml:space="preserve"> critical analysis</w:t>
      </w:r>
      <w:r w:rsidRPr="00947511">
        <w:rPr>
          <w:rFonts w:ascii="Tahoma" w:hAnsi="Tahoma" w:cs="Tahoma"/>
          <w:sz w:val="20"/>
          <w:szCs w:val="20"/>
        </w:rPr>
        <w:t>, thereby</w:t>
      </w:r>
      <w:r w:rsidR="00510E7F" w:rsidRPr="00947511">
        <w:rPr>
          <w:rFonts w:ascii="Tahoma" w:hAnsi="Tahoma" w:cs="Tahoma"/>
          <w:sz w:val="20"/>
          <w:szCs w:val="20"/>
        </w:rPr>
        <w:t xml:space="preserve"> </w:t>
      </w:r>
      <w:r w:rsidR="00785F6B" w:rsidRPr="00947511">
        <w:rPr>
          <w:rFonts w:ascii="Tahoma" w:hAnsi="Tahoma" w:cs="Tahoma"/>
          <w:sz w:val="20"/>
          <w:szCs w:val="20"/>
        </w:rPr>
        <w:t>develop</w:t>
      </w:r>
      <w:r w:rsidRPr="00947511">
        <w:rPr>
          <w:rFonts w:ascii="Tahoma" w:hAnsi="Tahoma" w:cs="Tahoma"/>
          <w:sz w:val="20"/>
          <w:szCs w:val="20"/>
        </w:rPr>
        <w:t>ing</w:t>
      </w:r>
      <w:r w:rsidR="00785F6B" w:rsidRPr="00947511">
        <w:rPr>
          <w:rFonts w:ascii="Tahoma" w:hAnsi="Tahoma" w:cs="Tahoma"/>
          <w:sz w:val="20"/>
          <w:szCs w:val="20"/>
        </w:rPr>
        <w:t xml:space="preserve"> autonomous</w:t>
      </w:r>
      <w:r w:rsidR="00510E7F" w:rsidRPr="00947511">
        <w:rPr>
          <w:rFonts w:ascii="Tahoma" w:hAnsi="Tahoma" w:cs="Tahoma"/>
          <w:sz w:val="20"/>
          <w:szCs w:val="20"/>
        </w:rPr>
        <w:t xml:space="preserve"> and progressive life </w:t>
      </w:r>
      <w:smartTag w:uri="urn:schemas-microsoft-com:office:smarttags" w:element="PersonName">
        <w:r w:rsidR="00510E7F" w:rsidRPr="00947511">
          <w:rPr>
            <w:rFonts w:ascii="Tahoma" w:hAnsi="Tahoma" w:cs="Tahoma"/>
            <w:sz w:val="20"/>
            <w:szCs w:val="20"/>
          </w:rPr>
          <w:t>long</w:t>
        </w:r>
      </w:smartTag>
      <w:r w:rsidR="00510E7F" w:rsidRPr="00947511">
        <w:rPr>
          <w:rFonts w:ascii="Tahoma" w:hAnsi="Tahoma" w:cs="Tahoma"/>
          <w:sz w:val="20"/>
          <w:szCs w:val="20"/>
        </w:rPr>
        <w:t xml:space="preserve"> learners who can identify their own learning needs and </w:t>
      </w:r>
      <w:r w:rsidR="00785F6B" w:rsidRPr="00947511">
        <w:rPr>
          <w:rFonts w:ascii="Tahoma" w:hAnsi="Tahoma" w:cs="Tahoma"/>
          <w:sz w:val="20"/>
          <w:szCs w:val="20"/>
        </w:rPr>
        <w:t>areas for development.  Once they can do this for themselves, affording similar opportunities for their pupils will follow</w:t>
      </w:r>
      <w:r w:rsidR="00DE76A0" w:rsidRPr="00947511">
        <w:rPr>
          <w:rFonts w:ascii="Tahoma" w:hAnsi="Tahoma" w:cs="Tahoma"/>
          <w:sz w:val="20"/>
          <w:szCs w:val="20"/>
        </w:rPr>
        <w:t>.</w:t>
      </w:r>
    </w:p>
    <w:p w:rsidR="00756907" w:rsidRDefault="00756907">
      <w:pPr>
        <w:rPr>
          <w:rFonts w:ascii="Tahoma" w:hAnsi="Tahoma" w:cs="Tahoma"/>
          <w:sz w:val="20"/>
          <w:szCs w:val="20"/>
        </w:rPr>
      </w:pPr>
    </w:p>
    <w:p w:rsidR="00AD388F" w:rsidRPr="00AD388F" w:rsidRDefault="00E27D64" w:rsidP="00AD388F">
      <w:pPr>
        <w:rPr>
          <w:rFonts w:ascii="Tahoma" w:hAnsi="Tahoma" w:cs="Tahoma"/>
          <w:b/>
        </w:rPr>
      </w:pPr>
      <w:r>
        <w:rPr>
          <w:rFonts w:ascii="Tahoma" w:hAnsi="Tahoma" w:cs="Tahoma"/>
          <w:b/>
        </w:rPr>
        <w:t>References</w:t>
      </w:r>
    </w:p>
    <w:p w:rsidR="00AD388F" w:rsidRDefault="00AD388F" w:rsidP="00AD388F"/>
    <w:p w:rsidR="00AD388F" w:rsidRPr="00AD388F" w:rsidRDefault="00AD388F" w:rsidP="00AD388F">
      <w:pPr>
        <w:rPr>
          <w:rFonts w:ascii="Tahoma" w:hAnsi="Tahoma" w:cs="Tahoma"/>
          <w:sz w:val="20"/>
          <w:szCs w:val="20"/>
        </w:rPr>
      </w:pPr>
      <w:r w:rsidRPr="00AD388F">
        <w:rPr>
          <w:rFonts w:ascii="Tahoma" w:hAnsi="Tahoma" w:cs="Tahoma"/>
          <w:sz w:val="20"/>
          <w:szCs w:val="20"/>
          <w:lang w:val="en-US"/>
        </w:rPr>
        <w:t xml:space="preserve">Bruner, J. (1966). Toward a Theory of Instruction. </w:t>
      </w:r>
      <w:smartTag w:uri="urn:schemas-microsoft-com:office:smarttags" w:element="City">
        <w:r w:rsidRPr="00AD388F">
          <w:rPr>
            <w:rFonts w:ascii="Tahoma" w:hAnsi="Tahoma" w:cs="Tahoma"/>
            <w:sz w:val="20"/>
            <w:szCs w:val="20"/>
            <w:lang w:val="en-US"/>
          </w:rPr>
          <w:t>Cambridge</w:t>
        </w:r>
      </w:smartTag>
      <w:r w:rsidRPr="00AD388F">
        <w:rPr>
          <w:rFonts w:ascii="Tahoma" w:hAnsi="Tahoma" w:cs="Tahoma"/>
          <w:sz w:val="20"/>
          <w:szCs w:val="20"/>
          <w:lang w:val="en-US"/>
        </w:rPr>
        <w:t xml:space="preserve">, </w:t>
      </w:r>
      <w:smartTag w:uri="urn:schemas-microsoft-com:office:smarttags" w:element="State">
        <w:r w:rsidRPr="00AD388F">
          <w:rPr>
            <w:rFonts w:ascii="Tahoma" w:hAnsi="Tahoma" w:cs="Tahoma"/>
            <w:sz w:val="20"/>
            <w:szCs w:val="20"/>
            <w:lang w:val="en-US"/>
          </w:rPr>
          <w:t>MA</w:t>
        </w:r>
      </w:smartTag>
      <w:r w:rsidRPr="00AD388F">
        <w:rPr>
          <w:rFonts w:ascii="Tahoma" w:hAnsi="Tahoma" w:cs="Tahoma"/>
          <w:sz w:val="20"/>
          <w:szCs w:val="20"/>
          <w:lang w:val="en-US"/>
        </w:rPr>
        <w:t xml:space="preserve">: </w:t>
      </w:r>
      <w:smartTag w:uri="urn:schemas-microsoft-com:office:smarttags" w:element="place">
        <w:smartTag w:uri="urn:schemas-microsoft-com:office:smarttags" w:element="PlaceName">
          <w:r w:rsidRPr="00AD388F">
            <w:rPr>
              <w:rFonts w:ascii="Tahoma" w:hAnsi="Tahoma" w:cs="Tahoma"/>
              <w:sz w:val="20"/>
              <w:szCs w:val="20"/>
              <w:lang w:val="en-US"/>
            </w:rPr>
            <w:t>Harvard</w:t>
          </w:r>
        </w:smartTag>
        <w:r w:rsidRPr="00AD388F">
          <w:rPr>
            <w:rFonts w:ascii="Tahoma" w:hAnsi="Tahoma" w:cs="Tahoma"/>
            <w:sz w:val="20"/>
            <w:szCs w:val="20"/>
            <w:lang w:val="en-US"/>
          </w:rPr>
          <w:t xml:space="preserve"> </w:t>
        </w:r>
        <w:smartTag w:uri="urn:schemas-microsoft-com:office:smarttags" w:element="PlaceType">
          <w:r w:rsidRPr="00AD388F">
            <w:rPr>
              <w:rFonts w:ascii="Tahoma" w:hAnsi="Tahoma" w:cs="Tahoma"/>
              <w:sz w:val="20"/>
              <w:szCs w:val="20"/>
              <w:lang w:val="en-US"/>
            </w:rPr>
            <w:t>University</w:t>
          </w:r>
        </w:smartTag>
      </w:smartTag>
      <w:r w:rsidRPr="00AD388F">
        <w:rPr>
          <w:rFonts w:ascii="Tahoma" w:hAnsi="Tahoma" w:cs="Tahoma"/>
          <w:sz w:val="20"/>
          <w:szCs w:val="20"/>
          <w:lang w:val="en-US"/>
        </w:rPr>
        <w:t xml:space="preserve"> Press.</w:t>
      </w:r>
    </w:p>
    <w:p w:rsidR="00AD388F" w:rsidRPr="00AD388F" w:rsidRDefault="00AD388F" w:rsidP="00AD388F">
      <w:pPr>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Bruner, J. (1996) The Culture of Education, </w:t>
      </w:r>
      <w:smartTag w:uri="urn:schemas-microsoft-com:office:smarttags" w:element="PlaceName">
        <w:r w:rsidRPr="00AD388F">
          <w:rPr>
            <w:rFonts w:ascii="Tahoma" w:hAnsi="Tahoma" w:cs="Tahoma"/>
            <w:sz w:val="20"/>
            <w:szCs w:val="20"/>
          </w:rPr>
          <w:t>Harvard</w:t>
        </w:r>
      </w:smartTag>
      <w:r w:rsidRPr="00AD388F">
        <w:rPr>
          <w:rFonts w:ascii="Tahoma" w:hAnsi="Tahoma" w:cs="Tahoma"/>
          <w:sz w:val="20"/>
          <w:szCs w:val="20"/>
        </w:rPr>
        <w:t xml:space="preserve"> </w:t>
      </w:r>
      <w:smartTag w:uri="urn:schemas-microsoft-com:office:smarttags" w:element="PlaceType">
        <w:r w:rsidRPr="00AD388F">
          <w:rPr>
            <w:rFonts w:ascii="Tahoma" w:hAnsi="Tahoma" w:cs="Tahoma"/>
            <w:sz w:val="20"/>
            <w:szCs w:val="20"/>
          </w:rPr>
          <w:t>University</w:t>
        </w:r>
      </w:smartTag>
      <w:r w:rsidRPr="00AD388F">
        <w:rPr>
          <w:rFonts w:ascii="Tahoma" w:hAnsi="Tahoma" w:cs="Tahoma"/>
          <w:sz w:val="20"/>
          <w:szCs w:val="20"/>
        </w:rPr>
        <w:t xml:space="preserve"> Press, </w:t>
      </w:r>
      <w:smartTag w:uri="urn:schemas-microsoft-com:office:smarttags" w:element="place">
        <w:smartTag w:uri="urn:schemas-microsoft-com:office:smarttags" w:element="City">
          <w:r w:rsidRPr="00AD388F">
            <w:rPr>
              <w:rFonts w:ascii="Tahoma" w:hAnsi="Tahoma" w:cs="Tahoma"/>
              <w:sz w:val="20"/>
              <w:szCs w:val="20"/>
            </w:rPr>
            <w:t>London</w:t>
          </w:r>
        </w:smartTag>
        <w:r w:rsidRPr="00AD388F">
          <w:rPr>
            <w:rFonts w:ascii="Tahoma" w:hAnsi="Tahoma" w:cs="Tahoma"/>
            <w:sz w:val="20"/>
            <w:szCs w:val="20"/>
          </w:rPr>
          <w:t xml:space="preserve">, </w:t>
        </w:r>
        <w:smartTag w:uri="urn:schemas-microsoft-com:office:smarttags" w:element="country-region">
          <w:r w:rsidRPr="00AD388F">
            <w:rPr>
              <w:rFonts w:ascii="Tahoma" w:hAnsi="Tahoma" w:cs="Tahoma"/>
              <w:sz w:val="20"/>
              <w:szCs w:val="20"/>
            </w:rPr>
            <w:t>England</w:t>
          </w:r>
        </w:smartTag>
      </w:smartTag>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Driver, R. Guesne, E. and Tiberghien, A (eds) (1985) </w:t>
      </w:r>
      <w:r w:rsidRPr="00AD388F">
        <w:rPr>
          <w:rFonts w:ascii="Tahoma" w:hAnsi="Tahoma" w:cs="Tahoma"/>
          <w:i/>
          <w:sz w:val="20"/>
          <w:szCs w:val="20"/>
        </w:rPr>
        <w:t>Children’s ideas in science</w:t>
      </w:r>
      <w:r w:rsidRPr="00AD388F">
        <w:rPr>
          <w:rFonts w:ascii="Tahoma" w:hAnsi="Tahoma" w:cs="Tahoma"/>
          <w:sz w:val="20"/>
          <w:szCs w:val="20"/>
        </w:rPr>
        <w:t xml:space="preserve">, </w:t>
      </w:r>
      <w:smartTag w:uri="urn:schemas-microsoft-com:office:smarttags" w:element="place">
        <w:r w:rsidRPr="00AD388F">
          <w:rPr>
            <w:rFonts w:ascii="Tahoma" w:hAnsi="Tahoma" w:cs="Tahoma"/>
            <w:sz w:val="20"/>
            <w:szCs w:val="20"/>
          </w:rPr>
          <w:t>Milton Keynes</w:t>
        </w:r>
      </w:smartTag>
      <w:r w:rsidRPr="00AD388F">
        <w:rPr>
          <w:rFonts w:ascii="Tahoma" w:hAnsi="Tahoma" w:cs="Tahoma"/>
          <w:sz w:val="20"/>
          <w:szCs w:val="20"/>
        </w:rPr>
        <w:t>, Open University Press</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Fisher, R. (1995) Teaching children to Think, </w:t>
      </w:r>
      <w:smartTag w:uri="urn:schemas-microsoft-com:office:smarttags" w:element="place">
        <w:r w:rsidRPr="00AD388F">
          <w:rPr>
            <w:rFonts w:ascii="Tahoma" w:hAnsi="Tahoma" w:cs="Tahoma"/>
            <w:sz w:val="20"/>
            <w:szCs w:val="20"/>
          </w:rPr>
          <w:t>Cheltenham</w:t>
        </w:r>
      </w:smartTag>
      <w:r w:rsidRPr="00AD388F">
        <w:rPr>
          <w:rFonts w:ascii="Tahoma" w:hAnsi="Tahoma" w:cs="Tahoma"/>
          <w:sz w:val="20"/>
          <w:szCs w:val="20"/>
        </w:rPr>
        <w:t>, Stanley Thornes.</w:t>
      </w:r>
    </w:p>
    <w:p w:rsidR="00AD388F" w:rsidRPr="00AD388F" w:rsidRDefault="00AD388F" w:rsidP="00AD388F">
      <w:pPr>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Lakin, E. (2002), Food, Exercise and lifestyle: an Initial Teacher Trainee perspective, </w:t>
      </w:r>
      <w:r w:rsidRPr="00AD388F">
        <w:rPr>
          <w:rFonts w:ascii="Tahoma" w:hAnsi="Tahoma" w:cs="Tahoma"/>
          <w:i/>
          <w:iCs/>
          <w:sz w:val="20"/>
          <w:szCs w:val="20"/>
        </w:rPr>
        <w:t>International Journal of Consumer Studies</w:t>
      </w:r>
      <w:r w:rsidRPr="00AD388F">
        <w:rPr>
          <w:rFonts w:ascii="Tahoma" w:hAnsi="Tahoma" w:cs="Tahoma"/>
          <w:sz w:val="20"/>
          <w:szCs w:val="20"/>
        </w:rPr>
        <w:t xml:space="preserve">, </w:t>
      </w:r>
      <w:r w:rsidRPr="00AD388F">
        <w:rPr>
          <w:rFonts w:ascii="Tahoma" w:hAnsi="Tahoma" w:cs="Tahoma"/>
          <w:b/>
          <w:bCs/>
          <w:sz w:val="20"/>
          <w:szCs w:val="20"/>
        </w:rPr>
        <w:t>26</w:t>
      </w:r>
      <w:r w:rsidRPr="00AD388F">
        <w:rPr>
          <w:rFonts w:ascii="Tahoma" w:hAnsi="Tahoma" w:cs="Tahoma"/>
          <w:sz w:val="20"/>
          <w:szCs w:val="20"/>
        </w:rPr>
        <w:t xml:space="preserve"> (3), pp.188–198. </w:t>
      </w:r>
    </w:p>
    <w:p w:rsidR="00AD388F" w:rsidRPr="00AD388F" w:rsidRDefault="00AD388F" w:rsidP="00AD388F">
      <w:pPr>
        <w:ind w:left="180" w:hanging="180"/>
        <w:rPr>
          <w:rFonts w:ascii="Tahoma" w:hAnsi="Tahoma" w:cs="Tahoma"/>
          <w:sz w:val="20"/>
          <w:szCs w:val="20"/>
        </w:rPr>
      </w:pPr>
    </w:p>
    <w:p w:rsidR="00AD388F" w:rsidRPr="00AD388F" w:rsidRDefault="00AD388F" w:rsidP="00AD388F">
      <w:pPr>
        <w:rPr>
          <w:rFonts w:ascii="Tahoma" w:hAnsi="Tahoma" w:cs="Tahoma"/>
          <w:sz w:val="20"/>
          <w:szCs w:val="20"/>
        </w:rPr>
      </w:pPr>
      <w:r w:rsidRPr="00AD388F">
        <w:rPr>
          <w:rFonts w:ascii="Tahoma" w:hAnsi="Tahoma" w:cs="Tahoma"/>
          <w:sz w:val="20"/>
          <w:szCs w:val="20"/>
        </w:rPr>
        <w:t>Lakin, L. (2004) The golden age of protein: an initial teacher training perspective on the biological role of</w:t>
      </w:r>
      <w:r w:rsidR="0042474A">
        <w:rPr>
          <w:rFonts w:ascii="Tahoma" w:hAnsi="Tahoma" w:cs="Tahoma"/>
          <w:sz w:val="20"/>
          <w:szCs w:val="20"/>
        </w:rPr>
        <w:t xml:space="preserve"> proteins in our everyday life</w:t>
      </w:r>
      <w:r w:rsidRPr="00AD388F">
        <w:rPr>
          <w:rFonts w:ascii="Tahoma" w:hAnsi="Tahoma" w:cs="Tahoma"/>
          <w:sz w:val="20"/>
          <w:szCs w:val="20"/>
        </w:rPr>
        <w:t xml:space="preserve">, </w:t>
      </w:r>
      <w:r w:rsidRPr="00AD388F">
        <w:rPr>
          <w:rFonts w:ascii="Tahoma" w:hAnsi="Tahoma" w:cs="Tahoma"/>
          <w:i/>
          <w:sz w:val="20"/>
          <w:szCs w:val="20"/>
        </w:rPr>
        <w:t xml:space="preserve">International Journal of Consumer Studies, </w:t>
      </w:r>
      <w:r w:rsidRPr="00AD388F">
        <w:rPr>
          <w:rFonts w:ascii="Tahoma" w:hAnsi="Tahoma" w:cs="Tahoma"/>
          <w:sz w:val="20"/>
          <w:szCs w:val="20"/>
        </w:rPr>
        <w:t>28 (2), pp. 127-134</w:t>
      </w:r>
    </w:p>
    <w:p w:rsidR="00AD388F" w:rsidRPr="00AD388F" w:rsidRDefault="00AD388F" w:rsidP="00AD388F">
      <w:pPr>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Lakin, L. (2005) Developing innovative pedagogy to enhance teaching and learning in Science and Environmental Education, </w:t>
      </w:r>
      <w:r w:rsidR="0042474A">
        <w:rPr>
          <w:rFonts w:ascii="Tahoma" w:hAnsi="Tahoma" w:cs="Tahoma"/>
          <w:i/>
          <w:sz w:val="20"/>
          <w:szCs w:val="20"/>
        </w:rPr>
        <w:t>Forschungs – und E</w:t>
      </w:r>
      <w:r w:rsidRPr="00AD388F">
        <w:rPr>
          <w:rFonts w:ascii="Tahoma" w:hAnsi="Tahoma" w:cs="Tahoma"/>
          <w:i/>
          <w:sz w:val="20"/>
          <w:szCs w:val="20"/>
        </w:rPr>
        <w:t>ntwicklungsarbeit</w:t>
      </w:r>
      <w:r w:rsidRPr="00AD388F">
        <w:rPr>
          <w:rFonts w:ascii="Tahoma" w:hAnsi="Tahoma" w:cs="Tahoma"/>
          <w:sz w:val="20"/>
          <w:szCs w:val="20"/>
        </w:rPr>
        <w:t xml:space="preserve">, </w:t>
      </w:r>
      <w:r w:rsidRPr="00AD388F">
        <w:rPr>
          <w:rFonts w:ascii="Tahoma" w:hAnsi="Tahoma" w:cs="Tahoma"/>
          <w:b/>
          <w:sz w:val="20"/>
          <w:szCs w:val="20"/>
        </w:rPr>
        <w:t>5  p</w:t>
      </w:r>
      <w:r w:rsidRPr="00AD388F">
        <w:rPr>
          <w:rFonts w:ascii="Tahoma" w:hAnsi="Tahoma" w:cs="Tahoma"/>
          <w:sz w:val="20"/>
          <w:szCs w:val="20"/>
        </w:rPr>
        <w:t xml:space="preserve">p.397 – 402, Krems, Austria, Satz und Druck. </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Hill, J. and </w:t>
      </w:r>
      <w:smartTag w:uri="urn:schemas-microsoft-com:office:smarttags" w:element="place">
        <w:smartTag w:uri="urn:schemas-microsoft-com:office:smarttags" w:element="City">
          <w:r w:rsidRPr="00AD388F">
            <w:rPr>
              <w:rFonts w:ascii="Tahoma" w:hAnsi="Tahoma" w:cs="Tahoma"/>
              <w:sz w:val="20"/>
              <w:szCs w:val="20"/>
            </w:rPr>
            <w:t>Woodland</w:t>
          </w:r>
        </w:smartTag>
      </w:smartTag>
      <w:r w:rsidRPr="00AD388F">
        <w:rPr>
          <w:rFonts w:ascii="Tahoma" w:hAnsi="Tahoma" w:cs="Tahoma"/>
          <w:sz w:val="20"/>
          <w:szCs w:val="20"/>
        </w:rPr>
        <w:t>, W. (2002) An evaluation of foreign fieldwork in promoting deep learning: a preliminary investigation,</w:t>
      </w:r>
      <w:r w:rsidRPr="00AD388F">
        <w:rPr>
          <w:rFonts w:ascii="Tahoma" w:hAnsi="Tahoma" w:cs="Tahoma"/>
          <w:i/>
          <w:sz w:val="20"/>
          <w:szCs w:val="20"/>
        </w:rPr>
        <w:t xml:space="preserve"> Assessment and Evaluation in Higher Education</w:t>
      </w:r>
      <w:r w:rsidRPr="00AD388F">
        <w:rPr>
          <w:rFonts w:ascii="Tahoma" w:hAnsi="Tahoma" w:cs="Tahoma"/>
          <w:sz w:val="20"/>
          <w:szCs w:val="20"/>
        </w:rPr>
        <w:t>, 27 (6), pp.530-555</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Maiteny, P. (2002) Mind the Gap: summary of research exploring ‘inner’ influences on pro-sustainability learning and behaviour</w:t>
      </w:r>
      <w:r w:rsidRPr="00AD388F">
        <w:rPr>
          <w:rFonts w:ascii="Tahoma" w:hAnsi="Tahoma" w:cs="Tahoma"/>
          <w:i/>
          <w:iCs/>
          <w:sz w:val="20"/>
          <w:szCs w:val="20"/>
        </w:rPr>
        <w:t xml:space="preserve">, Environmental Education Research, </w:t>
      </w:r>
      <w:r w:rsidRPr="00AD388F">
        <w:rPr>
          <w:rFonts w:ascii="Tahoma" w:hAnsi="Tahoma" w:cs="Tahoma"/>
          <w:b/>
          <w:bCs/>
          <w:sz w:val="20"/>
          <w:szCs w:val="20"/>
        </w:rPr>
        <w:t>8</w:t>
      </w:r>
      <w:r w:rsidRPr="00AD388F">
        <w:rPr>
          <w:rFonts w:ascii="Tahoma" w:hAnsi="Tahoma" w:cs="Tahoma"/>
          <w:sz w:val="20"/>
          <w:szCs w:val="20"/>
        </w:rPr>
        <w:t xml:space="preserve"> (3), pp. 299 – 306.</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Osborne, J. (2002) in Boohan, R. and Amos, S (eds) </w:t>
      </w:r>
      <w:r w:rsidRPr="00AD388F">
        <w:rPr>
          <w:rFonts w:ascii="Tahoma" w:hAnsi="Tahoma" w:cs="Tahoma"/>
          <w:i/>
          <w:sz w:val="20"/>
          <w:szCs w:val="20"/>
        </w:rPr>
        <w:t>Aspects of Teaching Secondary Science</w:t>
      </w:r>
      <w:r w:rsidRPr="00AD388F">
        <w:rPr>
          <w:rFonts w:ascii="Tahoma" w:hAnsi="Tahoma" w:cs="Tahoma"/>
          <w:sz w:val="20"/>
          <w:szCs w:val="20"/>
        </w:rPr>
        <w:t>, pp.237</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Parker, W. and Hess, D. (2001) Teaching with and for discussion, </w:t>
      </w:r>
      <w:r w:rsidRPr="00AD388F">
        <w:rPr>
          <w:rFonts w:ascii="Tahoma" w:hAnsi="Tahoma" w:cs="Tahoma"/>
          <w:i/>
          <w:sz w:val="20"/>
          <w:szCs w:val="20"/>
        </w:rPr>
        <w:t>Teaching and Teacher Education</w:t>
      </w:r>
      <w:r w:rsidRPr="00AD388F">
        <w:rPr>
          <w:rFonts w:ascii="Tahoma" w:hAnsi="Tahoma" w:cs="Tahoma"/>
          <w:sz w:val="20"/>
          <w:szCs w:val="20"/>
        </w:rPr>
        <w:t xml:space="preserve">, </w:t>
      </w:r>
      <w:r w:rsidRPr="00AD388F">
        <w:rPr>
          <w:rFonts w:ascii="Tahoma" w:hAnsi="Tahoma" w:cs="Tahoma"/>
          <w:b/>
          <w:sz w:val="20"/>
          <w:szCs w:val="20"/>
        </w:rPr>
        <w:t>17</w:t>
      </w:r>
      <w:r w:rsidRPr="00AD388F">
        <w:rPr>
          <w:rFonts w:ascii="Tahoma" w:hAnsi="Tahoma" w:cs="Tahoma"/>
          <w:sz w:val="20"/>
          <w:szCs w:val="20"/>
        </w:rPr>
        <w:t>, pp. 273 – 289</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color w:val="000000"/>
          <w:sz w:val="20"/>
          <w:szCs w:val="20"/>
        </w:rPr>
      </w:pPr>
      <w:r w:rsidRPr="00AD388F">
        <w:rPr>
          <w:rFonts w:ascii="Tahoma" w:hAnsi="Tahoma" w:cs="Tahoma"/>
          <w:sz w:val="20"/>
          <w:szCs w:val="20"/>
        </w:rPr>
        <w:t xml:space="preserve">Pollard, </w:t>
      </w:r>
      <w:r w:rsidRPr="00AD388F">
        <w:rPr>
          <w:rFonts w:ascii="Tahoma" w:hAnsi="Tahoma" w:cs="Tahoma"/>
          <w:color w:val="000000"/>
          <w:sz w:val="20"/>
          <w:szCs w:val="20"/>
        </w:rPr>
        <w:t xml:space="preserve">A (2002) Reflective teaching: effective and evidence-informed professional practice, </w:t>
      </w:r>
      <w:smartTag w:uri="urn:schemas-microsoft-com:office:smarttags" w:element="City">
        <w:smartTag w:uri="urn:schemas-microsoft-com:office:smarttags" w:element="place">
          <w:r w:rsidRPr="00AD388F">
            <w:rPr>
              <w:rFonts w:ascii="Tahoma" w:hAnsi="Tahoma" w:cs="Tahoma"/>
              <w:color w:val="000000"/>
              <w:sz w:val="20"/>
              <w:szCs w:val="20"/>
            </w:rPr>
            <w:t>London</w:t>
          </w:r>
        </w:smartTag>
      </w:smartTag>
      <w:r w:rsidRPr="00AD388F">
        <w:rPr>
          <w:rFonts w:ascii="Tahoma" w:hAnsi="Tahoma" w:cs="Tahoma"/>
          <w:color w:val="000000"/>
          <w:sz w:val="20"/>
          <w:szCs w:val="20"/>
        </w:rPr>
        <w:t>, Continum.</w:t>
      </w:r>
    </w:p>
    <w:p w:rsidR="00AD388F" w:rsidRPr="00AD388F" w:rsidRDefault="00AD388F" w:rsidP="00AD388F">
      <w:pPr>
        <w:ind w:left="180" w:hanging="180"/>
        <w:rPr>
          <w:rFonts w:ascii="Tahoma" w:hAnsi="Tahoma" w:cs="Tahoma"/>
          <w:color w:val="000000"/>
          <w:sz w:val="20"/>
          <w:szCs w:val="20"/>
        </w:rPr>
      </w:pPr>
    </w:p>
    <w:p w:rsidR="00AD388F" w:rsidRPr="00AD388F" w:rsidRDefault="00AD388F" w:rsidP="00AD388F">
      <w:pPr>
        <w:ind w:left="180" w:hanging="180"/>
        <w:rPr>
          <w:rFonts w:ascii="Tahoma" w:hAnsi="Tahoma" w:cs="Tahoma"/>
          <w:color w:val="000000"/>
          <w:sz w:val="20"/>
          <w:szCs w:val="20"/>
        </w:rPr>
      </w:pPr>
      <w:r w:rsidRPr="00AD388F">
        <w:rPr>
          <w:rFonts w:ascii="Tahoma" w:hAnsi="Tahoma" w:cs="Tahoma"/>
          <w:color w:val="000000"/>
          <w:sz w:val="20"/>
          <w:szCs w:val="20"/>
        </w:rPr>
        <w:lastRenderedPageBreak/>
        <w:t>Ross, K., Lakin, L. and Callaghan, P. (2</w:t>
      </w:r>
      <w:r w:rsidRPr="00AD388F">
        <w:rPr>
          <w:rFonts w:ascii="Tahoma" w:hAnsi="Tahoma" w:cs="Tahoma"/>
          <w:color w:val="000000"/>
          <w:sz w:val="20"/>
          <w:szCs w:val="20"/>
          <w:vertAlign w:val="superscript"/>
        </w:rPr>
        <w:t>nd</w:t>
      </w:r>
      <w:r w:rsidRPr="00AD388F">
        <w:rPr>
          <w:rFonts w:ascii="Tahoma" w:hAnsi="Tahoma" w:cs="Tahoma"/>
          <w:color w:val="000000"/>
          <w:sz w:val="20"/>
          <w:szCs w:val="20"/>
        </w:rPr>
        <w:t xml:space="preserve"> Edition) (2004) Teaching Secondary Science, </w:t>
      </w:r>
      <w:smartTag w:uri="urn:schemas-microsoft-com:office:smarttags" w:element="place">
        <w:smartTag w:uri="urn:schemas-microsoft-com:office:smarttags" w:element="City">
          <w:r w:rsidRPr="00AD388F">
            <w:rPr>
              <w:rFonts w:ascii="Tahoma" w:hAnsi="Tahoma" w:cs="Tahoma"/>
              <w:color w:val="000000"/>
              <w:sz w:val="20"/>
              <w:szCs w:val="20"/>
            </w:rPr>
            <w:t>London</w:t>
          </w:r>
        </w:smartTag>
      </w:smartTag>
      <w:r w:rsidRPr="00AD388F">
        <w:rPr>
          <w:rFonts w:ascii="Tahoma" w:hAnsi="Tahoma" w:cs="Tahoma"/>
          <w:color w:val="000000"/>
          <w:sz w:val="20"/>
          <w:szCs w:val="20"/>
        </w:rPr>
        <w:t>, David Fulton Pubs.</w:t>
      </w:r>
    </w:p>
    <w:p w:rsidR="00AD388F" w:rsidRPr="00AD388F" w:rsidRDefault="00AD388F" w:rsidP="00AD388F">
      <w:pPr>
        <w:ind w:left="180" w:hanging="180"/>
        <w:rPr>
          <w:rFonts w:ascii="Tahoma" w:hAnsi="Tahoma" w:cs="Tahoma"/>
          <w:sz w:val="20"/>
          <w:szCs w:val="20"/>
        </w:rPr>
      </w:pPr>
    </w:p>
    <w:p w:rsidR="00AD388F" w:rsidRPr="00AD388F" w:rsidRDefault="00AD388F" w:rsidP="00AD388F">
      <w:pPr>
        <w:ind w:left="180" w:hanging="180"/>
        <w:rPr>
          <w:rFonts w:ascii="Tahoma" w:hAnsi="Tahoma" w:cs="Tahoma"/>
          <w:sz w:val="20"/>
          <w:szCs w:val="20"/>
        </w:rPr>
      </w:pPr>
      <w:r w:rsidRPr="00AD388F">
        <w:rPr>
          <w:rFonts w:ascii="Tahoma" w:hAnsi="Tahoma" w:cs="Tahoma"/>
          <w:sz w:val="20"/>
          <w:szCs w:val="20"/>
        </w:rPr>
        <w:t xml:space="preserve">SNAB (Salters-Nuffield Advanced Biology) (2005) </w:t>
      </w:r>
      <w:smartTag w:uri="urn:schemas-microsoft-com:office:smarttags" w:element="City">
        <w:smartTag w:uri="urn:schemas-microsoft-com:office:smarttags" w:element="place">
          <w:r w:rsidRPr="00AD388F">
            <w:rPr>
              <w:rFonts w:ascii="Tahoma" w:hAnsi="Tahoma" w:cs="Tahoma"/>
              <w:sz w:val="20"/>
              <w:szCs w:val="20"/>
            </w:rPr>
            <w:t>Oxford</w:t>
          </w:r>
        </w:smartTag>
      </w:smartTag>
      <w:r w:rsidRPr="00AD388F">
        <w:rPr>
          <w:rFonts w:ascii="Tahoma" w:hAnsi="Tahoma" w:cs="Tahoma"/>
          <w:sz w:val="20"/>
          <w:szCs w:val="20"/>
        </w:rPr>
        <w:t>, Heinemann Education Publishers</w:t>
      </w:r>
    </w:p>
    <w:p w:rsidR="00AD388F" w:rsidRPr="00AD388F" w:rsidRDefault="00AD388F" w:rsidP="00AD388F">
      <w:pPr>
        <w:ind w:left="180" w:hanging="180"/>
        <w:rPr>
          <w:rFonts w:ascii="Tahoma" w:hAnsi="Tahoma" w:cs="Tahoma"/>
          <w:sz w:val="20"/>
          <w:szCs w:val="20"/>
        </w:rPr>
      </w:pPr>
    </w:p>
    <w:p w:rsidR="00AD388F" w:rsidRPr="00AD388F" w:rsidRDefault="00AD388F" w:rsidP="00AD388F">
      <w:pPr>
        <w:rPr>
          <w:rFonts w:ascii="Tahoma" w:hAnsi="Tahoma" w:cs="Tahoma"/>
          <w:color w:val="000000"/>
          <w:sz w:val="20"/>
          <w:szCs w:val="20"/>
        </w:rPr>
      </w:pPr>
      <w:r w:rsidRPr="00AD388F">
        <w:rPr>
          <w:rFonts w:ascii="Tahoma" w:hAnsi="Tahoma" w:cs="Tahoma"/>
          <w:color w:val="000000"/>
          <w:sz w:val="20"/>
          <w:szCs w:val="20"/>
        </w:rPr>
        <w:t>TDA (2007) Professional standards for teachers</w:t>
      </w:r>
    </w:p>
    <w:p w:rsidR="00AD388F" w:rsidRPr="00AD388F" w:rsidRDefault="00AD388F" w:rsidP="00AD388F">
      <w:pPr>
        <w:rPr>
          <w:rFonts w:ascii="Tahoma" w:hAnsi="Tahoma" w:cs="Tahoma"/>
          <w:color w:val="000000"/>
          <w:sz w:val="20"/>
          <w:szCs w:val="20"/>
        </w:rPr>
      </w:pPr>
      <w:hyperlink r:id="rId10" w:history="1">
        <w:r w:rsidRPr="00AD388F">
          <w:rPr>
            <w:rStyle w:val="Hyperlink"/>
            <w:rFonts w:ascii="Tahoma" w:hAnsi="Tahoma" w:cs="Tahoma"/>
            <w:sz w:val="20"/>
            <w:szCs w:val="20"/>
          </w:rPr>
          <w:t>http://www.teachernet.gov.uk/_doc/11525/Professional%20Standards%20for%20Teachers.pdf</w:t>
        </w:r>
      </w:hyperlink>
      <w:r w:rsidRPr="00AD388F">
        <w:rPr>
          <w:rFonts w:ascii="Tahoma" w:hAnsi="Tahoma" w:cs="Tahoma"/>
          <w:color w:val="000000"/>
          <w:sz w:val="20"/>
          <w:szCs w:val="20"/>
        </w:rPr>
        <w:t xml:space="preserve"> (accessed 14.2.08.).</w:t>
      </w:r>
    </w:p>
    <w:p w:rsidR="00AD388F" w:rsidRPr="00AD388F" w:rsidRDefault="00AD388F" w:rsidP="00AD388F">
      <w:pPr>
        <w:ind w:left="180" w:hanging="180"/>
        <w:rPr>
          <w:rFonts w:ascii="Tahoma" w:hAnsi="Tahoma" w:cs="Tahoma"/>
          <w:sz w:val="20"/>
          <w:szCs w:val="20"/>
        </w:rPr>
      </w:pPr>
    </w:p>
    <w:p w:rsidR="00AD388F" w:rsidRPr="00AD388F" w:rsidRDefault="00AD388F" w:rsidP="00AD388F">
      <w:pPr>
        <w:rPr>
          <w:rFonts w:ascii="Tahoma" w:hAnsi="Tahoma" w:cs="Tahoma"/>
          <w:sz w:val="20"/>
          <w:szCs w:val="20"/>
        </w:rPr>
      </w:pPr>
      <w:smartTag w:uri="urn:schemas-microsoft-com:office:smarttags" w:element="place">
        <w:smartTag w:uri="urn:schemas-microsoft-com:office:smarttags" w:element="City">
          <w:r w:rsidRPr="00AD388F">
            <w:rPr>
              <w:rFonts w:ascii="Tahoma" w:hAnsi="Tahoma" w:cs="Tahoma"/>
              <w:sz w:val="20"/>
              <w:szCs w:val="20"/>
            </w:rPr>
            <w:t>Tunnicliffe</w:t>
          </w:r>
        </w:smartTag>
        <w:r w:rsidRPr="00AD388F">
          <w:rPr>
            <w:rFonts w:ascii="Tahoma" w:hAnsi="Tahoma" w:cs="Tahoma"/>
            <w:sz w:val="20"/>
            <w:szCs w:val="20"/>
          </w:rPr>
          <w:t xml:space="preserve">, </w:t>
        </w:r>
        <w:smartTag w:uri="urn:schemas-microsoft-com:office:smarttags" w:element="State">
          <w:r w:rsidRPr="00AD388F">
            <w:rPr>
              <w:rFonts w:ascii="Tahoma" w:hAnsi="Tahoma" w:cs="Tahoma"/>
              <w:sz w:val="20"/>
              <w:szCs w:val="20"/>
            </w:rPr>
            <w:t>S.D.</w:t>
          </w:r>
        </w:smartTag>
      </w:smartTag>
      <w:r w:rsidRPr="00AD388F">
        <w:rPr>
          <w:rFonts w:ascii="Tahoma" w:hAnsi="Tahoma" w:cs="Tahoma"/>
          <w:sz w:val="20"/>
          <w:szCs w:val="20"/>
        </w:rPr>
        <w:t xml:space="preserve"> and Ueckert, C. (2007) ‘Teaching Biology – the great dilemma’, </w:t>
      </w:r>
    </w:p>
    <w:p w:rsidR="00AD388F" w:rsidRPr="00AD388F" w:rsidRDefault="00AD388F" w:rsidP="00AD388F">
      <w:pPr>
        <w:rPr>
          <w:rFonts w:ascii="Tahoma" w:hAnsi="Tahoma" w:cs="Tahoma"/>
          <w:sz w:val="20"/>
          <w:szCs w:val="20"/>
        </w:rPr>
      </w:pPr>
      <w:r w:rsidRPr="00AD388F">
        <w:rPr>
          <w:rFonts w:ascii="Tahoma" w:hAnsi="Tahoma" w:cs="Tahoma"/>
          <w:i/>
          <w:sz w:val="20"/>
          <w:szCs w:val="20"/>
        </w:rPr>
        <w:t>Journal of Biological Education</w:t>
      </w:r>
      <w:r w:rsidRPr="00AD388F">
        <w:rPr>
          <w:rFonts w:ascii="Tahoma" w:hAnsi="Tahoma" w:cs="Tahoma"/>
          <w:sz w:val="20"/>
          <w:szCs w:val="20"/>
        </w:rPr>
        <w:t xml:space="preserve">, 41(2), pp.51-52 </w:t>
      </w: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color w:val="000000"/>
          <w:sz w:val="20"/>
          <w:szCs w:val="20"/>
        </w:rPr>
      </w:pPr>
      <w:r w:rsidRPr="00AD388F">
        <w:rPr>
          <w:rFonts w:ascii="Tahoma" w:hAnsi="Tahoma" w:cs="Tahoma"/>
          <w:bCs/>
          <w:color w:val="000000"/>
          <w:sz w:val="20"/>
          <w:szCs w:val="20"/>
        </w:rPr>
        <w:t>Ward, J. and McCotter, S</w:t>
      </w:r>
      <w:r w:rsidRPr="00AD388F">
        <w:rPr>
          <w:rFonts w:ascii="Tahoma" w:hAnsi="Tahoma" w:cs="Tahoma"/>
          <w:color w:val="000000"/>
          <w:sz w:val="20"/>
          <w:szCs w:val="20"/>
        </w:rPr>
        <w:t xml:space="preserve">. (2004) Reflection as a visible outcome for pre-service teachers, </w:t>
      </w:r>
      <w:r w:rsidRPr="00AD388F">
        <w:rPr>
          <w:rFonts w:ascii="Tahoma" w:hAnsi="Tahoma" w:cs="Tahoma"/>
          <w:i/>
          <w:iCs/>
          <w:color w:val="000000"/>
          <w:sz w:val="20"/>
          <w:szCs w:val="20"/>
        </w:rPr>
        <w:t>Teaching and Teacher Education </w:t>
      </w:r>
      <w:r w:rsidRPr="00AD388F">
        <w:rPr>
          <w:rFonts w:ascii="Tahoma" w:hAnsi="Tahoma" w:cs="Tahoma"/>
          <w:iCs/>
          <w:color w:val="000000"/>
          <w:sz w:val="20"/>
          <w:szCs w:val="20"/>
        </w:rPr>
        <w:t>20</w:t>
      </w:r>
      <w:r w:rsidRPr="00AD388F">
        <w:rPr>
          <w:rFonts w:ascii="Tahoma" w:hAnsi="Tahoma" w:cs="Tahoma"/>
          <w:color w:val="000000"/>
          <w:sz w:val="20"/>
          <w:szCs w:val="20"/>
        </w:rPr>
        <w:t>, pp. 243-257</w:t>
      </w:r>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b/>
          <w:color w:val="000000"/>
          <w:sz w:val="20"/>
          <w:szCs w:val="20"/>
        </w:rPr>
      </w:pPr>
      <w:r w:rsidRPr="00AD388F">
        <w:rPr>
          <w:rFonts w:ascii="Tahoma" w:hAnsi="Tahoma" w:cs="Tahoma"/>
          <w:b/>
          <w:color w:val="000000"/>
          <w:sz w:val="20"/>
          <w:szCs w:val="20"/>
        </w:rPr>
        <w:t>Websites:</w:t>
      </w:r>
    </w:p>
    <w:p w:rsidR="00AD388F" w:rsidRPr="00AD388F" w:rsidRDefault="00AD388F" w:rsidP="00AD388F">
      <w:pPr>
        <w:rPr>
          <w:rFonts w:ascii="Tahoma" w:hAnsi="Tahoma" w:cs="Tahoma"/>
          <w:b/>
          <w:color w:val="000000"/>
          <w:sz w:val="20"/>
          <w:szCs w:val="20"/>
        </w:rPr>
      </w:pPr>
      <w:r w:rsidRPr="00AD388F">
        <w:rPr>
          <w:rFonts w:ascii="Tahoma" w:hAnsi="Tahoma" w:cs="Tahoma"/>
          <w:b/>
          <w:color w:val="000000"/>
          <w:sz w:val="20"/>
          <w:szCs w:val="20"/>
        </w:rPr>
        <w:t xml:space="preserve">Now science works: A new approach to Key Stage 3 Science. </w:t>
      </w:r>
    </w:p>
    <w:p w:rsidR="00AD388F" w:rsidRPr="00AD388F" w:rsidRDefault="00AD388F" w:rsidP="00AD388F">
      <w:pPr>
        <w:rPr>
          <w:rFonts w:ascii="Tahoma" w:hAnsi="Tahoma" w:cs="Tahoma"/>
          <w:sz w:val="20"/>
          <w:szCs w:val="20"/>
          <w:lang w:val="en-US"/>
        </w:rPr>
      </w:pPr>
      <w:r w:rsidRPr="00AD388F">
        <w:rPr>
          <w:rFonts w:ascii="Tahoma" w:hAnsi="Tahoma" w:cs="Tahoma"/>
          <w:color w:val="000000"/>
          <w:sz w:val="20"/>
          <w:szCs w:val="20"/>
        </w:rPr>
        <w:t>Available at</w:t>
      </w:r>
      <w:r w:rsidRPr="00AD388F">
        <w:rPr>
          <w:rFonts w:ascii="Tahoma" w:hAnsi="Tahoma" w:cs="Tahoma"/>
          <w:b/>
          <w:color w:val="000000"/>
          <w:sz w:val="20"/>
          <w:szCs w:val="20"/>
        </w:rPr>
        <w:t xml:space="preserve"> </w:t>
      </w:r>
      <w:hyperlink r:id="rId11" w:tooltip="http://enews.slcs.ac.uk/_act/link.php?mId=A831883822610629143676&amp;tId=1162721" w:history="1">
        <w:r w:rsidRPr="00AD388F">
          <w:rPr>
            <w:rStyle w:val="Hyperlink"/>
            <w:rFonts w:ascii="Tahoma" w:hAnsi="Tahoma" w:cs="Tahoma"/>
            <w:sz w:val="20"/>
            <w:szCs w:val="20"/>
            <w:lang w:val="en-US"/>
          </w:rPr>
          <w:t>www.slcs.ac.uk/national/ks3report</w:t>
        </w:r>
      </w:hyperlink>
      <w:r w:rsidRPr="00AD388F">
        <w:rPr>
          <w:rFonts w:ascii="Tahoma" w:hAnsi="Tahoma" w:cs="Tahoma"/>
          <w:sz w:val="20"/>
          <w:szCs w:val="20"/>
          <w:lang w:val="en-US"/>
        </w:rPr>
        <w:t xml:space="preserve">  (Accessed 24</w:t>
      </w:r>
      <w:r w:rsidRPr="00AD388F">
        <w:rPr>
          <w:rFonts w:ascii="Tahoma" w:hAnsi="Tahoma" w:cs="Tahoma"/>
          <w:sz w:val="20"/>
          <w:szCs w:val="20"/>
          <w:vertAlign w:val="superscript"/>
          <w:lang w:val="en-US"/>
        </w:rPr>
        <w:t>th</w:t>
      </w:r>
      <w:r w:rsidRPr="00AD388F">
        <w:rPr>
          <w:rFonts w:ascii="Tahoma" w:hAnsi="Tahoma" w:cs="Tahoma"/>
          <w:sz w:val="20"/>
          <w:szCs w:val="20"/>
          <w:lang w:val="en-US"/>
        </w:rPr>
        <w:t xml:space="preserve"> July 2007)</w:t>
      </w:r>
    </w:p>
    <w:p w:rsidR="00AD388F" w:rsidRPr="00AD388F" w:rsidRDefault="00AD388F" w:rsidP="00AD388F">
      <w:pPr>
        <w:rPr>
          <w:rFonts w:ascii="Tahoma" w:hAnsi="Tahoma" w:cs="Tahoma"/>
          <w:sz w:val="20"/>
          <w:szCs w:val="20"/>
          <w:lang w:val="en-US"/>
        </w:rPr>
      </w:pPr>
    </w:p>
    <w:p w:rsidR="00AD388F" w:rsidRPr="00AD388F" w:rsidRDefault="00AD388F" w:rsidP="00AD388F">
      <w:pPr>
        <w:rPr>
          <w:rFonts w:ascii="Tahoma" w:hAnsi="Tahoma" w:cs="Tahoma"/>
          <w:b/>
          <w:color w:val="000000"/>
          <w:sz w:val="20"/>
          <w:szCs w:val="20"/>
        </w:rPr>
      </w:pPr>
    </w:p>
    <w:p w:rsidR="00AD388F" w:rsidRPr="00AD388F" w:rsidRDefault="00AD388F" w:rsidP="00AD388F">
      <w:pPr>
        <w:rPr>
          <w:rFonts w:ascii="Tahoma" w:hAnsi="Tahoma" w:cs="Tahoma"/>
          <w:b/>
          <w:color w:val="000000"/>
          <w:sz w:val="20"/>
          <w:szCs w:val="20"/>
        </w:rPr>
      </w:pPr>
      <w:r w:rsidRPr="00AD388F">
        <w:rPr>
          <w:rFonts w:ascii="Tahoma" w:hAnsi="Tahoma" w:cs="Tahoma"/>
          <w:b/>
          <w:color w:val="000000"/>
          <w:sz w:val="20"/>
          <w:szCs w:val="20"/>
        </w:rPr>
        <w:t>Conference papers (unpublished papers):</w:t>
      </w:r>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color w:val="000000"/>
          <w:sz w:val="20"/>
          <w:szCs w:val="20"/>
        </w:rPr>
      </w:pPr>
      <w:r w:rsidRPr="00AD388F">
        <w:rPr>
          <w:rFonts w:ascii="Tahoma" w:hAnsi="Tahoma" w:cs="Tahoma"/>
          <w:color w:val="000000"/>
          <w:sz w:val="20"/>
          <w:szCs w:val="20"/>
        </w:rPr>
        <w:t xml:space="preserve">Copping, A. (2007) ‘An exploration of the impact of students’ philosophy of primary English on their practice’, </w:t>
      </w:r>
      <w:r w:rsidRPr="00AD388F">
        <w:rPr>
          <w:rFonts w:ascii="Tahoma" w:hAnsi="Tahoma" w:cs="Tahoma"/>
          <w:i/>
          <w:color w:val="000000"/>
          <w:sz w:val="20"/>
          <w:szCs w:val="20"/>
        </w:rPr>
        <w:t xml:space="preserve">Research and Scholarship Fest, </w:t>
      </w:r>
      <w:smartTag w:uri="urn:schemas-microsoft-com:office:smarttags" w:element="place">
        <w:r w:rsidRPr="00AD388F">
          <w:rPr>
            <w:rFonts w:ascii="Tahoma" w:hAnsi="Tahoma" w:cs="Tahoma"/>
            <w:color w:val="000000"/>
            <w:sz w:val="20"/>
            <w:szCs w:val="20"/>
          </w:rPr>
          <w:t>St Martin</w:t>
        </w:r>
      </w:smartTag>
      <w:r w:rsidRPr="00AD388F">
        <w:rPr>
          <w:rFonts w:ascii="Tahoma" w:hAnsi="Tahoma" w:cs="Tahoma"/>
          <w:color w:val="000000"/>
          <w:sz w:val="20"/>
          <w:szCs w:val="20"/>
        </w:rPr>
        <w:t>’s College, July 12</w:t>
      </w:r>
      <w:r w:rsidRPr="00AD388F">
        <w:rPr>
          <w:rFonts w:ascii="Tahoma" w:hAnsi="Tahoma" w:cs="Tahoma"/>
          <w:color w:val="000000"/>
          <w:sz w:val="20"/>
          <w:szCs w:val="20"/>
          <w:vertAlign w:val="superscript"/>
        </w:rPr>
        <w:t>th</w:t>
      </w:r>
      <w:r w:rsidRPr="00AD388F">
        <w:rPr>
          <w:rFonts w:ascii="Tahoma" w:hAnsi="Tahoma" w:cs="Tahoma"/>
          <w:color w:val="000000"/>
          <w:sz w:val="20"/>
          <w:szCs w:val="20"/>
        </w:rPr>
        <w:t xml:space="preserve">, Lancaster </w:t>
      </w:r>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color w:val="000000"/>
          <w:sz w:val="20"/>
          <w:szCs w:val="20"/>
        </w:rPr>
      </w:pPr>
      <w:r w:rsidRPr="00AD388F">
        <w:rPr>
          <w:rFonts w:ascii="Tahoma" w:hAnsi="Tahoma" w:cs="Tahoma"/>
          <w:color w:val="000000"/>
          <w:sz w:val="20"/>
          <w:szCs w:val="20"/>
        </w:rPr>
        <w:t xml:space="preserve">Lakin, L. (2007) ‘Taking Ownership’, </w:t>
      </w:r>
      <w:r w:rsidRPr="00AD388F">
        <w:rPr>
          <w:rFonts w:ascii="Tahoma" w:hAnsi="Tahoma" w:cs="Tahoma"/>
          <w:i/>
          <w:color w:val="000000"/>
          <w:sz w:val="20"/>
          <w:szCs w:val="20"/>
        </w:rPr>
        <w:t>ASTE Day conference</w:t>
      </w:r>
      <w:r w:rsidRPr="00AD388F">
        <w:rPr>
          <w:rFonts w:ascii="Tahoma" w:hAnsi="Tahoma" w:cs="Tahoma"/>
          <w:color w:val="000000"/>
          <w:sz w:val="20"/>
          <w:szCs w:val="20"/>
        </w:rPr>
        <w:t>, Institute of Physics, March 16</w:t>
      </w:r>
      <w:r w:rsidRPr="00AD388F">
        <w:rPr>
          <w:rFonts w:ascii="Tahoma" w:hAnsi="Tahoma" w:cs="Tahoma"/>
          <w:color w:val="000000"/>
          <w:sz w:val="20"/>
          <w:szCs w:val="20"/>
          <w:vertAlign w:val="superscript"/>
        </w:rPr>
        <w:t>th</w:t>
      </w:r>
      <w:r w:rsidRPr="00AD388F">
        <w:rPr>
          <w:rFonts w:ascii="Tahoma" w:hAnsi="Tahoma" w:cs="Tahoma"/>
          <w:color w:val="000000"/>
          <w:sz w:val="20"/>
          <w:szCs w:val="20"/>
        </w:rPr>
        <w:t xml:space="preserve">, </w:t>
      </w:r>
      <w:smartTag w:uri="urn:schemas-microsoft-com:office:smarttags" w:element="City">
        <w:smartTag w:uri="urn:schemas-microsoft-com:office:smarttags" w:element="place">
          <w:r w:rsidRPr="00AD388F">
            <w:rPr>
              <w:rFonts w:ascii="Tahoma" w:hAnsi="Tahoma" w:cs="Tahoma"/>
              <w:color w:val="000000"/>
              <w:sz w:val="20"/>
              <w:szCs w:val="20"/>
            </w:rPr>
            <w:t>London</w:t>
          </w:r>
        </w:smartTag>
      </w:smartTag>
      <w:r w:rsidRPr="00AD388F">
        <w:rPr>
          <w:rFonts w:ascii="Tahoma" w:hAnsi="Tahoma" w:cs="Tahoma"/>
          <w:color w:val="000000"/>
          <w:sz w:val="20"/>
          <w:szCs w:val="20"/>
        </w:rPr>
        <w:t xml:space="preserve"> </w:t>
      </w:r>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color w:val="000000"/>
          <w:sz w:val="20"/>
          <w:szCs w:val="20"/>
        </w:rPr>
      </w:pPr>
      <w:r w:rsidRPr="00AD388F">
        <w:rPr>
          <w:rFonts w:ascii="Tahoma" w:hAnsi="Tahoma" w:cs="Tahoma"/>
          <w:color w:val="000000"/>
          <w:sz w:val="20"/>
          <w:szCs w:val="20"/>
        </w:rPr>
        <w:t>Lakin, L. (2007) ‘</w:t>
      </w:r>
      <w:r w:rsidRPr="00AD388F">
        <w:rPr>
          <w:rFonts w:ascii="Tahoma" w:hAnsi="Tahoma" w:cs="Tahoma"/>
          <w:sz w:val="20"/>
          <w:szCs w:val="20"/>
        </w:rPr>
        <w:t>Enhancing retention by students taking ownership for their own learning’</w:t>
      </w:r>
      <w:r w:rsidRPr="00AD388F">
        <w:rPr>
          <w:rFonts w:ascii="Tahoma" w:hAnsi="Tahoma" w:cs="Tahoma"/>
          <w:color w:val="000080"/>
          <w:sz w:val="20"/>
          <w:szCs w:val="20"/>
        </w:rPr>
        <w:t xml:space="preserve"> </w:t>
      </w:r>
      <w:r w:rsidRPr="00AD388F">
        <w:rPr>
          <w:rFonts w:ascii="Tahoma" w:eastAsia="MS Mincho" w:hAnsi="Tahoma" w:cs="Tahoma"/>
          <w:i/>
          <w:color w:val="000000"/>
          <w:sz w:val="20"/>
          <w:szCs w:val="20"/>
          <w:lang w:eastAsia="ja-JP"/>
        </w:rPr>
        <w:t>Enhancing retention through teaching and learning</w:t>
      </w:r>
      <w:r w:rsidRPr="00AD388F">
        <w:rPr>
          <w:rFonts w:ascii="Tahoma" w:hAnsi="Tahoma" w:cs="Tahoma"/>
          <w:color w:val="000000"/>
          <w:sz w:val="20"/>
          <w:szCs w:val="20"/>
        </w:rPr>
        <w:t>, 6</w:t>
      </w:r>
      <w:r w:rsidRPr="00AD388F">
        <w:rPr>
          <w:rFonts w:ascii="Tahoma" w:hAnsi="Tahoma" w:cs="Tahoma"/>
          <w:color w:val="000000"/>
          <w:sz w:val="20"/>
          <w:szCs w:val="20"/>
          <w:vertAlign w:val="superscript"/>
        </w:rPr>
        <w:t>th</w:t>
      </w:r>
      <w:r w:rsidRPr="00AD388F">
        <w:rPr>
          <w:rFonts w:ascii="Tahoma" w:hAnsi="Tahoma" w:cs="Tahoma"/>
          <w:color w:val="000000"/>
          <w:sz w:val="20"/>
          <w:szCs w:val="20"/>
        </w:rPr>
        <w:t xml:space="preserve"> June, </w:t>
      </w:r>
      <w:smartTag w:uri="urn:schemas-microsoft-com:office:smarttags" w:element="place">
        <w:r w:rsidRPr="00AD388F">
          <w:rPr>
            <w:rFonts w:ascii="Tahoma" w:hAnsi="Tahoma" w:cs="Tahoma"/>
            <w:color w:val="000000"/>
            <w:sz w:val="20"/>
            <w:szCs w:val="20"/>
          </w:rPr>
          <w:t>Carlis</w:t>
        </w:r>
        <w:r w:rsidR="0042474A">
          <w:rPr>
            <w:rFonts w:ascii="Tahoma" w:hAnsi="Tahoma" w:cs="Tahoma"/>
            <w:color w:val="000000"/>
            <w:sz w:val="20"/>
            <w:szCs w:val="20"/>
          </w:rPr>
          <w:t>l</w:t>
        </w:r>
        <w:r w:rsidRPr="00AD388F">
          <w:rPr>
            <w:rFonts w:ascii="Tahoma" w:hAnsi="Tahoma" w:cs="Tahoma"/>
            <w:color w:val="000000"/>
            <w:sz w:val="20"/>
            <w:szCs w:val="20"/>
          </w:rPr>
          <w:t>e</w:t>
        </w:r>
      </w:smartTag>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color w:val="000000"/>
          <w:sz w:val="20"/>
          <w:szCs w:val="20"/>
        </w:rPr>
      </w:pPr>
      <w:r w:rsidRPr="00AD388F">
        <w:rPr>
          <w:rFonts w:ascii="Tahoma" w:hAnsi="Tahoma" w:cs="Tahoma"/>
          <w:color w:val="000000"/>
          <w:sz w:val="20"/>
          <w:szCs w:val="20"/>
        </w:rPr>
        <w:t>Lakin, L. (2007) ‘</w:t>
      </w:r>
      <w:r w:rsidRPr="00AD388F">
        <w:rPr>
          <w:rFonts w:ascii="Tahoma" w:hAnsi="Tahoma" w:cs="Tahoma"/>
          <w:sz w:val="20"/>
          <w:szCs w:val="20"/>
        </w:rPr>
        <w:t>Innovative pedagogy that enhances teaching and learning through science and environmental education</w:t>
      </w:r>
      <w:r w:rsidRPr="00AD388F">
        <w:rPr>
          <w:rFonts w:ascii="Tahoma" w:hAnsi="Tahoma" w:cs="Tahoma"/>
          <w:color w:val="000000"/>
          <w:sz w:val="20"/>
          <w:szCs w:val="20"/>
        </w:rPr>
        <w:t xml:space="preserve">’, </w:t>
      </w:r>
      <w:r w:rsidRPr="00AD388F">
        <w:rPr>
          <w:rFonts w:ascii="Tahoma" w:hAnsi="Tahoma" w:cs="Tahoma"/>
          <w:i/>
          <w:color w:val="000000"/>
          <w:sz w:val="20"/>
          <w:szCs w:val="20"/>
        </w:rPr>
        <w:t xml:space="preserve">Research and Scholarship Fest, </w:t>
      </w:r>
      <w:smartTag w:uri="urn:schemas-microsoft-com:office:smarttags" w:element="place">
        <w:r w:rsidRPr="00AD388F">
          <w:rPr>
            <w:rFonts w:ascii="Tahoma" w:hAnsi="Tahoma" w:cs="Tahoma"/>
            <w:color w:val="000000"/>
            <w:sz w:val="20"/>
            <w:szCs w:val="20"/>
          </w:rPr>
          <w:t>St Martin</w:t>
        </w:r>
      </w:smartTag>
      <w:r w:rsidRPr="00AD388F">
        <w:rPr>
          <w:rFonts w:ascii="Tahoma" w:hAnsi="Tahoma" w:cs="Tahoma"/>
          <w:color w:val="000000"/>
          <w:sz w:val="20"/>
          <w:szCs w:val="20"/>
        </w:rPr>
        <w:t>’s College, July 12</w:t>
      </w:r>
      <w:r w:rsidRPr="00AD388F">
        <w:rPr>
          <w:rFonts w:ascii="Tahoma" w:hAnsi="Tahoma" w:cs="Tahoma"/>
          <w:color w:val="000000"/>
          <w:sz w:val="20"/>
          <w:szCs w:val="20"/>
          <w:vertAlign w:val="superscript"/>
        </w:rPr>
        <w:t>th</w:t>
      </w:r>
      <w:r w:rsidRPr="00AD388F">
        <w:rPr>
          <w:rFonts w:ascii="Tahoma" w:hAnsi="Tahoma" w:cs="Tahoma"/>
          <w:color w:val="000000"/>
          <w:sz w:val="20"/>
          <w:szCs w:val="20"/>
        </w:rPr>
        <w:t xml:space="preserve">, Lancaster </w:t>
      </w:r>
    </w:p>
    <w:p w:rsidR="00AD388F" w:rsidRPr="00AD388F" w:rsidRDefault="00AD388F" w:rsidP="00AD388F">
      <w:pPr>
        <w:rPr>
          <w:rFonts w:ascii="Tahoma" w:hAnsi="Tahoma" w:cs="Tahoma"/>
          <w:color w:val="000000"/>
          <w:sz w:val="20"/>
          <w:szCs w:val="20"/>
        </w:rPr>
      </w:pP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sz w:val="20"/>
          <w:szCs w:val="20"/>
        </w:rPr>
      </w:pPr>
    </w:p>
    <w:p w:rsidR="00AD388F" w:rsidRPr="00AD388F" w:rsidRDefault="00AD388F" w:rsidP="00AD388F">
      <w:pPr>
        <w:rPr>
          <w:rFonts w:ascii="Tahoma" w:hAnsi="Tahoma" w:cs="Tahoma"/>
          <w:sz w:val="20"/>
          <w:szCs w:val="20"/>
        </w:rPr>
      </w:pPr>
    </w:p>
    <w:p w:rsidR="00AD388F" w:rsidRDefault="00AD388F" w:rsidP="00AD388F"/>
    <w:p w:rsidR="00AD388F" w:rsidRDefault="00AD388F" w:rsidP="00AD388F"/>
    <w:p w:rsidR="00AD388F" w:rsidRDefault="00AD388F" w:rsidP="00AD388F"/>
    <w:p w:rsidR="00AD388F" w:rsidRDefault="00AD388F" w:rsidP="00AD388F"/>
    <w:p w:rsidR="00AD388F" w:rsidRDefault="00AD388F" w:rsidP="00AD388F"/>
    <w:p w:rsidR="00AD388F" w:rsidRDefault="00AD388F" w:rsidP="00AD388F"/>
    <w:p w:rsidR="00AD388F" w:rsidRDefault="00AD388F">
      <w:pPr>
        <w:rPr>
          <w:rFonts w:ascii="Tahoma" w:hAnsi="Tahoma" w:cs="Tahoma"/>
          <w:b/>
        </w:rPr>
      </w:pPr>
    </w:p>
    <w:sectPr w:rsidR="00AD388F" w:rsidSect="009000FA">
      <w:headerReference w:type="default" r:id="rId12"/>
      <w:footerReference w:type="even" r:id="rId13"/>
      <w:footerReference w:type="default" r:id="rId14"/>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2FA" w:rsidRDefault="00A722FA">
      <w:r>
        <w:separator/>
      </w:r>
    </w:p>
  </w:endnote>
  <w:endnote w:type="continuationSeparator" w:id="0">
    <w:p w:rsidR="00A722FA" w:rsidRDefault="00A722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8F" w:rsidRDefault="00AD388F" w:rsidP="00900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88F" w:rsidRDefault="00AD38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8F" w:rsidRDefault="00AD388F" w:rsidP="00900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249">
      <w:rPr>
        <w:rStyle w:val="PageNumber"/>
        <w:noProof/>
      </w:rPr>
      <w:t>1</w:t>
    </w:r>
    <w:r>
      <w:rPr>
        <w:rStyle w:val="PageNumber"/>
      </w:rPr>
      <w:fldChar w:fldCharType="end"/>
    </w:r>
  </w:p>
  <w:p w:rsidR="00AD388F" w:rsidRDefault="00AD3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2FA" w:rsidRDefault="00A722FA">
      <w:r>
        <w:separator/>
      </w:r>
    </w:p>
  </w:footnote>
  <w:footnote w:type="continuationSeparator" w:id="0">
    <w:p w:rsidR="00A722FA" w:rsidRDefault="00A72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8F" w:rsidRDefault="00AD388F" w:rsidP="009000FA">
    <w:pPr>
      <w:pStyle w:val="Header"/>
    </w:pPr>
    <w:r>
      <w:t xml:space="preserve">Liz Lakin </w:t>
    </w:r>
    <w:r>
      <w:tab/>
    </w:r>
    <w:r>
      <w:tab/>
      <w:t>ASTE Day Conference 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E15D3"/>
    <w:multiLevelType w:val="hybridMultilevel"/>
    <w:tmpl w:val="DF5A2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D7B2C16"/>
    <w:multiLevelType w:val="hybridMultilevel"/>
    <w:tmpl w:val="F5509E44"/>
    <w:lvl w:ilvl="0" w:tplc="127207C8">
      <w:start w:val="1"/>
      <w:numFmt w:val="bullet"/>
      <w:lvlText w:val="•"/>
      <w:lvlJc w:val="left"/>
      <w:pPr>
        <w:tabs>
          <w:tab w:val="num" w:pos="720"/>
        </w:tabs>
        <w:ind w:left="720" w:hanging="360"/>
      </w:pPr>
      <w:rPr>
        <w:rFonts w:ascii="Garamond" w:hAnsi="Garamond" w:hint="default"/>
      </w:rPr>
    </w:lvl>
    <w:lvl w:ilvl="1" w:tplc="08090001">
      <w:start w:val="1"/>
      <w:numFmt w:val="bullet"/>
      <w:lvlText w:val=""/>
      <w:lvlJc w:val="left"/>
      <w:pPr>
        <w:tabs>
          <w:tab w:val="num" w:pos="1440"/>
        </w:tabs>
        <w:ind w:left="1440" w:hanging="360"/>
      </w:pPr>
      <w:rPr>
        <w:rFonts w:ascii="Symbol" w:hAnsi="Symbol" w:hint="default"/>
      </w:rPr>
    </w:lvl>
    <w:lvl w:ilvl="2" w:tplc="FB2434FA" w:tentative="1">
      <w:start w:val="1"/>
      <w:numFmt w:val="bullet"/>
      <w:lvlText w:val="•"/>
      <w:lvlJc w:val="left"/>
      <w:pPr>
        <w:tabs>
          <w:tab w:val="num" w:pos="2160"/>
        </w:tabs>
        <w:ind w:left="2160" w:hanging="360"/>
      </w:pPr>
      <w:rPr>
        <w:rFonts w:ascii="Garamond" w:hAnsi="Garamond" w:hint="default"/>
      </w:rPr>
    </w:lvl>
    <w:lvl w:ilvl="3" w:tplc="DA744ED4" w:tentative="1">
      <w:start w:val="1"/>
      <w:numFmt w:val="bullet"/>
      <w:lvlText w:val="•"/>
      <w:lvlJc w:val="left"/>
      <w:pPr>
        <w:tabs>
          <w:tab w:val="num" w:pos="2880"/>
        </w:tabs>
        <w:ind w:left="2880" w:hanging="360"/>
      </w:pPr>
      <w:rPr>
        <w:rFonts w:ascii="Garamond" w:hAnsi="Garamond" w:hint="default"/>
      </w:rPr>
    </w:lvl>
    <w:lvl w:ilvl="4" w:tplc="7C4044E0">
      <w:start w:val="159"/>
      <w:numFmt w:val="bullet"/>
      <w:lvlText w:val="•"/>
      <w:lvlJc w:val="left"/>
      <w:pPr>
        <w:tabs>
          <w:tab w:val="num" w:pos="3600"/>
        </w:tabs>
        <w:ind w:left="3600" w:hanging="360"/>
      </w:pPr>
      <w:rPr>
        <w:rFonts w:ascii="Garamond" w:hAnsi="Garamond" w:hint="default"/>
      </w:rPr>
    </w:lvl>
    <w:lvl w:ilvl="5" w:tplc="9FD40E66" w:tentative="1">
      <w:start w:val="1"/>
      <w:numFmt w:val="bullet"/>
      <w:lvlText w:val="•"/>
      <w:lvlJc w:val="left"/>
      <w:pPr>
        <w:tabs>
          <w:tab w:val="num" w:pos="4320"/>
        </w:tabs>
        <w:ind w:left="4320" w:hanging="360"/>
      </w:pPr>
      <w:rPr>
        <w:rFonts w:ascii="Garamond" w:hAnsi="Garamond" w:hint="default"/>
      </w:rPr>
    </w:lvl>
    <w:lvl w:ilvl="6" w:tplc="E1EA720E" w:tentative="1">
      <w:start w:val="1"/>
      <w:numFmt w:val="bullet"/>
      <w:lvlText w:val="•"/>
      <w:lvlJc w:val="left"/>
      <w:pPr>
        <w:tabs>
          <w:tab w:val="num" w:pos="5040"/>
        </w:tabs>
        <w:ind w:left="5040" w:hanging="360"/>
      </w:pPr>
      <w:rPr>
        <w:rFonts w:ascii="Garamond" w:hAnsi="Garamond" w:hint="default"/>
      </w:rPr>
    </w:lvl>
    <w:lvl w:ilvl="7" w:tplc="17FA1546" w:tentative="1">
      <w:start w:val="1"/>
      <w:numFmt w:val="bullet"/>
      <w:lvlText w:val="•"/>
      <w:lvlJc w:val="left"/>
      <w:pPr>
        <w:tabs>
          <w:tab w:val="num" w:pos="5760"/>
        </w:tabs>
        <w:ind w:left="5760" w:hanging="360"/>
      </w:pPr>
      <w:rPr>
        <w:rFonts w:ascii="Garamond" w:hAnsi="Garamond" w:hint="default"/>
      </w:rPr>
    </w:lvl>
    <w:lvl w:ilvl="8" w:tplc="6C6A7904" w:tentative="1">
      <w:start w:val="1"/>
      <w:numFmt w:val="bullet"/>
      <w:lvlText w:val="•"/>
      <w:lvlJc w:val="left"/>
      <w:pPr>
        <w:tabs>
          <w:tab w:val="num" w:pos="6480"/>
        </w:tabs>
        <w:ind w:left="6480" w:hanging="360"/>
      </w:pPr>
      <w:rPr>
        <w:rFonts w:ascii="Garamond" w:hAnsi="Garamond" w:hint="default"/>
      </w:rPr>
    </w:lvl>
  </w:abstractNum>
  <w:abstractNum w:abstractNumId="2">
    <w:nsid w:val="45FF7AA9"/>
    <w:multiLevelType w:val="hybridMultilevel"/>
    <w:tmpl w:val="FB300420"/>
    <w:lvl w:ilvl="0" w:tplc="78FE04FE">
      <w:start w:val="1"/>
      <w:numFmt w:val="bullet"/>
      <w:lvlText w:val="–"/>
      <w:lvlJc w:val="left"/>
      <w:pPr>
        <w:tabs>
          <w:tab w:val="num" w:pos="720"/>
        </w:tabs>
        <w:ind w:left="720" w:hanging="360"/>
      </w:pPr>
      <w:rPr>
        <w:rFonts w:ascii="Garamond" w:hAnsi="Garamond" w:hint="default"/>
      </w:rPr>
    </w:lvl>
    <w:lvl w:ilvl="1" w:tplc="CFB4C29E">
      <w:start w:val="159"/>
      <w:numFmt w:val="bullet"/>
      <w:lvlText w:val="–"/>
      <w:lvlJc w:val="left"/>
      <w:pPr>
        <w:tabs>
          <w:tab w:val="num" w:pos="1440"/>
        </w:tabs>
        <w:ind w:left="1440" w:hanging="360"/>
      </w:pPr>
      <w:rPr>
        <w:rFonts w:ascii="Garamond" w:hAnsi="Garamond" w:hint="default"/>
      </w:rPr>
    </w:lvl>
    <w:lvl w:ilvl="2" w:tplc="9F562ED6" w:tentative="1">
      <w:start w:val="1"/>
      <w:numFmt w:val="bullet"/>
      <w:lvlText w:val="–"/>
      <w:lvlJc w:val="left"/>
      <w:pPr>
        <w:tabs>
          <w:tab w:val="num" w:pos="2160"/>
        </w:tabs>
        <w:ind w:left="2160" w:hanging="360"/>
      </w:pPr>
      <w:rPr>
        <w:rFonts w:ascii="Garamond" w:hAnsi="Garamond" w:hint="default"/>
      </w:rPr>
    </w:lvl>
    <w:lvl w:ilvl="3" w:tplc="27A06F6E" w:tentative="1">
      <w:start w:val="1"/>
      <w:numFmt w:val="bullet"/>
      <w:lvlText w:val="–"/>
      <w:lvlJc w:val="left"/>
      <w:pPr>
        <w:tabs>
          <w:tab w:val="num" w:pos="2880"/>
        </w:tabs>
        <w:ind w:left="2880" w:hanging="360"/>
      </w:pPr>
      <w:rPr>
        <w:rFonts w:ascii="Garamond" w:hAnsi="Garamond" w:hint="default"/>
      </w:rPr>
    </w:lvl>
    <w:lvl w:ilvl="4" w:tplc="547EC44E" w:tentative="1">
      <w:start w:val="1"/>
      <w:numFmt w:val="bullet"/>
      <w:lvlText w:val="–"/>
      <w:lvlJc w:val="left"/>
      <w:pPr>
        <w:tabs>
          <w:tab w:val="num" w:pos="3600"/>
        </w:tabs>
        <w:ind w:left="3600" w:hanging="360"/>
      </w:pPr>
      <w:rPr>
        <w:rFonts w:ascii="Garamond" w:hAnsi="Garamond" w:hint="default"/>
      </w:rPr>
    </w:lvl>
    <w:lvl w:ilvl="5" w:tplc="A15E36B4" w:tentative="1">
      <w:start w:val="1"/>
      <w:numFmt w:val="bullet"/>
      <w:lvlText w:val="–"/>
      <w:lvlJc w:val="left"/>
      <w:pPr>
        <w:tabs>
          <w:tab w:val="num" w:pos="4320"/>
        </w:tabs>
        <w:ind w:left="4320" w:hanging="360"/>
      </w:pPr>
      <w:rPr>
        <w:rFonts w:ascii="Garamond" w:hAnsi="Garamond" w:hint="default"/>
      </w:rPr>
    </w:lvl>
    <w:lvl w:ilvl="6" w:tplc="F2BCA8E2" w:tentative="1">
      <w:start w:val="1"/>
      <w:numFmt w:val="bullet"/>
      <w:lvlText w:val="–"/>
      <w:lvlJc w:val="left"/>
      <w:pPr>
        <w:tabs>
          <w:tab w:val="num" w:pos="5040"/>
        </w:tabs>
        <w:ind w:left="5040" w:hanging="360"/>
      </w:pPr>
      <w:rPr>
        <w:rFonts w:ascii="Garamond" w:hAnsi="Garamond" w:hint="default"/>
      </w:rPr>
    </w:lvl>
    <w:lvl w:ilvl="7" w:tplc="8C68FEA8" w:tentative="1">
      <w:start w:val="1"/>
      <w:numFmt w:val="bullet"/>
      <w:lvlText w:val="–"/>
      <w:lvlJc w:val="left"/>
      <w:pPr>
        <w:tabs>
          <w:tab w:val="num" w:pos="5760"/>
        </w:tabs>
        <w:ind w:left="5760" w:hanging="360"/>
      </w:pPr>
      <w:rPr>
        <w:rFonts w:ascii="Garamond" w:hAnsi="Garamond" w:hint="default"/>
      </w:rPr>
    </w:lvl>
    <w:lvl w:ilvl="8" w:tplc="15C46940" w:tentative="1">
      <w:start w:val="1"/>
      <w:numFmt w:val="bullet"/>
      <w:lvlText w:val="–"/>
      <w:lvlJc w:val="left"/>
      <w:pPr>
        <w:tabs>
          <w:tab w:val="num" w:pos="6480"/>
        </w:tabs>
        <w:ind w:left="6480" w:hanging="360"/>
      </w:pPr>
      <w:rPr>
        <w:rFonts w:ascii="Garamond" w:hAnsi="Garamond" w:hint="default"/>
      </w:rPr>
    </w:lvl>
  </w:abstractNum>
  <w:abstractNum w:abstractNumId="3">
    <w:nsid w:val="591F3F45"/>
    <w:multiLevelType w:val="hybridMultilevel"/>
    <w:tmpl w:val="FDC61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1B40BCC"/>
    <w:multiLevelType w:val="hybridMultilevel"/>
    <w:tmpl w:val="87682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D9E2363"/>
    <w:multiLevelType w:val="hybridMultilevel"/>
    <w:tmpl w:val="95406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B40189E"/>
    <w:multiLevelType w:val="hybridMultilevel"/>
    <w:tmpl w:val="11680616"/>
    <w:lvl w:ilvl="0" w:tplc="8912E2A8">
      <w:start w:val="1"/>
      <w:numFmt w:val="bullet"/>
      <w:lvlText w:val=""/>
      <w:lvlJc w:val="left"/>
      <w:pPr>
        <w:tabs>
          <w:tab w:val="num" w:pos="360"/>
        </w:tabs>
        <w:ind w:left="360" w:hanging="360"/>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234637"/>
    <w:rsid w:val="000946A5"/>
    <w:rsid w:val="000B424B"/>
    <w:rsid w:val="001443E3"/>
    <w:rsid w:val="00163874"/>
    <w:rsid w:val="001E1AEE"/>
    <w:rsid w:val="001E20EC"/>
    <w:rsid w:val="00230A16"/>
    <w:rsid w:val="00234637"/>
    <w:rsid w:val="00241ED7"/>
    <w:rsid w:val="002B3F86"/>
    <w:rsid w:val="002C09EE"/>
    <w:rsid w:val="002D4A52"/>
    <w:rsid w:val="003018C0"/>
    <w:rsid w:val="00385502"/>
    <w:rsid w:val="0039249C"/>
    <w:rsid w:val="003A4AA4"/>
    <w:rsid w:val="003D221D"/>
    <w:rsid w:val="003E3C68"/>
    <w:rsid w:val="00420C56"/>
    <w:rsid w:val="0042474A"/>
    <w:rsid w:val="00432A21"/>
    <w:rsid w:val="00473C06"/>
    <w:rsid w:val="00480CF0"/>
    <w:rsid w:val="004B5B61"/>
    <w:rsid w:val="004C719B"/>
    <w:rsid w:val="004D0EED"/>
    <w:rsid w:val="004E28DC"/>
    <w:rsid w:val="00510E7F"/>
    <w:rsid w:val="005649ED"/>
    <w:rsid w:val="00650320"/>
    <w:rsid w:val="006B6017"/>
    <w:rsid w:val="0070031C"/>
    <w:rsid w:val="0070317B"/>
    <w:rsid w:val="00711921"/>
    <w:rsid w:val="00747E8C"/>
    <w:rsid w:val="00756907"/>
    <w:rsid w:val="00761C2B"/>
    <w:rsid w:val="00771249"/>
    <w:rsid w:val="00785F6B"/>
    <w:rsid w:val="007D37A1"/>
    <w:rsid w:val="00810F61"/>
    <w:rsid w:val="00836B0D"/>
    <w:rsid w:val="008A4511"/>
    <w:rsid w:val="008D6FB5"/>
    <w:rsid w:val="009000FA"/>
    <w:rsid w:val="00917530"/>
    <w:rsid w:val="009265AD"/>
    <w:rsid w:val="00931ACB"/>
    <w:rsid w:val="009402EA"/>
    <w:rsid w:val="00947511"/>
    <w:rsid w:val="009A170B"/>
    <w:rsid w:val="00A722FA"/>
    <w:rsid w:val="00AA78A0"/>
    <w:rsid w:val="00AB76D3"/>
    <w:rsid w:val="00AD388F"/>
    <w:rsid w:val="00B421BB"/>
    <w:rsid w:val="00B60B68"/>
    <w:rsid w:val="00BA2819"/>
    <w:rsid w:val="00BA5C5C"/>
    <w:rsid w:val="00C051BF"/>
    <w:rsid w:val="00C46140"/>
    <w:rsid w:val="00C64F4D"/>
    <w:rsid w:val="00D01253"/>
    <w:rsid w:val="00D52A34"/>
    <w:rsid w:val="00D53AAC"/>
    <w:rsid w:val="00DA56AD"/>
    <w:rsid w:val="00DB1E7A"/>
    <w:rsid w:val="00DE5105"/>
    <w:rsid w:val="00DE76A0"/>
    <w:rsid w:val="00E04943"/>
    <w:rsid w:val="00E10D05"/>
    <w:rsid w:val="00E27795"/>
    <w:rsid w:val="00E27D64"/>
    <w:rsid w:val="00E64AFE"/>
    <w:rsid w:val="00EB4C43"/>
    <w:rsid w:val="00F04C6F"/>
    <w:rsid w:val="00F25365"/>
    <w:rsid w:val="00F32746"/>
    <w:rsid w:val="00F32F99"/>
    <w:rsid w:val="00F4329C"/>
    <w:rsid w:val="00F96061"/>
    <w:rsid w:val="00FA7C1F"/>
    <w:rsid w:val="00FC3E42"/>
    <w:rsid w:val="00FD67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63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mailstyle17">
    <w:name w:val="EmailStyle15"/>
    <w:aliases w:val="EmailStyle15"/>
    <w:basedOn w:val="DefaultParagraphFont"/>
    <w:semiHidden/>
    <w:personal/>
    <w:personalCompose/>
    <w:rsid w:val="00234637"/>
    <w:rPr>
      <w:rFonts w:ascii="Arial" w:hAnsi="Arial" w:cs="Arial" w:hint="default"/>
      <w:color w:val="auto"/>
      <w:sz w:val="20"/>
      <w:szCs w:val="20"/>
    </w:rPr>
  </w:style>
  <w:style w:type="character" w:customStyle="1" w:styleId="UCSM">
    <w:name w:val="EmailStyle16"/>
    <w:aliases w:val="EmailStyle16"/>
    <w:basedOn w:val="DefaultParagraphFont"/>
    <w:semiHidden/>
    <w:personal/>
    <w:personalCompose/>
    <w:rsid w:val="00234637"/>
    <w:rPr>
      <w:rFonts w:ascii="Arial" w:hAnsi="Arial" w:cs="Arial"/>
      <w:color w:val="auto"/>
      <w:sz w:val="20"/>
      <w:szCs w:val="20"/>
    </w:rPr>
  </w:style>
  <w:style w:type="paragraph" w:styleId="Header">
    <w:name w:val="header"/>
    <w:basedOn w:val="Normal"/>
    <w:rsid w:val="00234637"/>
    <w:pPr>
      <w:tabs>
        <w:tab w:val="center" w:pos="4153"/>
        <w:tab w:val="right" w:pos="8306"/>
      </w:tabs>
    </w:pPr>
  </w:style>
  <w:style w:type="paragraph" w:styleId="Footer">
    <w:name w:val="footer"/>
    <w:basedOn w:val="Normal"/>
    <w:rsid w:val="00234637"/>
    <w:pPr>
      <w:tabs>
        <w:tab w:val="center" w:pos="4153"/>
        <w:tab w:val="right" w:pos="8306"/>
      </w:tabs>
    </w:pPr>
  </w:style>
  <w:style w:type="character" w:styleId="PageNumber">
    <w:name w:val="page number"/>
    <w:basedOn w:val="DefaultParagraphFont"/>
    <w:rsid w:val="00234637"/>
  </w:style>
  <w:style w:type="character" w:styleId="Hyperlink">
    <w:name w:val="Hyperlink"/>
    <w:basedOn w:val="DefaultParagraphFont"/>
    <w:rsid w:val="000B42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ews.slcs.ac.uk/_act/link.php?mId=A831883822610629143676&amp;tId=11627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achernet.gov.uk/_doc/11525/Professional%20Standards%20for%20Teachers.pdf"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1125" b="1" i="0" u="none" strike="noStrike" baseline="0">
                <a:solidFill>
                  <a:srgbClr val="000000"/>
                </a:solidFill>
                <a:latin typeface="Arial"/>
                <a:ea typeface="Arial"/>
                <a:cs typeface="Arial"/>
              </a:defRPr>
            </a:pPr>
            <a:r>
              <a:t>Information Sources</a:t>
            </a:r>
          </a:p>
        </c:rich>
      </c:tx>
      <c:layout>
        <c:manualLayout>
          <c:xMode val="edge"/>
          <c:yMode val="edge"/>
          <c:x val="0.34468085106382995"/>
          <c:y val="1.9157088122605363E-2"/>
        </c:manualLayout>
      </c:layout>
      <c:spPr>
        <a:noFill/>
        <a:ln w="25399">
          <a:noFill/>
        </a:ln>
      </c:spPr>
    </c:title>
    <c:plotArea>
      <c:layout>
        <c:manualLayout>
          <c:layoutTarget val="inner"/>
          <c:xMode val="edge"/>
          <c:yMode val="edge"/>
          <c:x val="0.13191489361702138"/>
          <c:y val="0.22988505747126442"/>
          <c:w val="0.51063829787234039"/>
          <c:h val="0.30651340996168591"/>
        </c:manualLayout>
      </c:layout>
      <c:barChart>
        <c:barDir val="col"/>
        <c:grouping val="stacked"/>
        <c:ser>
          <c:idx val="0"/>
          <c:order val="0"/>
          <c:tx>
            <c:v>PGs &amp; BSc QTS</c:v>
          </c:tx>
          <c:spPr>
            <a:solidFill>
              <a:srgbClr val="9999FF"/>
            </a:solidFill>
            <a:ln w="12700">
              <a:solidFill>
                <a:srgbClr val="000000"/>
              </a:solidFill>
              <a:prstDash val="solid"/>
            </a:ln>
          </c:spPr>
          <c:cat>
            <c:strLit>
              <c:ptCount val="6"/>
              <c:pt idx="0">
                <c:v>A level Text</c:v>
              </c:pt>
              <c:pt idx="1">
                <c:v> Internet</c:v>
              </c:pt>
              <c:pt idx="2">
                <c:v> Lesson Plan</c:v>
              </c:pt>
              <c:pt idx="3">
                <c:v> Powerpoint</c:v>
              </c:pt>
              <c:pt idx="4">
                <c:v> Topic Info</c:v>
              </c:pt>
              <c:pt idx="5">
                <c:v> Notes</c:v>
              </c:pt>
            </c:strLit>
          </c:cat>
          <c:val>
            <c:numRef>
              <c:f>Sheet2!$A$2:$F$2</c:f>
              <c:numCache>
                <c:formatCode>General</c:formatCode>
                <c:ptCount val="6"/>
                <c:pt idx="0">
                  <c:v>10</c:v>
                </c:pt>
                <c:pt idx="1">
                  <c:v>9</c:v>
                </c:pt>
                <c:pt idx="2">
                  <c:v>11</c:v>
                </c:pt>
                <c:pt idx="3">
                  <c:v>11</c:v>
                </c:pt>
                <c:pt idx="4">
                  <c:v>10</c:v>
                </c:pt>
              </c:numCache>
            </c:numRef>
          </c:val>
        </c:ser>
        <c:ser>
          <c:idx val="1"/>
          <c:order val="1"/>
          <c:tx>
            <c:v>PGs revision</c:v>
          </c:tx>
          <c:spPr>
            <a:solidFill>
              <a:srgbClr val="993366"/>
            </a:solidFill>
            <a:ln w="12700">
              <a:solidFill>
                <a:srgbClr val="000000"/>
              </a:solidFill>
              <a:prstDash val="solid"/>
            </a:ln>
          </c:spPr>
          <c:cat>
            <c:strLit>
              <c:ptCount val="6"/>
              <c:pt idx="0">
                <c:v>A level Text</c:v>
              </c:pt>
              <c:pt idx="1">
                <c:v> Internet</c:v>
              </c:pt>
              <c:pt idx="2">
                <c:v> Lesson Plan</c:v>
              </c:pt>
              <c:pt idx="3">
                <c:v> Powerpoint</c:v>
              </c:pt>
              <c:pt idx="4">
                <c:v> Topic Info</c:v>
              </c:pt>
              <c:pt idx="5">
                <c:v> Notes</c:v>
              </c:pt>
            </c:strLit>
          </c:cat>
          <c:val>
            <c:numRef>
              <c:f>Sheet2!$A$3:$F$3</c:f>
              <c:numCache>
                <c:formatCode>General</c:formatCode>
                <c:ptCount val="6"/>
                <c:pt idx="0">
                  <c:v>6</c:v>
                </c:pt>
                <c:pt idx="1">
                  <c:v>4</c:v>
                </c:pt>
                <c:pt idx="2">
                  <c:v>6</c:v>
                </c:pt>
                <c:pt idx="3">
                  <c:v>6</c:v>
                </c:pt>
                <c:pt idx="4">
                  <c:v>5</c:v>
                </c:pt>
                <c:pt idx="5">
                  <c:v>2</c:v>
                </c:pt>
              </c:numCache>
            </c:numRef>
          </c:val>
        </c:ser>
        <c:ser>
          <c:idx val="2"/>
          <c:order val="2"/>
          <c:tx>
            <c:v>PGs main revision</c:v>
          </c:tx>
          <c:spPr>
            <a:solidFill>
              <a:srgbClr val="FFFFCC"/>
            </a:solidFill>
            <a:ln w="12700">
              <a:solidFill>
                <a:srgbClr val="000000"/>
              </a:solidFill>
              <a:prstDash val="solid"/>
            </a:ln>
          </c:spPr>
          <c:cat>
            <c:strLit>
              <c:ptCount val="6"/>
              <c:pt idx="0">
                <c:v>A level Text</c:v>
              </c:pt>
              <c:pt idx="1">
                <c:v> Internet</c:v>
              </c:pt>
              <c:pt idx="2">
                <c:v> Lesson Plan</c:v>
              </c:pt>
              <c:pt idx="3">
                <c:v> Powerpoint</c:v>
              </c:pt>
              <c:pt idx="4">
                <c:v> Topic Info</c:v>
              </c:pt>
              <c:pt idx="5">
                <c:v> Notes</c:v>
              </c:pt>
            </c:strLit>
          </c:cat>
          <c:val>
            <c:numRef>
              <c:f>Sheet2!$A$4:$F$4</c:f>
              <c:numCache>
                <c:formatCode>General</c:formatCode>
                <c:ptCount val="6"/>
                <c:pt idx="0">
                  <c:v>5</c:v>
                </c:pt>
                <c:pt idx="1">
                  <c:v>1</c:v>
                </c:pt>
                <c:pt idx="2">
                  <c:v>4</c:v>
                </c:pt>
                <c:pt idx="3">
                  <c:v>4</c:v>
                </c:pt>
                <c:pt idx="4">
                  <c:v>2</c:v>
                </c:pt>
                <c:pt idx="5">
                  <c:v>2</c:v>
                </c:pt>
              </c:numCache>
            </c:numRef>
          </c:val>
        </c:ser>
        <c:ser>
          <c:idx val="3"/>
          <c:order val="3"/>
          <c:tx>
            <c:v>BSc QTS revision</c:v>
          </c:tx>
          <c:spPr>
            <a:solidFill>
              <a:srgbClr val="CCFFFF"/>
            </a:solidFill>
            <a:ln w="12700">
              <a:solidFill>
                <a:srgbClr val="000000"/>
              </a:solidFill>
              <a:prstDash val="solid"/>
            </a:ln>
          </c:spPr>
          <c:cat>
            <c:strLit>
              <c:ptCount val="6"/>
              <c:pt idx="0">
                <c:v>A level Text</c:v>
              </c:pt>
              <c:pt idx="1">
                <c:v> Internet</c:v>
              </c:pt>
              <c:pt idx="2">
                <c:v> Lesson Plan</c:v>
              </c:pt>
              <c:pt idx="3">
                <c:v> Powerpoint</c:v>
              </c:pt>
              <c:pt idx="4">
                <c:v> Topic Info</c:v>
              </c:pt>
              <c:pt idx="5">
                <c:v> Notes</c:v>
              </c:pt>
            </c:strLit>
          </c:cat>
          <c:val>
            <c:numRef>
              <c:f>Sheet2!$A$5:$F$5</c:f>
              <c:numCache>
                <c:formatCode>General</c:formatCode>
                <c:ptCount val="6"/>
                <c:pt idx="0">
                  <c:v>4</c:v>
                </c:pt>
                <c:pt idx="1">
                  <c:v>4</c:v>
                </c:pt>
                <c:pt idx="2">
                  <c:v>4</c:v>
                </c:pt>
                <c:pt idx="3">
                  <c:v>4</c:v>
                </c:pt>
                <c:pt idx="4">
                  <c:v>3</c:v>
                </c:pt>
                <c:pt idx="5">
                  <c:v>2</c:v>
                </c:pt>
              </c:numCache>
            </c:numRef>
          </c:val>
        </c:ser>
        <c:ser>
          <c:idx val="4"/>
          <c:order val="4"/>
          <c:tx>
            <c:v>BSc QTS main revision</c:v>
          </c:tx>
          <c:spPr>
            <a:solidFill>
              <a:srgbClr val="660066"/>
            </a:solidFill>
            <a:ln w="12700">
              <a:solidFill>
                <a:srgbClr val="000000"/>
              </a:solidFill>
              <a:prstDash val="solid"/>
            </a:ln>
          </c:spPr>
          <c:cat>
            <c:strLit>
              <c:ptCount val="6"/>
              <c:pt idx="0">
                <c:v>A level Text</c:v>
              </c:pt>
              <c:pt idx="1">
                <c:v> Internet</c:v>
              </c:pt>
              <c:pt idx="2">
                <c:v> Lesson Plan</c:v>
              </c:pt>
              <c:pt idx="3">
                <c:v> Powerpoint</c:v>
              </c:pt>
              <c:pt idx="4">
                <c:v> Topic Info</c:v>
              </c:pt>
              <c:pt idx="5">
                <c:v> Notes</c:v>
              </c:pt>
            </c:strLit>
          </c:cat>
          <c:val>
            <c:numRef>
              <c:f>Sheet2!$A$6:$F$6</c:f>
              <c:numCache>
                <c:formatCode>General</c:formatCode>
                <c:ptCount val="6"/>
                <c:pt idx="0">
                  <c:v>2</c:v>
                </c:pt>
                <c:pt idx="1">
                  <c:v>1</c:v>
                </c:pt>
                <c:pt idx="2">
                  <c:v>2</c:v>
                </c:pt>
                <c:pt idx="3">
                  <c:v>3</c:v>
                </c:pt>
                <c:pt idx="4">
                  <c:v>1</c:v>
                </c:pt>
                <c:pt idx="5">
                  <c:v>3</c:v>
                </c:pt>
              </c:numCache>
            </c:numRef>
          </c:val>
        </c:ser>
        <c:overlap val="100"/>
        <c:axId val="113080576"/>
        <c:axId val="113103232"/>
      </c:barChart>
      <c:catAx>
        <c:axId val="113080576"/>
        <c:scaling>
          <c:orientation val="minMax"/>
        </c:scaling>
        <c:axPos val="b"/>
        <c:title>
          <c:tx>
            <c:rich>
              <a:bodyPr/>
              <a:lstStyle/>
              <a:p>
                <a:pPr>
                  <a:defRPr sz="950" b="1" i="0" u="none" strike="noStrike" baseline="0">
                    <a:solidFill>
                      <a:srgbClr val="000000"/>
                    </a:solidFill>
                    <a:latin typeface="Arial"/>
                    <a:ea typeface="Arial"/>
                    <a:cs typeface="Arial"/>
                  </a:defRPr>
                </a:pPr>
                <a:r>
                  <a:t>Resource</a:t>
                </a:r>
              </a:p>
            </c:rich>
          </c:tx>
          <c:layout>
            <c:manualLayout>
              <c:xMode val="edge"/>
              <c:yMode val="edge"/>
              <c:x val="0.31914893617021289"/>
              <c:y val="0.86973180076628365"/>
            </c:manualLayout>
          </c:layout>
          <c:spPr>
            <a:noFill/>
            <a:ln w="25399">
              <a:noFill/>
            </a:ln>
          </c:spPr>
        </c:title>
        <c:numFmt formatCode="General" sourceLinked="1"/>
        <c:tickLblPos val="nextTo"/>
        <c:spPr>
          <a:ln w="3175">
            <a:solidFill>
              <a:srgbClr val="000000"/>
            </a:solidFill>
            <a:prstDash val="solid"/>
          </a:ln>
        </c:spPr>
        <c:txPr>
          <a:bodyPr rot="-3600000" vert="horz"/>
          <a:lstStyle/>
          <a:p>
            <a:pPr>
              <a:defRPr sz="950" b="0" i="0" u="none" strike="noStrike" baseline="0">
                <a:solidFill>
                  <a:srgbClr val="000000"/>
                </a:solidFill>
                <a:latin typeface="Arial"/>
                <a:ea typeface="Arial"/>
                <a:cs typeface="Arial"/>
              </a:defRPr>
            </a:pPr>
            <a:endParaRPr lang="en-US"/>
          </a:p>
        </c:txPr>
        <c:crossAx val="113103232"/>
        <c:crosses val="autoZero"/>
        <c:auto val="1"/>
        <c:lblAlgn val="ctr"/>
        <c:lblOffset val="100"/>
        <c:tickLblSkip val="1"/>
        <c:tickMarkSkip val="1"/>
      </c:catAx>
      <c:valAx>
        <c:axId val="113103232"/>
        <c:scaling>
          <c:orientation val="minMax"/>
        </c:scaling>
        <c:axPos val="l"/>
        <c:majorGridlines>
          <c:spPr>
            <a:ln w="3175">
              <a:solidFill>
                <a:srgbClr val="000000"/>
              </a:solidFill>
              <a:prstDash val="solid"/>
            </a:ln>
          </c:spPr>
        </c:majorGridlines>
        <c:title>
          <c:tx>
            <c:rich>
              <a:bodyPr/>
              <a:lstStyle/>
              <a:p>
                <a:pPr>
                  <a:defRPr sz="950" b="1" i="0" u="none" strike="noStrike" baseline="0">
                    <a:solidFill>
                      <a:srgbClr val="000000"/>
                    </a:solidFill>
                    <a:latin typeface="Arial"/>
                    <a:ea typeface="Arial"/>
                    <a:cs typeface="Arial"/>
                  </a:defRPr>
                </a:pPr>
                <a:r>
                  <a:t>Number of Students</a:t>
                </a:r>
              </a:p>
            </c:rich>
          </c:tx>
          <c:layout>
            <c:manualLayout>
              <c:xMode val="edge"/>
              <c:yMode val="edge"/>
              <c:x val="2.3404255319148935E-2"/>
              <c:y val="0.13409961685823754"/>
            </c:manualLayout>
          </c:layout>
          <c:spPr>
            <a:noFill/>
            <a:ln w="25399">
              <a:noFill/>
            </a:ln>
          </c:spPr>
        </c:title>
        <c:numFmt formatCode="General" sourceLinked="1"/>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3080576"/>
        <c:crosses val="autoZero"/>
        <c:crossBetween val="between"/>
      </c:valAx>
      <c:spPr>
        <a:solidFill>
          <a:srgbClr val="C0C0C0"/>
        </a:solidFill>
        <a:ln w="12700">
          <a:solidFill>
            <a:srgbClr val="808080"/>
          </a:solidFill>
          <a:prstDash val="solid"/>
        </a:ln>
      </c:spPr>
    </c:plotArea>
    <c:legend>
      <c:legendPos val="r"/>
      <c:layout>
        <c:manualLayout>
          <c:xMode val="edge"/>
          <c:yMode val="edge"/>
          <c:x val="0.66382978723404285"/>
          <c:y val="0.16858237547892721"/>
          <c:w val="0.32978723404255328"/>
          <c:h val="0.42911877394636039"/>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125" b="1" i="0" u="none" strike="noStrike" baseline="0">
                <a:solidFill>
                  <a:srgbClr val="000000"/>
                </a:solidFill>
                <a:latin typeface="Arial"/>
                <a:ea typeface="Arial"/>
                <a:cs typeface="Arial"/>
              </a:defRPr>
            </a:pPr>
            <a:r>
              <a:t>Module 1 Biology Exam Results Comparison (PGs &amp; BSc QTS)</a:t>
            </a:r>
          </a:p>
        </c:rich>
      </c:tx>
      <c:layout>
        <c:manualLayout>
          <c:xMode val="edge"/>
          <c:yMode val="edge"/>
          <c:x val="0.10515021459227468"/>
          <c:y val="1.9083969465648862E-2"/>
        </c:manualLayout>
      </c:layout>
      <c:spPr>
        <a:noFill/>
        <a:ln w="25403">
          <a:noFill/>
        </a:ln>
      </c:spPr>
    </c:title>
    <c:plotArea>
      <c:layout>
        <c:manualLayout>
          <c:layoutTarget val="inner"/>
          <c:xMode val="edge"/>
          <c:yMode val="edge"/>
          <c:x val="0.13090128755364813"/>
          <c:y val="0.3053435114503818"/>
          <c:w val="0.6094420600858369"/>
          <c:h val="0.38549618320610696"/>
        </c:manualLayout>
      </c:layout>
      <c:barChart>
        <c:barDir val="col"/>
        <c:grouping val="stacked"/>
        <c:ser>
          <c:idx val="0"/>
          <c:order val="0"/>
          <c:tx>
            <c:v>PGs 0607</c:v>
          </c:tx>
          <c:spPr>
            <a:solidFill>
              <a:srgbClr val="9999FF"/>
            </a:solidFill>
            <a:ln w="12702">
              <a:solidFill>
                <a:srgbClr val="000000"/>
              </a:solidFill>
              <a:prstDash val="solid"/>
            </a:ln>
          </c:spPr>
          <c:cat>
            <c:strRef>
              <c:f>Sheet3!$A$1:$I$1</c:f>
              <c:strCache>
                <c:ptCount val="9"/>
                <c:pt idx="0">
                  <c:v>&gt;20</c:v>
                </c:pt>
                <c:pt idx="1">
                  <c:v>20-29</c:v>
                </c:pt>
                <c:pt idx="2">
                  <c:v>30-39</c:v>
                </c:pt>
                <c:pt idx="3">
                  <c:v>40-49</c:v>
                </c:pt>
                <c:pt idx="4">
                  <c:v>50-59</c:v>
                </c:pt>
                <c:pt idx="5">
                  <c:v>60-69</c:v>
                </c:pt>
                <c:pt idx="6">
                  <c:v>70-79</c:v>
                </c:pt>
                <c:pt idx="7">
                  <c:v>80-89</c:v>
                </c:pt>
                <c:pt idx="8">
                  <c:v>90-99</c:v>
                </c:pt>
              </c:strCache>
            </c:strRef>
          </c:cat>
          <c:val>
            <c:numRef>
              <c:f>Sheet3!$A$2:$I$2</c:f>
              <c:numCache>
                <c:formatCode>General</c:formatCode>
                <c:ptCount val="9"/>
                <c:pt idx="0">
                  <c:v>1</c:v>
                </c:pt>
                <c:pt idx="4">
                  <c:v>1</c:v>
                </c:pt>
                <c:pt idx="6">
                  <c:v>4</c:v>
                </c:pt>
                <c:pt idx="8">
                  <c:v>1</c:v>
                </c:pt>
              </c:numCache>
            </c:numRef>
          </c:val>
        </c:ser>
        <c:ser>
          <c:idx val="1"/>
          <c:order val="1"/>
          <c:tx>
            <c:v>PGs 0506</c:v>
          </c:tx>
          <c:spPr>
            <a:solidFill>
              <a:srgbClr val="993366"/>
            </a:solidFill>
            <a:ln w="12702">
              <a:solidFill>
                <a:srgbClr val="000000"/>
              </a:solidFill>
              <a:prstDash val="solid"/>
            </a:ln>
          </c:spPr>
          <c:cat>
            <c:strRef>
              <c:f>Sheet3!$A$1:$I$1</c:f>
              <c:strCache>
                <c:ptCount val="9"/>
                <c:pt idx="0">
                  <c:v>&gt;20</c:v>
                </c:pt>
                <c:pt idx="1">
                  <c:v>20-29</c:v>
                </c:pt>
                <c:pt idx="2">
                  <c:v>30-39</c:v>
                </c:pt>
                <c:pt idx="3">
                  <c:v>40-49</c:v>
                </c:pt>
                <c:pt idx="4">
                  <c:v>50-59</c:v>
                </c:pt>
                <c:pt idx="5">
                  <c:v>60-69</c:v>
                </c:pt>
                <c:pt idx="6">
                  <c:v>70-79</c:v>
                </c:pt>
                <c:pt idx="7">
                  <c:v>80-89</c:v>
                </c:pt>
                <c:pt idx="8">
                  <c:v>90-99</c:v>
                </c:pt>
              </c:strCache>
            </c:strRef>
          </c:cat>
          <c:val>
            <c:numRef>
              <c:f>Sheet3!$A$3:$I$3</c:f>
              <c:numCache>
                <c:formatCode>General</c:formatCode>
                <c:ptCount val="9"/>
                <c:pt idx="3">
                  <c:v>2</c:v>
                </c:pt>
                <c:pt idx="4">
                  <c:v>1</c:v>
                </c:pt>
                <c:pt idx="5">
                  <c:v>4</c:v>
                </c:pt>
                <c:pt idx="6">
                  <c:v>3</c:v>
                </c:pt>
              </c:numCache>
            </c:numRef>
          </c:val>
        </c:ser>
        <c:ser>
          <c:idx val="2"/>
          <c:order val="2"/>
          <c:tx>
            <c:v>PGs 0405</c:v>
          </c:tx>
          <c:spPr>
            <a:solidFill>
              <a:srgbClr val="FFFFCC"/>
            </a:solidFill>
            <a:ln w="12702">
              <a:solidFill>
                <a:srgbClr val="000000"/>
              </a:solidFill>
              <a:prstDash val="solid"/>
            </a:ln>
          </c:spPr>
          <c:cat>
            <c:strRef>
              <c:f>Sheet3!$A$1:$I$1</c:f>
              <c:strCache>
                <c:ptCount val="9"/>
                <c:pt idx="0">
                  <c:v>&gt;20</c:v>
                </c:pt>
                <c:pt idx="1">
                  <c:v>20-29</c:v>
                </c:pt>
                <c:pt idx="2">
                  <c:v>30-39</c:v>
                </c:pt>
                <c:pt idx="3">
                  <c:v>40-49</c:v>
                </c:pt>
                <c:pt idx="4">
                  <c:v>50-59</c:v>
                </c:pt>
                <c:pt idx="5">
                  <c:v>60-69</c:v>
                </c:pt>
                <c:pt idx="6">
                  <c:v>70-79</c:v>
                </c:pt>
                <c:pt idx="7">
                  <c:v>80-89</c:v>
                </c:pt>
                <c:pt idx="8">
                  <c:v>90-99</c:v>
                </c:pt>
              </c:strCache>
            </c:strRef>
          </c:cat>
          <c:val>
            <c:numRef>
              <c:f>Sheet3!$A$4:$I$4</c:f>
              <c:numCache>
                <c:formatCode>General</c:formatCode>
                <c:ptCount val="9"/>
                <c:pt idx="2">
                  <c:v>1</c:v>
                </c:pt>
                <c:pt idx="4">
                  <c:v>1</c:v>
                </c:pt>
                <c:pt idx="5">
                  <c:v>3</c:v>
                </c:pt>
                <c:pt idx="6">
                  <c:v>3</c:v>
                </c:pt>
              </c:numCache>
            </c:numRef>
          </c:val>
        </c:ser>
        <c:ser>
          <c:idx val="3"/>
          <c:order val="3"/>
          <c:tx>
            <c:v>BSc QTS 0607</c:v>
          </c:tx>
          <c:spPr>
            <a:solidFill>
              <a:srgbClr val="CCFFFF"/>
            </a:solidFill>
            <a:ln w="12702">
              <a:solidFill>
                <a:srgbClr val="000000"/>
              </a:solidFill>
              <a:prstDash val="solid"/>
            </a:ln>
          </c:spPr>
          <c:cat>
            <c:strRef>
              <c:f>Sheet3!$A$1:$I$1</c:f>
              <c:strCache>
                <c:ptCount val="9"/>
                <c:pt idx="0">
                  <c:v>&gt;20</c:v>
                </c:pt>
                <c:pt idx="1">
                  <c:v>20-29</c:v>
                </c:pt>
                <c:pt idx="2">
                  <c:v>30-39</c:v>
                </c:pt>
                <c:pt idx="3">
                  <c:v>40-49</c:v>
                </c:pt>
                <c:pt idx="4">
                  <c:v>50-59</c:v>
                </c:pt>
                <c:pt idx="5">
                  <c:v>60-69</c:v>
                </c:pt>
                <c:pt idx="6">
                  <c:v>70-79</c:v>
                </c:pt>
                <c:pt idx="7">
                  <c:v>80-89</c:v>
                </c:pt>
                <c:pt idx="8">
                  <c:v>90-99</c:v>
                </c:pt>
              </c:strCache>
            </c:strRef>
          </c:cat>
          <c:val>
            <c:numRef>
              <c:f>Sheet3!$A$5:$I$5</c:f>
              <c:numCache>
                <c:formatCode>General</c:formatCode>
                <c:ptCount val="9"/>
                <c:pt idx="5">
                  <c:v>1</c:v>
                </c:pt>
                <c:pt idx="6">
                  <c:v>3</c:v>
                </c:pt>
                <c:pt idx="7">
                  <c:v>1</c:v>
                </c:pt>
              </c:numCache>
            </c:numRef>
          </c:val>
        </c:ser>
        <c:ser>
          <c:idx val="4"/>
          <c:order val="4"/>
          <c:tx>
            <c:v>BSc QTS 0506</c:v>
          </c:tx>
          <c:spPr>
            <a:solidFill>
              <a:srgbClr val="660066"/>
            </a:solidFill>
            <a:ln w="12702">
              <a:solidFill>
                <a:srgbClr val="000000"/>
              </a:solidFill>
              <a:prstDash val="solid"/>
            </a:ln>
          </c:spPr>
          <c:cat>
            <c:strRef>
              <c:f>Sheet3!$A$1:$I$1</c:f>
              <c:strCache>
                <c:ptCount val="9"/>
                <c:pt idx="0">
                  <c:v>&gt;20</c:v>
                </c:pt>
                <c:pt idx="1">
                  <c:v>20-29</c:v>
                </c:pt>
                <c:pt idx="2">
                  <c:v>30-39</c:v>
                </c:pt>
                <c:pt idx="3">
                  <c:v>40-49</c:v>
                </c:pt>
                <c:pt idx="4">
                  <c:v>50-59</c:v>
                </c:pt>
                <c:pt idx="5">
                  <c:v>60-69</c:v>
                </c:pt>
                <c:pt idx="6">
                  <c:v>70-79</c:v>
                </c:pt>
                <c:pt idx="7">
                  <c:v>80-89</c:v>
                </c:pt>
                <c:pt idx="8">
                  <c:v>90-99</c:v>
                </c:pt>
              </c:strCache>
            </c:strRef>
          </c:cat>
          <c:val>
            <c:numRef>
              <c:f>Sheet3!$A$6:$I$6</c:f>
              <c:numCache>
                <c:formatCode>General</c:formatCode>
                <c:ptCount val="9"/>
                <c:pt idx="2">
                  <c:v>1</c:v>
                </c:pt>
                <c:pt idx="3">
                  <c:v>3</c:v>
                </c:pt>
                <c:pt idx="4">
                  <c:v>1</c:v>
                </c:pt>
                <c:pt idx="5">
                  <c:v>2</c:v>
                </c:pt>
              </c:numCache>
            </c:numRef>
          </c:val>
        </c:ser>
        <c:overlap val="100"/>
        <c:axId val="113048960"/>
        <c:axId val="113063424"/>
      </c:barChart>
      <c:catAx>
        <c:axId val="113048960"/>
        <c:scaling>
          <c:orientation val="minMax"/>
        </c:scaling>
        <c:axPos val="b"/>
        <c:title>
          <c:tx>
            <c:rich>
              <a:bodyPr/>
              <a:lstStyle/>
              <a:p>
                <a:pPr>
                  <a:defRPr sz="950" b="1" i="0" u="none" strike="noStrike" baseline="0">
                    <a:solidFill>
                      <a:srgbClr val="000000"/>
                    </a:solidFill>
                    <a:latin typeface="Arial"/>
                    <a:ea typeface="Arial"/>
                    <a:cs typeface="Arial"/>
                  </a:defRPr>
                </a:pPr>
                <a:r>
                  <a:t>Mark  (%)</a:t>
                </a:r>
              </a:p>
            </c:rich>
          </c:tx>
          <c:layout>
            <c:manualLayout>
              <c:xMode val="edge"/>
              <c:yMode val="edge"/>
              <c:x val="0.36909871244635195"/>
              <c:y val="0.87022900763358846"/>
            </c:manualLayout>
          </c:layout>
          <c:spPr>
            <a:noFill/>
            <a:ln w="25403">
              <a:noFill/>
            </a:ln>
          </c:spPr>
        </c:title>
        <c:numFmt formatCode="General" sourceLinked="1"/>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3063424"/>
        <c:crosses val="autoZero"/>
        <c:auto val="1"/>
        <c:lblAlgn val="ctr"/>
        <c:lblOffset val="100"/>
        <c:tickLblSkip val="1"/>
        <c:tickMarkSkip val="1"/>
      </c:catAx>
      <c:valAx>
        <c:axId val="113063424"/>
        <c:scaling>
          <c:orientation val="minMax"/>
        </c:scaling>
        <c:axPos val="l"/>
        <c:majorGridlines>
          <c:spPr>
            <a:ln w="3175">
              <a:solidFill>
                <a:srgbClr val="000000"/>
              </a:solidFill>
              <a:prstDash val="solid"/>
            </a:ln>
          </c:spPr>
        </c:majorGridlines>
        <c:title>
          <c:tx>
            <c:rich>
              <a:bodyPr/>
              <a:lstStyle/>
              <a:p>
                <a:pPr>
                  <a:defRPr sz="950" b="1" i="0" u="none" strike="noStrike" baseline="0">
                    <a:solidFill>
                      <a:srgbClr val="000000"/>
                    </a:solidFill>
                    <a:latin typeface="Arial"/>
                    <a:ea typeface="Arial"/>
                    <a:cs typeface="Arial"/>
                  </a:defRPr>
                </a:pPr>
                <a:r>
                  <a:t>Number of students</a:t>
                </a:r>
              </a:p>
            </c:rich>
          </c:tx>
          <c:layout>
            <c:manualLayout>
              <c:xMode val="edge"/>
              <c:yMode val="edge"/>
              <c:x val="2.3605150214592276E-2"/>
              <c:y val="0.25190839694656486"/>
            </c:manualLayout>
          </c:layout>
          <c:spPr>
            <a:noFill/>
            <a:ln w="25403">
              <a:noFill/>
            </a:ln>
          </c:spPr>
        </c:title>
        <c:numFmt formatCode="General" sourceLinked="1"/>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3048960"/>
        <c:crosses val="autoZero"/>
        <c:crossBetween val="between"/>
      </c:valAx>
      <c:spPr>
        <a:solidFill>
          <a:srgbClr val="C0C0C0"/>
        </a:solidFill>
        <a:ln w="12702">
          <a:solidFill>
            <a:srgbClr val="808080"/>
          </a:solidFill>
          <a:prstDash val="solid"/>
        </a:ln>
      </c:spPr>
    </c:plotArea>
    <c:legend>
      <c:legendPos val="r"/>
      <c:layout>
        <c:manualLayout>
          <c:xMode val="edge"/>
          <c:yMode val="edge"/>
          <c:x val="0.7618025751072961"/>
          <c:y val="0.40839694656488562"/>
          <c:w val="0.22961373390557938"/>
          <c:h val="0.40458015267175584"/>
        </c:manualLayout>
      </c:layout>
      <c:spPr>
        <a:solidFill>
          <a:srgbClr val="FFFFFF"/>
        </a:solidFill>
        <a:ln w="3175">
          <a:solidFill>
            <a:srgbClr val="000000"/>
          </a:solidFill>
          <a:prstDash val="solid"/>
        </a:ln>
      </c:spPr>
      <c:txPr>
        <a:bodyPr/>
        <a:lstStyle/>
        <a:p>
          <a:pPr>
            <a:defRPr sz="87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Students taking ownership of their learning</vt:lpstr>
    </vt:vector>
  </TitlesOfParts>
  <Company>St. Martin's College</Company>
  <LinksUpToDate>false</LinksUpToDate>
  <CharactersWithSpaces>24729</CharactersWithSpaces>
  <SharedDoc>false</SharedDoc>
  <HLinks>
    <vt:vector size="12" baseType="variant">
      <vt:variant>
        <vt:i4>4522036</vt:i4>
      </vt:variant>
      <vt:variant>
        <vt:i4>3</vt:i4>
      </vt:variant>
      <vt:variant>
        <vt:i4>0</vt:i4>
      </vt:variant>
      <vt:variant>
        <vt:i4>5</vt:i4>
      </vt:variant>
      <vt:variant>
        <vt:lpwstr>http://enews.slcs.ac.uk/_act/link.php?mId=A831883822610629143676&amp;tId=1162721</vt:lpwstr>
      </vt:variant>
      <vt:variant>
        <vt:lpwstr/>
      </vt:variant>
      <vt:variant>
        <vt:i4>6029411</vt:i4>
      </vt:variant>
      <vt:variant>
        <vt:i4>0</vt:i4>
      </vt:variant>
      <vt:variant>
        <vt:i4>0</vt:i4>
      </vt:variant>
      <vt:variant>
        <vt:i4>5</vt:i4>
      </vt:variant>
      <vt:variant>
        <vt:lpwstr>http://www.teachernet.gov.uk/_doc/11525/Professional Standards for Teachers.pdf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taking ownership of their learning</dc:title>
  <dc:creator>UCSM</dc:creator>
  <cp:lastModifiedBy>ICS</cp:lastModifiedBy>
  <cp:revision>2</cp:revision>
  <cp:lastPrinted>2008-03-31T10:41:00Z</cp:lastPrinted>
  <dcterms:created xsi:type="dcterms:W3CDTF">2012-06-18T16:38:00Z</dcterms:created>
  <dcterms:modified xsi:type="dcterms:W3CDTF">2012-06-18T16:38:00Z</dcterms:modified>
</cp:coreProperties>
</file>