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5A6" w:rsidRPr="004026B4" w:rsidRDefault="00FE05A6" w:rsidP="00FE05A6">
      <w:pPr>
        <w:pStyle w:val="Title"/>
      </w:pPr>
      <w:r>
        <w:t>Inspecting equalities</w:t>
      </w:r>
    </w:p>
    <w:p w:rsidR="00FE05A6" w:rsidRPr="004026B4" w:rsidRDefault="00FE05A6" w:rsidP="00FE05A6">
      <w:pPr>
        <w:pStyle w:val="Sub-title"/>
      </w:pPr>
      <w:r>
        <w:t>Briefing for section 5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FE05A6" w:rsidTr="002935B3">
        <w:tblPrEx>
          <w:tblCellMar>
            <w:top w:w="0" w:type="dxa"/>
            <w:bottom w:w="0" w:type="dxa"/>
          </w:tblCellMar>
        </w:tblPrEx>
        <w:trPr>
          <w:trHeight w:val="9398"/>
        </w:trPr>
        <w:tc>
          <w:tcPr>
            <w:tcW w:w="9279" w:type="dxa"/>
            <w:tcBorders>
              <w:top w:val="nil"/>
              <w:left w:val="nil"/>
              <w:bottom w:val="nil"/>
              <w:right w:val="nil"/>
            </w:tcBorders>
          </w:tcPr>
          <w:p w:rsidR="00562362" w:rsidRDefault="00562362" w:rsidP="00562362">
            <w:r w:rsidRPr="00FC09F2">
              <w:t xml:space="preserve">This </w:t>
            </w:r>
            <w:r w:rsidR="00C7220B">
              <w:t>briefing</w:t>
            </w:r>
            <w:r w:rsidR="00C7220B" w:rsidRPr="00FC09F2">
              <w:t xml:space="preserve"> </w:t>
            </w:r>
            <w:r w:rsidRPr="00FC09F2">
              <w:t>is intended to help inspectors</w:t>
            </w:r>
            <w:r>
              <w:t xml:space="preserve"> </w:t>
            </w:r>
            <w:r w:rsidRPr="00FC09F2">
              <w:t xml:space="preserve">judge the impact of schools’ work in </w:t>
            </w:r>
            <w:r w:rsidRPr="00993C83">
              <w:t>advancing equality of opportunity, fostering good relations and tackling discrimination</w:t>
            </w:r>
            <w:r w:rsidRPr="003117BA">
              <w:t>.</w:t>
            </w:r>
            <w:r>
              <w:t xml:space="preserve"> It aims to help inspectors understand schools’ responsibilities in relation to </w:t>
            </w:r>
            <w:r w:rsidR="000B77A2">
              <w:t>the Equality Act 2010</w:t>
            </w:r>
            <w:r>
              <w:t xml:space="preserve">, which is that they </w:t>
            </w:r>
            <w:r w:rsidRPr="00F3738E">
              <w:t xml:space="preserve">should have ‘due regard’ for equalities. </w:t>
            </w:r>
            <w:r w:rsidRPr="00FC09F2">
              <w:t xml:space="preserve">It should be read in conjunction with </w:t>
            </w:r>
            <w:r w:rsidR="003117BA" w:rsidRPr="00877364">
              <w:t>the</w:t>
            </w:r>
            <w:r w:rsidR="003117BA" w:rsidRPr="00993C83">
              <w:rPr>
                <w:i/>
              </w:rPr>
              <w:t xml:space="preserve"> School inspection handbook</w:t>
            </w:r>
            <w:r w:rsidR="003117BA" w:rsidRPr="00993C83">
              <w:t>.</w:t>
            </w:r>
            <w:r>
              <w:t xml:space="preserve"> </w:t>
            </w:r>
          </w:p>
          <w:p w:rsidR="00FE05A6" w:rsidRDefault="00FE05A6" w:rsidP="002935B3">
            <w:pPr>
              <w:pStyle w:val="Summary"/>
            </w:pPr>
          </w:p>
        </w:tc>
      </w:tr>
    </w:tbl>
    <w:p w:rsidR="00FE05A6" w:rsidRDefault="00FE05A6" w:rsidP="00FE05A6">
      <w:pPr>
        <w:pStyle w:val="CoverStats"/>
      </w:pPr>
      <w:r w:rsidRPr="00AB22BC">
        <w:rPr>
          <w:rStyle w:val="StyleCoverStatsBoldChar"/>
        </w:rPr>
        <w:t>Age group:</w:t>
      </w:r>
      <w:r>
        <w:t xml:space="preserve"> All</w:t>
      </w:r>
    </w:p>
    <w:p w:rsidR="00FE05A6" w:rsidRDefault="00FE05A6" w:rsidP="00FE05A6">
      <w:pPr>
        <w:pStyle w:val="CoverStats"/>
      </w:pPr>
      <w:r w:rsidRPr="00AB22BC">
        <w:rPr>
          <w:rStyle w:val="StyleCoverStatsBoldChar"/>
        </w:rPr>
        <w:t>Published:</w:t>
      </w:r>
      <w:r w:rsidR="003F5FC8">
        <w:t xml:space="preserve"> </w:t>
      </w:r>
      <w:r w:rsidR="00107D33">
        <w:t>September</w:t>
      </w:r>
      <w:r w:rsidR="004059CA">
        <w:t xml:space="preserve"> </w:t>
      </w:r>
      <w:r w:rsidR="00CD22A9">
        <w:t>2013</w:t>
      </w:r>
    </w:p>
    <w:p w:rsidR="00FE05A6" w:rsidRPr="006E641F" w:rsidRDefault="00FE05A6" w:rsidP="00FE05A6">
      <w:pPr>
        <w:pStyle w:val="CoverStats"/>
      </w:pPr>
      <w:r w:rsidRPr="00AB22BC">
        <w:rPr>
          <w:rStyle w:val="StyleCoverStatsBoldChar"/>
        </w:rPr>
        <w:t>Reference no:</w:t>
      </w:r>
      <w:r>
        <w:t xml:space="preserve"> 090197</w:t>
      </w:r>
    </w:p>
    <w:p w:rsidR="00FE05A6" w:rsidRDefault="00FE05A6" w:rsidP="00FE05A6">
      <w:pPr>
        <w:pStyle w:val="Unnumberedparagraph"/>
        <w:spacing w:after="0"/>
        <w:sectPr w:rsidR="00FE05A6" w:rsidSect="0071679F">
          <w:headerReference w:type="even" r:id="rId12"/>
          <w:headerReference w:type="default" r:id="rId13"/>
          <w:footerReference w:type="even" r:id="rId14"/>
          <w:footerReference w:type="default" r:id="rId15"/>
          <w:headerReference w:type="first" r:id="rId16"/>
          <w:footerReference w:type="first" r:id="rId17"/>
          <w:pgSz w:w="11906" w:h="16838" w:code="9"/>
          <w:pgMar w:top="2438" w:right="1418" w:bottom="1134" w:left="1418" w:header="567" w:footer="567" w:gutter="0"/>
          <w:cols w:space="708"/>
          <w:docGrid w:linePitch="360"/>
        </w:sectPr>
      </w:pPr>
    </w:p>
    <w:p w:rsidR="00FE05A6" w:rsidRPr="00A06EFD" w:rsidRDefault="00FE05A6" w:rsidP="00FE05A6">
      <w:pPr>
        <w:pStyle w:val="Unnumberedparagraph"/>
        <w:rPr>
          <w:color w:val="FF0000"/>
        </w:rPr>
      </w:pPr>
    </w:p>
    <w:p w:rsidR="00FE05A6" w:rsidRDefault="00FE05A6" w:rsidP="00FE05A6">
      <w:pPr>
        <w:rPr>
          <w:vanish/>
        </w:rPr>
      </w:pPr>
    </w:p>
    <w:p w:rsidR="00FE05A6" w:rsidRDefault="00FE05A6" w:rsidP="00FE05A6"/>
    <w:p w:rsidR="00EB2E3E" w:rsidRDefault="00EB2E3E" w:rsidP="00BB4268">
      <w:pPr>
        <w:pStyle w:val="Contentsheading"/>
        <w:sectPr w:rsidR="00EB2E3E" w:rsidSect="0071679F">
          <w:headerReference w:type="even" r:id="rId18"/>
          <w:footerReference w:type="even" r:id="rId19"/>
          <w:pgSz w:w="11906" w:h="16838" w:code="9"/>
          <w:pgMar w:top="2438" w:right="1418" w:bottom="1134" w:left="1418" w:header="567" w:footer="567" w:gutter="0"/>
          <w:cols w:space="708"/>
          <w:docGrid w:linePitch="360"/>
        </w:sectPr>
      </w:pPr>
    </w:p>
    <w:p w:rsidR="00BB4268" w:rsidRPr="006720E4" w:rsidRDefault="00BB4268" w:rsidP="00BB4268">
      <w:pPr>
        <w:pStyle w:val="Contentsheading"/>
      </w:pPr>
      <w:r>
        <w:lastRenderedPageBreak/>
        <w:t>Contents</w:t>
      </w:r>
    </w:p>
    <w:p w:rsidR="000F5A0F" w:rsidRPr="009564DD" w:rsidRDefault="006720E4">
      <w:pPr>
        <w:pStyle w:val="TOC1"/>
        <w:rPr>
          <w:rFonts w:ascii="Calibri" w:hAnsi="Calibri"/>
          <w:b w:val="0"/>
          <w:noProof/>
          <w:color w:val="auto"/>
          <w:sz w:val="22"/>
          <w:szCs w:val="22"/>
          <w:lang w:eastAsia="en-GB"/>
        </w:rPr>
      </w:pPr>
      <w:r>
        <w:fldChar w:fldCharType="begin"/>
      </w:r>
      <w:r>
        <w:instrText xml:space="preserve"> TOC \o "1-3" \h \z \u </w:instrText>
      </w:r>
      <w:r>
        <w:fldChar w:fldCharType="separate"/>
      </w:r>
      <w:r w:rsidR="000F5A0F" w:rsidRPr="007F7AA4">
        <w:rPr>
          <w:rStyle w:val="Hyperlink"/>
          <w:noProof/>
        </w:rPr>
        <w:fldChar w:fldCharType="begin"/>
      </w:r>
      <w:r w:rsidR="000F5A0F" w:rsidRPr="007F7AA4">
        <w:rPr>
          <w:rStyle w:val="Hyperlink"/>
          <w:noProof/>
        </w:rPr>
        <w:instrText xml:space="preserve"> </w:instrText>
      </w:r>
      <w:r w:rsidR="000F5A0F">
        <w:rPr>
          <w:noProof/>
        </w:rPr>
        <w:instrText>HYPERLINK \l "_Toc343507700"</w:instrText>
      </w:r>
      <w:r w:rsidR="000F5A0F" w:rsidRPr="007F7AA4">
        <w:rPr>
          <w:rStyle w:val="Hyperlink"/>
          <w:noProof/>
        </w:rPr>
        <w:instrText xml:space="preserve"> </w:instrText>
      </w:r>
      <w:r w:rsidR="000F5A0F" w:rsidRPr="007F7AA4">
        <w:rPr>
          <w:rStyle w:val="Hyperlink"/>
          <w:noProof/>
        </w:rPr>
      </w:r>
      <w:r w:rsidR="000F5A0F" w:rsidRPr="007F7AA4">
        <w:rPr>
          <w:rStyle w:val="Hyperlink"/>
          <w:noProof/>
        </w:rPr>
        <w:fldChar w:fldCharType="separate"/>
      </w:r>
      <w:r w:rsidR="000F5A0F" w:rsidRPr="007F7AA4">
        <w:rPr>
          <w:rStyle w:val="Hyperlink"/>
          <w:noProof/>
        </w:rPr>
        <w:t>Introduction</w:t>
      </w:r>
      <w:r w:rsidR="000F5A0F">
        <w:rPr>
          <w:noProof/>
          <w:webHidden/>
        </w:rPr>
        <w:tab/>
      </w:r>
      <w:r w:rsidR="000F5A0F">
        <w:rPr>
          <w:noProof/>
          <w:webHidden/>
        </w:rPr>
        <w:fldChar w:fldCharType="begin"/>
      </w:r>
      <w:r w:rsidR="000F5A0F">
        <w:rPr>
          <w:noProof/>
          <w:webHidden/>
        </w:rPr>
        <w:instrText xml:space="preserve"> PAGEREF _Toc343507700 \h </w:instrText>
      </w:r>
      <w:r w:rsidR="000F5A0F">
        <w:rPr>
          <w:noProof/>
          <w:webHidden/>
        </w:rPr>
      </w:r>
      <w:r w:rsidR="000F5A0F">
        <w:rPr>
          <w:noProof/>
          <w:webHidden/>
        </w:rPr>
        <w:fldChar w:fldCharType="separate"/>
      </w:r>
      <w:r w:rsidR="000F5A0F">
        <w:rPr>
          <w:noProof/>
          <w:webHidden/>
        </w:rPr>
        <w:t>4</w:t>
      </w:r>
      <w:r w:rsidR="000F5A0F">
        <w:rPr>
          <w:noProof/>
          <w:webHidden/>
        </w:rPr>
        <w:fldChar w:fldCharType="end"/>
      </w:r>
      <w:r w:rsidR="000F5A0F" w:rsidRPr="007F7AA4">
        <w:rPr>
          <w:rStyle w:val="Hyperlink"/>
          <w:noProof/>
        </w:rPr>
        <w:fldChar w:fldCharType="end"/>
      </w:r>
    </w:p>
    <w:p w:rsidR="000F5A0F" w:rsidRPr="009564DD" w:rsidRDefault="000F5A0F">
      <w:pPr>
        <w:pStyle w:val="TOC1"/>
        <w:rPr>
          <w:rFonts w:ascii="Calibri" w:hAnsi="Calibri"/>
          <w:b w:val="0"/>
          <w:noProof/>
          <w:color w:val="auto"/>
          <w:sz w:val="22"/>
          <w:szCs w:val="22"/>
          <w:lang w:eastAsia="en-GB"/>
        </w:rPr>
      </w:pPr>
      <w:hyperlink w:anchor="_Toc343507701" w:history="1">
        <w:r w:rsidRPr="007F7AA4">
          <w:rPr>
            <w:rStyle w:val="Hyperlink"/>
            <w:noProof/>
          </w:rPr>
          <w:t>Statutory requirements</w:t>
        </w:r>
        <w:r>
          <w:rPr>
            <w:noProof/>
            <w:webHidden/>
          </w:rPr>
          <w:tab/>
        </w:r>
        <w:r>
          <w:rPr>
            <w:noProof/>
            <w:webHidden/>
          </w:rPr>
          <w:fldChar w:fldCharType="begin"/>
        </w:r>
        <w:r>
          <w:rPr>
            <w:noProof/>
            <w:webHidden/>
          </w:rPr>
          <w:instrText xml:space="preserve"> PAGEREF _Toc343507701 \h </w:instrText>
        </w:r>
        <w:r>
          <w:rPr>
            <w:noProof/>
            <w:webHidden/>
          </w:rPr>
        </w:r>
        <w:r>
          <w:rPr>
            <w:noProof/>
            <w:webHidden/>
          </w:rPr>
          <w:fldChar w:fldCharType="separate"/>
        </w:r>
        <w:r>
          <w:rPr>
            <w:noProof/>
            <w:webHidden/>
          </w:rPr>
          <w:t>4</w:t>
        </w:r>
        <w:r>
          <w:rPr>
            <w:noProof/>
            <w:webHidden/>
          </w:rPr>
          <w:fldChar w:fldCharType="end"/>
        </w:r>
      </w:hyperlink>
    </w:p>
    <w:p w:rsidR="000F5A0F" w:rsidRPr="009564DD" w:rsidRDefault="000F5A0F">
      <w:pPr>
        <w:pStyle w:val="TOC2"/>
        <w:tabs>
          <w:tab w:val="right" w:pos="9060"/>
        </w:tabs>
        <w:rPr>
          <w:rFonts w:ascii="Calibri" w:hAnsi="Calibri"/>
          <w:noProof/>
          <w:color w:val="auto"/>
          <w:sz w:val="22"/>
          <w:szCs w:val="22"/>
          <w:lang w:eastAsia="en-GB"/>
        </w:rPr>
      </w:pPr>
      <w:hyperlink w:anchor="_Toc343507702" w:history="1">
        <w:r w:rsidRPr="007F7AA4">
          <w:rPr>
            <w:rStyle w:val="Hyperlink"/>
            <w:noProof/>
            <w:lang/>
          </w:rPr>
          <w:t>Background</w:t>
        </w:r>
        <w:r>
          <w:rPr>
            <w:noProof/>
            <w:webHidden/>
          </w:rPr>
          <w:tab/>
        </w:r>
        <w:r>
          <w:rPr>
            <w:noProof/>
            <w:webHidden/>
          </w:rPr>
          <w:fldChar w:fldCharType="begin"/>
        </w:r>
        <w:r>
          <w:rPr>
            <w:noProof/>
            <w:webHidden/>
          </w:rPr>
          <w:instrText xml:space="preserve"> PAGEREF _Toc343507702 \h </w:instrText>
        </w:r>
        <w:r>
          <w:rPr>
            <w:noProof/>
            <w:webHidden/>
          </w:rPr>
        </w:r>
        <w:r>
          <w:rPr>
            <w:noProof/>
            <w:webHidden/>
          </w:rPr>
          <w:fldChar w:fldCharType="separate"/>
        </w:r>
        <w:r>
          <w:rPr>
            <w:noProof/>
            <w:webHidden/>
          </w:rPr>
          <w:t>4</w:t>
        </w:r>
        <w:r>
          <w:rPr>
            <w:noProof/>
            <w:webHidden/>
          </w:rPr>
          <w:fldChar w:fldCharType="end"/>
        </w:r>
      </w:hyperlink>
    </w:p>
    <w:p w:rsidR="000F5A0F" w:rsidRPr="009564DD" w:rsidRDefault="000F5A0F">
      <w:pPr>
        <w:pStyle w:val="TOC2"/>
        <w:tabs>
          <w:tab w:val="right" w:pos="9060"/>
        </w:tabs>
        <w:rPr>
          <w:rFonts w:ascii="Calibri" w:hAnsi="Calibri"/>
          <w:noProof/>
          <w:color w:val="auto"/>
          <w:sz w:val="22"/>
          <w:szCs w:val="22"/>
          <w:lang w:eastAsia="en-GB"/>
        </w:rPr>
      </w:pPr>
      <w:hyperlink w:anchor="_Toc343507703" w:history="1">
        <w:r w:rsidRPr="007F7AA4">
          <w:rPr>
            <w:rStyle w:val="Hyperlink"/>
            <w:noProof/>
          </w:rPr>
          <w:t>The public sector equality duty and specific duties</w:t>
        </w:r>
        <w:r>
          <w:rPr>
            <w:noProof/>
            <w:webHidden/>
          </w:rPr>
          <w:tab/>
        </w:r>
        <w:r>
          <w:rPr>
            <w:noProof/>
            <w:webHidden/>
          </w:rPr>
          <w:fldChar w:fldCharType="begin"/>
        </w:r>
        <w:r>
          <w:rPr>
            <w:noProof/>
            <w:webHidden/>
          </w:rPr>
          <w:instrText xml:space="preserve"> PAGEREF _Toc343507703 \h </w:instrText>
        </w:r>
        <w:r>
          <w:rPr>
            <w:noProof/>
            <w:webHidden/>
          </w:rPr>
        </w:r>
        <w:r>
          <w:rPr>
            <w:noProof/>
            <w:webHidden/>
          </w:rPr>
          <w:fldChar w:fldCharType="separate"/>
        </w:r>
        <w:r>
          <w:rPr>
            <w:noProof/>
            <w:webHidden/>
          </w:rPr>
          <w:t>4</w:t>
        </w:r>
        <w:r>
          <w:rPr>
            <w:noProof/>
            <w:webHidden/>
          </w:rPr>
          <w:fldChar w:fldCharType="end"/>
        </w:r>
      </w:hyperlink>
    </w:p>
    <w:p w:rsidR="000F5A0F" w:rsidRPr="009564DD" w:rsidRDefault="000F5A0F">
      <w:pPr>
        <w:pStyle w:val="TOC1"/>
        <w:rPr>
          <w:rFonts w:ascii="Calibri" w:hAnsi="Calibri"/>
          <w:b w:val="0"/>
          <w:noProof/>
          <w:color w:val="auto"/>
          <w:sz w:val="22"/>
          <w:szCs w:val="22"/>
          <w:lang w:eastAsia="en-GB"/>
        </w:rPr>
      </w:pPr>
      <w:hyperlink w:anchor="_Toc343507704" w:history="1">
        <w:r w:rsidRPr="007F7AA4">
          <w:rPr>
            <w:rStyle w:val="Hyperlink"/>
            <w:noProof/>
          </w:rPr>
          <w:t>Equality and discrimination in schools</w:t>
        </w:r>
        <w:r>
          <w:rPr>
            <w:noProof/>
            <w:webHidden/>
          </w:rPr>
          <w:tab/>
        </w:r>
        <w:r>
          <w:rPr>
            <w:noProof/>
            <w:webHidden/>
          </w:rPr>
          <w:fldChar w:fldCharType="begin"/>
        </w:r>
        <w:r>
          <w:rPr>
            <w:noProof/>
            <w:webHidden/>
          </w:rPr>
          <w:instrText xml:space="preserve"> PAGEREF _Toc343507704 \h </w:instrText>
        </w:r>
        <w:r>
          <w:rPr>
            <w:noProof/>
            <w:webHidden/>
          </w:rPr>
        </w:r>
        <w:r>
          <w:rPr>
            <w:noProof/>
            <w:webHidden/>
          </w:rPr>
          <w:fldChar w:fldCharType="separate"/>
        </w:r>
        <w:r>
          <w:rPr>
            <w:noProof/>
            <w:webHidden/>
          </w:rPr>
          <w:t>6</w:t>
        </w:r>
        <w:r>
          <w:rPr>
            <w:noProof/>
            <w:webHidden/>
          </w:rPr>
          <w:fldChar w:fldCharType="end"/>
        </w:r>
      </w:hyperlink>
    </w:p>
    <w:p w:rsidR="000F5A0F" w:rsidRPr="009564DD" w:rsidRDefault="000F5A0F">
      <w:pPr>
        <w:pStyle w:val="TOC2"/>
        <w:tabs>
          <w:tab w:val="right" w:pos="9060"/>
        </w:tabs>
        <w:rPr>
          <w:rFonts w:ascii="Calibri" w:hAnsi="Calibri"/>
          <w:noProof/>
          <w:color w:val="auto"/>
          <w:sz w:val="22"/>
          <w:szCs w:val="22"/>
          <w:lang w:eastAsia="en-GB"/>
        </w:rPr>
      </w:pPr>
      <w:hyperlink w:anchor="_Toc343507705" w:history="1">
        <w:r w:rsidRPr="007F7AA4">
          <w:rPr>
            <w:rStyle w:val="Hyperlink"/>
            <w:noProof/>
          </w:rPr>
          <w:t>Reasonable adjustments and when they have to be made</w:t>
        </w:r>
        <w:r>
          <w:rPr>
            <w:noProof/>
            <w:webHidden/>
          </w:rPr>
          <w:tab/>
        </w:r>
        <w:r>
          <w:rPr>
            <w:noProof/>
            <w:webHidden/>
          </w:rPr>
          <w:fldChar w:fldCharType="begin"/>
        </w:r>
        <w:r>
          <w:rPr>
            <w:noProof/>
            <w:webHidden/>
          </w:rPr>
          <w:instrText xml:space="preserve"> PAGEREF _Toc343507705 \h </w:instrText>
        </w:r>
        <w:r>
          <w:rPr>
            <w:noProof/>
            <w:webHidden/>
          </w:rPr>
        </w:r>
        <w:r>
          <w:rPr>
            <w:noProof/>
            <w:webHidden/>
          </w:rPr>
          <w:fldChar w:fldCharType="separate"/>
        </w:r>
        <w:r>
          <w:rPr>
            <w:noProof/>
            <w:webHidden/>
          </w:rPr>
          <w:t>7</w:t>
        </w:r>
        <w:r>
          <w:rPr>
            <w:noProof/>
            <w:webHidden/>
          </w:rPr>
          <w:fldChar w:fldCharType="end"/>
        </w:r>
      </w:hyperlink>
    </w:p>
    <w:p w:rsidR="000F5A0F" w:rsidRPr="009564DD" w:rsidRDefault="000F5A0F">
      <w:pPr>
        <w:pStyle w:val="TOC3"/>
        <w:tabs>
          <w:tab w:val="right" w:pos="9060"/>
        </w:tabs>
        <w:rPr>
          <w:rFonts w:ascii="Calibri" w:hAnsi="Calibri"/>
          <w:noProof/>
          <w:color w:val="auto"/>
          <w:sz w:val="22"/>
          <w:szCs w:val="22"/>
          <w:lang w:eastAsia="en-GB"/>
        </w:rPr>
      </w:pPr>
      <w:hyperlink w:anchor="_Toc343507706" w:history="1">
        <w:r w:rsidRPr="007F7AA4">
          <w:rPr>
            <w:rStyle w:val="Hyperlink"/>
            <w:noProof/>
          </w:rPr>
          <w:t>Auxiliary aids and services</w:t>
        </w:r>
        <w:r>
          <w:rPr>
            <w:noProof/>
            <w:webHidden/>
          </w:rPr>
          <w:tab/>
        </w:r>
        <w:r>
          <w:rPr>
            <w:noProof/>
            <w:webHidden/>
          </w:rPr>
          <w:fldChar w:fldCharType="begin"/>
        </w:r>
        <w:r>
          <w:rPr>
            <w:noProof/>
            <w:webHidden/>
          </w:rPr>
          <w:instrText xml:space="preserve"> PAGEREF _Toc343507706 \h </w:instrText>
        </w:r>
        <w:r>
          <w:rPr>
            <w:noProof/>
            <w:webHidden/>
          </w:rPr>
        </w:r>
        <w:r>
          <w:rPr>
            <w:noProof/>
            <w:webHidden/>
          </w:rPr>
          <w:fldChar w:fldCharType="separate"/>
        </w:r>
        <w:r>
          <w:rPr>
            <w:noProof/>
            <w:webHidden/>
          </w:rPr>
          <w:t>7</w:t>
        </w:r>
        <w:r>
          <w:rPr>
            <w:noProof/>
            <w:webHidden/>
          </w:rPr>
          <w:fldChar w:fldCharType="end"/>
        </w:r>
      </w:hyperlink>
    </w:p>
    <w:p w:rsidR="000F5A0F" w:rsidRPr="009564DD" w:rsidRDefault="000F5A0F">
      <w:pPr>
        <w:pStyle w:val="TOC3"/>
        <w:tabs>
          <w:tab w:val="right" w:pos="9060"/>
        </w:tabs>
        <w:rPr>
          <w:rFonts w:ascii="Calibri" w:hAnsi="Calibri"/>
          <w:noProof/>
          <w:color w:val="auto"/>
          <w:sz w:val="22"/>
          <w:szCs w:val="22"/>
          <w:lang w:eastAsia="en-GB"/>
        </w:rPr>
      </w:pPr>
      <w:hyperlink w:anchor="_Toc343507707" w:history="1">
        <w:r w:rsidRPr="007F7AA4">
          <w:rPr>
            <w:rStyle w:val="Hyperlink"/>
            <w:noProof/>
          </w:rPr>
          <w:t>Making reasonable adjustments</w:t>
        </w:r>
        <w:r>
          <w:rPr>
            <w:noProof/>
            <w:webHidden/>
          </w:rPr>
          <w:tab/>
        </w:r>
        <w:r>
          <w:rPr>
            <w:noProof/>
            <w:webHidden/>
          </w:rPr>
          <w:fldChar w:fldCharType="begin"/>
        </w:r>
        <w:r>
          <w:rPr>
            <w:noProof/>
            <w:webHidden/>
          </w:rPr>
          <w:instrText xml:space="preserve"> PAGEREF _Toc343507707 \h </w:instrText>
        </w:r>
        <w:r>
          <w:rPr>
            <w:noProof/>
            <w:webHidden/>
          </w:rPr>
        </w:r>
        <w:r>
          <w:rPr>
            <w:noProof/>
            <w:webHidden/>
          </w:rPr>
          <w:fldChar w:fldCharType="separate"/>
        </w:r>
        <w:r>
          <w:rPr>
            <w:noProof/>
            <w:webHidden/>
          </w:rPr>
          <w:t>7</w:t>
        </w:r>
        <w:r>
          <w:rPr>
            <w:noProof/>
            <w:webHidden/>
          </w:rPr>
          <w:fldChar w:fldCharType="end"/>
        </w:r>
      </w:hyperlink>
    </w:p>
    <w:p w:rsidR="000F5A0F" w:rsidRPr="009564DD" w:rsidRDefault="000F5A0F">
      <w:pPr>
        <w:pStyle w:val="TOC1"/>
        <w:rPr>
          <w:rFonts w:ascii="Calibri" w:hAnsi="Calibri"/>
          <w:b w:val="0"/>
          <w:noProof/>
          <w:color w:val="auto"/>
          <w:sz w:val="22"/>
          <w:szCs w:val="22"/>
          <w:lang w:eastAsia="en-GB"/>
        </w:rPr>
      </w:pPr>
      <w:hyperlink w:anchor="_Toc343507708" w:history="1">
        <w:r w:rsidRPr="007F7AA4">
          <w:rPr>
            <w:rStyle w:val="Hyperlink"/>
            <w:noProof/>
          </w:rPr>
          <w:t>Equalities and inspection</w:t>
        </w:r>
        <w:r>
          <w:rPr>
            <w:noProof/>
            <w:webHidden/>
          </w:rPr>
          <w:tab/>
        </w:r>
        <w:r>
          <w:rPr>
            <w:noProof/>
            <w:webHidden/>
          </w:rPr>
          <w:fldChar w:fldCharType="begin"/>
        </w:r>
        <w:r>
          <w:rPr>
            <w:noProof/>
            <w:webHidden/>
          </w:rPr>
          <w:instrText xml:space="preserve"> PAGEREF _Toc343507708 \h </w:instrText>
        </w:r>
        <w:r>
          <w:rPr>
            <w:noProof/>
            <w:webHidden/>
          </w:rPr>
        </w:r>
        <w:r>
          <w:rPr>
            <w:noProof/>
            <w:webHidden/>
          </w:rPr>
          <w:fldChar w:fldCharType="separate"/>
        </w:r>
        <w:r>
          <w:rPr>
            <w:noProof/>
            <w:webHidden/>
          </w:rPr>
          <w:t>8</w:t>
        </w:r>
        <w:r>
          <w:rPr>
            <w:noProof/>
            <w:webHidden/>
          </w:rPr>
          <w:fldChar w:fldCharType="end"/>
        </w:r>
      </w:hyperlink>
    </w:p>
    <w:p w:rsidR="000F5A0F" w:rsidRPr="009564DD" w:rsidRDefault="000F5A0F">
      <w:pPr>
        <w:pStyle w:val="TOC2"/>
        <w:tabs>
          <w:tab w:val="right" w:pos="9060"/>
        </w:tabs>
        <w:rPr>
          <w:rFonts w:ascii="Calibri" w:hAnsi="Calibri"/>
          <w:noProof/>
          <w:color w:val="auto"/>
          <w:sz w:val="22"/>
          <w:szCs w:val="22"/>
          <w:lang w:eastAsia="en-GB"/>
        </w:rPr>
      </w:pPr>
      <w:hyperlink w:anchor="_Toc343507709" w:history="1">
        <w:r w:rsidRPr="007F7AA4">
          <w:rPr>
            <w:rStyle w:val="Hyperlink"/>
            <w:noProof/>
          </w:rPr>
          <w:t>Overview</w:t>
        </w:r>
        <w:r>
          <w:rPr>
            <w:noProof/>
            <w:webHidden/>
          </w:rPr>
          <w:tab/>
        </w:r>
        <w:r>
          <w:rPr>
            <w:noProof/>
            <w:webHidden/>
          </w:rPr>
          <w:fldChar w:fldCharType="begin"/>
        </w:r>
        <w:r>
          <w:rPr>
            <w:noProof/>
            <w:webHidden/>
          </w:rPr>
          <w:instrText xml:space="preserve"> PAGEREF _Toc343507709 \h </w:instrText>
        </w:r>
        <w:r>
          <w:rPr>
            <w:noProof/>
            <w:webHidden/>
          </w:rPr>
        </w:r>
        <w:r>
          <w:rPr>
            <w:noProof/>
            <w:webHidden/>
          </w:rPr>
          <w:fldChar w:fldCharType="separate"/>
        </w:r>
        <w:r>
          <w:rPr>
            <w:noProof/>
            <w:webHidden/>
          </w:rPr>
          <w:t>8</w:t>
        </w:r>
        <w:r>
          <w:rPr>
            <w:noProof/>
            <w:webHidden/>
          </w:rPr>
          <w:fldChar w:fldCharType="end"/>
        </w:r>
      </w:hyperlink>
    </w:p>
    <w:p w:rsidR="000F5A0F" w:rsidRPr="009564DD" w:rsidRDefault="000F5A0F">
      <w:pPr>
        <w:pStyle w:val="TOC2"/>
        <w:tabs>
          <w:tab w:val="right" w:pos="9060"/>
        </w:tabs>
        <w:rPr>
          <w:rFonts w:ascii="Calibri" w:hAnsi="Calibri"/>
          <w:noProof/>
          <w:color w:val="auto"/>
          <w:sz w:val="22"/>
          <w:szCs w:val="22"/>
          <w:lang w:eastAsia="en-GB"/>
        </w:rPr>
      </w:pPr>
      <w:hyperlink w:anchor="_Toc343507710" w:history="1">
        <w:r w:rsidRPr="007F7AA4">
          <w:rPr>
            <w:rStyle w:val="Hyperlink"/>
            <w:noProof/>
          </w:rPr>
          <w:t>Evaluating impact: further guidance</w:t>
        </w:r>
        <w:r>
          <w:rPr>
            <w:noProof/>
            <w:webHidden/>
          </w:rPr>
          <w:tab/>
        </w:r>
        <w:r>
          <w:rPr>
            <w:noProof/>
            <w:webHidden/>
          </w:rPr>
          <w:fldChar w:fldCharType="begin"/>
        </w:r>
        <w:r>
          <w:rPr>
            <w:noProof/>
            <w:webHidden/>
          </w:rPr>
          <w:instrText xml:space="preserve"> PAGEREF _Toc343507710 \h </w:instrText>
        </w:r>
        <w:r>
          <w:rPr>
            <w:noProof/>
            <w:webHidden/>
          </w:rPr>
        </w:r>
        <w:r>
          <w:rPr>
            <w:noProof/>
            <w:webHidden/>
          </w:rPr>
          <w:fldChar w:fldCharType="separate"/>
        </w:r>
        <w:r>
          <w:rPr>
            <w:noProof/>
            <w:webHidden/>
          </w:rPr>
          <w:t>9</w:t>
        </w:r>
        <w:r>
          <w:rPr>
            <w:noProof/>
            <w:webHidden/>
          </w:rPr>
          <w:fldChar w:fldCharType="end"/>
        </w:r>
      </w:hyperlink>
    </w:p>
    <w:p w:rsidR="000F5A0F" w:rsidRPr="009564DD" w:rsidRDefault="000F5A0F">
      <w:pPr>
        <w:pStyle w:val="TOC2"/>
        <w:tabs>
          <w:tab w:val="right" w:pos="9060"/>
        </w:tabs>
        <w:rPr>
          <w:rFonts w:ascii="Calibri" w:hAnsi="Calibri"/>
          <w:noProof/>
          <w:color w:val="auto"/>
          <w:sz w:val="22"/>
          <w:szCs w:val="22"/>
          <w:lang w:eastAsia="en-GB"/>
        </w:rPr>
      </w:pPr>
      <w:hyperlink w:anchor="_Toc343507711" w:history="1">
        <w:r w:rsidRPr="007F7AA4">
          <w:rPr>
            <w:rStyle w:val="Hyperlink"/>
            <w:noProof/>
          </w:rPr>
          <w:t>Achievement of pupils at the school</w:t>
        </w:r>
        <w:r>
          <w:rPr>
            <w:noProof/>
            <w:webHidden/>
          </w:rPr>
          <w:tab/>
        </w:r>
        <w:r>
          <w:rPr>
            <w:noProof/>
            <w:webHidden/>
          </w:rPr>
          <w:fldChar w:fldCharType="begin"/>
        </w:r>
        <w:r>
          <w:rPr>
            <w:noProof/>
            <w:webHidden/>
          </w:rPr>
          <w:instrText xml:space="preserve"> PAGEREF _Toc343507711 \h </w:instrText>
        </w:r>
        <w:r>
          <w:rPr>
            <w:noProof/>
            <w:webHidden/>
          </w:rPr>
        </w:r>
        <w:r>
          <w:rPr>
            <w:noProof/>
            <w:webHidden/>
          </w:rPr>
          <w:fldChar w:fldCharType="separate"/>
        </w:r>
        <w:r>
          <w:rPr>
            <w:noProof/>
            <w:webHidden/>
          </w:rPr>
          <w:t>9</w:t>
        </w:r>
        <w:r>
          <w:rPr>
            <w:noProof/>
            <w:webHidden/>
          </w:rPr>
          <w:fldChar w:fldCharType="end"/>
        </w:r>
      </w:hyperlink>
    </w:p>
    <w:p w:rsidR="000F5A0F" w:rsidRPr="009564DD" w:rsidRDefault="000F5A0F">
      <w:pPr>
        <w:pStyle w:val="TOC2"/>
        <w:tabs>
          <w:tab w:val="right" w:pos="9060"/>
        </w:tabs>
        <w:rPr>
          <w:rFonts w:ascii="Calibri" w:hAnsi="Calibri"/>
          <w:noProof/>
          <w:color w:val="auto"/>
          <w:sz w:val="22"/>
          <w:szCs w:val="22"/>
          <w:lang w:eastAsia="en-GB"/>
        </w:rPr>
      </w:pPr>
      <w:hyperlink w:anchor="_Toc343507712" w:history="1">
        <w:r w:rsidRPr="007F7AA4">
          <w:rPr>
            <w:rStyle w:val="Hyperlink"/>
            <w:noProof/>
          </w:rPr>
          <w:t>The quality of teaching</w:t>
        </w:r>
        <w:r>
          <w:rPr>
            <w:noProof/>
            <w:webHidden/>
          </w:rPr>
          <w:tab/>
        </w:r>
        <w:r>
          <w:rPr>
            <w:noProof/>
            <w:webHidden/>
          </w:rPr>
          <w:fldChar w:fldCharType="begin"/>
        </w:r>
        <w:r>
          <w:rPr>
            <w:noProof/>
            <w:webHidden/>
          </w:rPr>
          <w:instrText xml:space="preserve"> PAGEREF _Toc343507712 \h </w:instrText>
        </w:r>
        <w:r>
          <w:rPr>
            <w:noProof/>
            <w:webHidden/>
          </w:rPr>
        </w:r>
        <w:r>
          <w:rPr>
            <w:noProof/>
            <w:webHidden/>
          </w:rPr>
          <w:fldChar w:fldCharType="separate"/>
        </w:r>
        <w:r>
          <w:rPr>
            <w:noProof/>
            <w:webHidden/>
          </w:rPr>
          <w:t>10</w:t>
        </w:r>
        <w:r>
          <w:rPr>
            <w:noProof/>
            <w:webHidden/>
          </w:rPr>
          <w:fldChar w:fldCharType="end"/>
        </w:r>
      </w:hyperlink>
    </w:p>
    <w:p w:rsidR="000F5A0F" w:rsidRPr="009564DD" w:rsidRDefault="000F5A0F">
      <w:pPr>
        <w:pStyle w:val="TOC2"/>
        <w:tabs>
          <w:tab w:val="right" w:pos="9060"/>
        </w:tabs>
        <w:rPr>
          <w:rFonts w:ascii="Calibri" w:hAnsi="Calibri"/>
          <w:noProof/>
          <w:color w:val="auto"/>
          <w:sz w:val="22"/>
          <w:szCs w:val="22"/>
          <w:lang w:eastAsia="en-GB"/>
        </w:rPr>
      </w:pPr>
      <w:hyperlink w:anchor="_Toc343507713" w:history="1">
        <w:r w:rsidRPr="007F7AA4">
          <w:rPr>
            <w:rStyle w:val="Hyperlink"/>
            <w:noProof/>
          </w:rPr>
          <w:t>Behaviour and safety</w:t>
        </w:r>
        <w:r>
          <w:rPr>
            <w:noProof/>
            <w:webHidden/>
          </w:rPr>
          <w:tab/>
        </w:r>
        <w:r>
          <w:rPr>
            <w:noProof/>
            <w:webHidden/>
          </w:rPr>
          <w:fldChar w:fldCharType="begin"/>
        </w:r>
        <w:r>
          <w:rPr>
            <w:noProof/>
            <w:webHidden/>
          </w:rPr>
          <w:instrText xml:space="preserve"> PAGEREF _Toc343507713 \h </w:instrText>
        </w:r>
        <w:r>
          <w:rPr>
            <w:noProof/>
            <w:webHidden/>
          </w:rPr>
        </w:r>
        <w:r>
          <w:rPr>
            <w:noProof/>
            <w:webHidden/>
          </w:rPr>
          <w:fldChar w:fldCharType="separate"/>
        </w:r>
        <w:r>
          <w:rPr>
            <w:noProof/>
            <w:webHidden/>
          </w:rPr>
          <w:t>11</w:t>
        </w:r>
        <w:r>
          <w:rPr>
            <w:noProof/>
            <w:webHidden/>
          </w:rPr>
          <w:fldChar w:fldCharType="end"/>
        </w:r>
      </w:hyperlink>
    </w:p>
    <w:p w:rsidR="000F5A0F" w:rsidRPr="009564DD" w:rsidRDefault="000F5A0F">
      <w:pPr>
        <w:pStyle w:val="TOC2"/>
        <w:tabs>
          <w:tab w:val="right" w:pos="9060"/>
        </w:tabs>
        <w:rPr>
          <w:rFonts w:ascii="Calibri" w:hAnsi="Calibri"/>
          <w:noProof/>
          <w:color w:val="auto"/>
          <w:sz w:val="22"/>
          <w:szCs w:val="22"/>
          <w:lang w:eastAsia="en-GB"/>
        </w:rPr>
      </w:pPr>
      <w:hyperlink w:anchor="_Toc343507714" w:history="1">
        <w:r w:rsidRPr="007F7AA4">
          <w:rPr>
            <w:rStyle w:val="Hyperlink"/>
            <w:noProof/>
          </w:rPr>
          <w:t>Leadership and management</w:t>
        </w:r>
        <w:r>
          <w:rPr>
            <w:noProof/>
            <w:webHidden/>
          </w:rPr>
          <w:tab/>
        </w:r>
        <w:r>
          <w:rPr>
            <w:noProof/>
            <w:webHidden/>
          </w:rPr>
          <w:fldChar w:fldCharType="begin"/>
        </w:r>
        <w:r>
          <w:rPr>
            <w:noProof/>
            <w:webHidden/>
          </w:rPr>
          <w:instrText xml:space="preserve"> PAGEREF _Toc343507714 \h </w:instrText>
        </w:r>
        <w:r>
          <w:rPr>
            <w:noProof/>
            <w:webHidden/>
          </w:rPr>
        </w:r>
        <w:r>
          <w:rPr>
            <w:noProof/>
            <w:webHidden/>
          </w:rPr>
          <w:fldChar w:fldCharType="separate"/>
        </w:r>
        <w:r>
          <w:rPr>
            <w:noProof/>
            <w:webHidden/>
          </w:rPr>
          <w:t>11</w:t>
        </w:r>
        <w:r>
          <w:rPr>
            <w:noProof/>
            <w:webHidden/>
          </w:rPr>
          <w:fldChar w:fldCharType="end"/>
        </w:r>
      </w:hyperlink>
    </w:p>
    <w:p w:rsidR="000F5A0F" w:rsidRPr="009564DD" w:rsidRDefault="000F5A0F">
      <w:pPr>
        <w:pStyle w:val="TOC1"/>
        <w:rPr>
          <w:rFonts w:ascii="Calibri" w:hAnsi="Calibri"/>
          <w:b w:val="0"/>
          <w:noProof/>
          <w:color w:val="auto"/>
          <w:sz w:val="22"/>
          <w:szCs w:val="22"/>
          <w:lang w:eastAsia="en-GB"/>
        </w:rPr>
      </w:pPr>
      <w:hyperlink w:anchor="_Toc343507716" w:history="1">
        <w:r w:rsidRPr="007F7AA4">
          <w:rPr>
            <w:rStyle w:val="Hyperlink"/>
            <w:noProof/>
          </w:rPr>
          <w:t>Annex 1 – The Brown Principles</w:t>
        </w:r>
        <w:r>
          <w:rPr>
            <w:noProof/>
            <w:webHidden/>
          </w:rPr>
          <w:tab/>
        </w:r>
        <w:r>
          <w:rPr>
            <w:noProof/>
            <w:webHidden/>
          </w:rPr>
          <w:fldChar w:fldCharType="begin"/>
        </w:r>
        <w:r>
          <w:rPr>
            <w:noProof/>
            <w:webHidden/>
          </w:rPr>
          <w:instrText xml:space="preserve"> PAGEREF _Toc343507716 \h </w:instrText>
        </w:r>
        <w:r>
          <w:rPr>
            <w:noProof/>
            <w:webHidden/>
          </w:rPr>
        </w:r>
        <w:r>
          <w:rPr>
            <w:noProof/>
            <w:webHidden/>
          </w:rPr>
          <w:fldChar w:fldCharType="separate"/>
        </w:r>
        <w:r>
          <w:rPr>
            <w:noProof/>
            <w:webHidden/>
          </w:rPr>
          <w:t>13</w:t>
        </w:r>
        <w:r>
          <w:rPr>
            <w:noProof/>
            <w:webHidden/>
          </w:rPr>
          <w:fldChar w:fldCharType="end"/>
        </w:r>
      </w:hyperlink>
    </w:p>
    <w:p w:rsidR="000F5A0F" w:rsidRPr="009564DD" w:rsidRDefault="000F5A0F">
      <w:pPr>
        <w:pStyle w:val="TOC1"/>
        <w:rPr>
          <w:rFonts w:ascii="Calibri" w:hAnsi="Calibri"/>
          <w:b w:val="0"/>
          <w:noProof/>
          <w:color w:val="auto"/>
          <w:sz w:val="22"/>
          <w:szCs w:val="22"/>
          <w:lang w:eastAsia="en-GB"/>
        </w:rPr>
      </w:pPr>
      <w:hyperlink w:anchor="_Toc343507717" w:history="1">
        <w:r w:rsidRPr="007F7AA4">
          <w:rPr>
            <w:rStyle w:val="Hyperlink"/>
            <w:noProof/>
          </w:rPr>
          <w:t>Annex 2 – Examples of national projects and award schemes</w:t>
        </w:r>
        <w:r>
          <w:rPr>
            <w:noProof/>
            <w:webHidden/>
          </w:rPr>
          <w:tab/>
        </w:r>
        <w:r>
          <w:rPr>
            <w:noProof/>
            <w:webHidden/>
          </w:rPr>
          <w:fldChar w:fldCharType="begin"/>
        </w:r>
        <w:r>
          <w:rPr>
            <w:noProof/>
            <w:webHidden/>
          </w:rPr>
          <w:instrText xml:space="preserve"> PAGEREF _Toc343507717 \h </w:instrText>
        </w:r>
        <w:r>
          <w:rPr>
            <w:noProof/>
            <w:webHidden/>
          </w:rPr>
        </w:r>
        <w:r>
          <w:rPr>
            <w:noProof/>
            <w:webHidden/>
          </w:rPr>
          <w:fldChar w:fldCharType="separate"/>
        </w:r>
        <w:r>
          <w:rPr>
            <w:noProof/>
            <w:webHidden/>
          </w:rPr>
          <w:t>14</w:t>
        </w:r>
        <w:r>
          <w:rPr>
            <w:noProof/>
            <w:webHidden/>
          </w:rPr>
          <w:fldChar w:fldCharType="end"/>
        </w:r>
      </w:hyperlink>
    </w:p>
    <w:p w:rsidR="000F5A0F" w:rsidRPr="009564DD" w:rsidRDefault="000F5A0F">
      <w:pPr>
        <w:pStyle w:val="TOC1"/>
        <w:rPr>
          <w:rFonts w:ascii="Calibri" w:hAnsi="Calibri"/>
          <w:b w:val="0"/>
          <w:noProof/>
          <w:color w:val="auto"/>
          <w:sz w:val="22"/>
          <w:szCs w:val="22"/>
          <w:lang w:eastAsia="en-GB"/>
        </w:rPr>
      </w:pPr>
      <w:hyperlink w:anchor="_Toc343507718" w:history="1">
        <w:r w:rsidRPr="007F7AA4">
          <w:rPr>
            <w:rStyle w:val="Hyperlink"/>
            <w:noProof/>
          </w:rPr>
          <w:t>Annex 3 – Survey reports for further reference</w:t>
        </w:r>
        <w:r>
          <w:rPr>
            <w:noProof/>
            <w:webHidden/>
          </w:rPr>
          <w:tab/>
        </w:r>
        <w:r>
          <w:rPr>
            <w:noProof/>
            <w:webHidden/>
          </w:rPr>
          <w:fldChar w:fldCharType="begin"/>
        </w:r>
        <w:r>
          <w:rPr>
            <w:noProof/>
            <w:webHidden/>
          </w:rPr>
          <w:instrText xml:space="preserve"> PAGEREF _Toc343507718 \h </w:instrText>
        </w:r>
        <w:r>
          <w:rPr>
            <w:noProof/>
            <w:webHidden/>
          </w:rPr>
        </w:r>
        <w:r>
          <w:rPr>
            <w:noProof/>
            <w:webHidden/>
          </w:rPr>
          <w:fldChar w:fldCharType="separate"/>
        </w:r>
        <w:r>
          <w:rPr>
            <w:noProof/>
            <w:webHidden/>
          </w:rPr>
          <w:t>15</w:t>
        </w:r>
        <w:r>
          <w:rPr>
            <w:noProof/>
            <w:webHidden/>
          </w:rPr>
          <w:fldChar w:fldCharType="end"/>
        </w:r>
      </w:hyperlink>
    </w:p>
    <w:p w:rsidR="000F5A0F" w:rsidRPr="009564DD" w:rsidRDefault="000F5A0F">
      <w:pPr>
        <w:pStyle w:val="TOC1"/>
        <w:rPr>
          <w:rFonts w:ascii="Calibri" w:hAnsi="Calibri"/>
          <w:b w:val="0"/>
          <w:noProof/>
          <w:color w:val="auto"/>
          <w:sz w:val="22"/>
          <w:szCs w:val="22"/>
          <w:lang w:eastAsia="en-GB"/>
        </w:rPr>
      </w:pPr>
      <w:hyperlink w:anchor="_Toc343507719" w:history="1">
        <w:r w:rsidRPr="007F7AA4">
          <w:rPr>
            <w:rStyle w:val="Hyperlink"/>
            <w:noProof/>
          </w:rPr>
          <w:t>Annex 4 – Reporting on equality characteristics and groups</w:t>
        </w:r>
        <w:r>
          <w:rPr>
            <w:noProof/>
            <w:webHidden/>
          </w:rPr>
          <w:tab/>
        </w:r>
        <w:r>
          <w:rPr>
            <w:noProof/>
            <w:webHidden/>
          </w:rPr>
          <w:fldChar w:fldCharType="begin"/>
        </w:r>
        <w:r>
          <w:rPr>
            <w:noProof/>
            <w:webHidden/>
          </w:rPr>
          <w:instrText xml:space="preserve"> PAGEREF _Toc343507719 \h </w:instrText>
        </w:r>
        <w:r>
          <w:rPr>
            <w:noProof/>
            <w:webHidden/>
          </w:rPr>
        </w:r>
        <w:r>
          <w:rPr>
            <w:noProof/>
            <w:webHidden/>
          </w:rPr>
          <w:fldChar w:fldCharType="separate"/>
        </w:r>
        <w:r>
          <w:rPr>
            <w:noProof/>
            <w:webHidden/>
          </w:rPr>
          <w:t>16</w:t>
        </w:r>
        <w:r>
          <w:rPr>
            <w:noProof/>
            <w:webHidden/>
          </w:rPr>
          <w:fldChar w:fldCharType="end"/>
        </w:r>
      </w:hyperlink>
    </w:p>
    <w:p w:rsidR="000F5A0F" w:rsidRPr="009564DD" w:rsidRDefault="000F5A0F">
      <w:pPr>
        <w:pStyle w:val="TOC3"/>
        <w:tabs>
          <w:tab w:val="right" w:pos="9060"/>
        </w:tabs>
        <w:rPr>
          <w:rFonts w:ascii="Calibri" w:hAnsi="Calibri"/>
          <w:noProof/>
          <w:color w:val="auto"/>
          <w:sz w:val="22"/>
          <w:szCs w:val="22"/>
          <w:lang w:eastAsia="en-GB"/>
        </w:rPr>
      </w:pPr>
      <w:hyperlink w:anchor="_Toc343507720" w:history="1">
        <w:r w:rsidRPr="007F7AA4">
          <w:rPr>
            <w:rStyle w:val="Hyperlink"/>
            <w:noProof/>
          </w:rPr>
          <w:t>Context</w:t>
        </w:r>
        <w:r>
          <w:rPr>
            <w:noProof/>
            <w:webHidden/>
          </w:rPr>
          <w:tab/>
        </w:r>
        <w:r>
          <w:rPr>
            <w:noProof/>
            <w:webHidden/>
          </w:rPr>
          <w:fldChar w:fldCharType="begin"/>
        </w:r>
        <w:r>
          <w:rPr>
            <w:noProof/>
            <w:webHidden/>
          </w:rPr>
          <w:instrText xml:space="preserve"> PAGEREF _Toc343507720 \h </w:instrText>
        </w:r>
        <w:r>
          <w:rPr>
            <w:noProof/>
            <w:webHidden/>
          </w:rPr>
        </w:r>
        <w:r>
          <w:rPr>
            <w:noProof/>
            <w:webHidden/>
          </w:rPr>
          <w:fldChar w:fldCharType="separate"/>
        </w:r>
        <w:r>
          <w:rPr>
            <w:noProof/>
            <w:webHidden/>
          </w:rPr>
          <w:t>16</w:t>
        </w:r>
        <w:r>
          <w:rPr>
            <w:noProof/>
            <w:webHidden/>
          </w:rPr>
          <w:fldChar w:fldCharType="end"/>
        </w:r>
      </w:hyperlink>
    </w:p>
    <w:p w:rsidR="000F5A0F" w:rsidRPr="009564DD" w:rsidRDefault="000F5A0F">
      <w:pPr>
        <w:pStyle w:val="TOC3"/>
        <w:tabs>
          <w:tab w:val="right" w:pos="9060"/>
        </w:tabs>
        <w:rPr>
          <w:rFonts w:ascii="Calibri" w:hAnsi="Calibri"/>
          <w:noProof/>
          <w:color w:val="auto"/>
          <w:sz w:val="22"/>
          <w:szCs w:val="22"/>
          <w:lang w:eastAsia="en-GB"/>
        </w:rPr>
      </w:pPr>
      <w:hyperlink w:anchor="_Toc343507721" w:history="1">
        <w:r w:rsidRPr="007F7AA4">
          <w:rPr>
            <w:rStyle w:val="Hyperlink"/>
            <w:noProof/>
          </w:rPr>
          <w:t>Issue</w:t>
        </w:r>
        <w:r>
          <w:rPr>
            <w:noProof/>
            <w:webHidden/>
          </w:rPr>
          <w:tab/>
        </w:r>
        <w:r>
          <w:rPr>
            <w:noProof/>
            <w:webHidden/>
          </w:rPr>
          <w:fldChar w:fldCharType="begin"/>
        </w:r>
        <w:r>
          <w:rPr>
            <w:noProof/>
            <w:webHidden/>
          </w:rPr>
          <w:instrText xml:space="preserve"> PAGEREF _Toc343507721 \h </w:instrText>
        </w:r>
        <w:r>
          <w:rPr>
            <w:noProof/>
            <w:webHidden/>
          </w:rPr>
        </w:r>
        <w:r>
          <w:rPr>
            <w:noProof/>
            <w:webHidden/>
          </w:rPr>
          <w:fldChar w:fldCharType="separate"/>
        </w:r>
        <w:r>
          <w:rPr>
            <w:noProof/>
            <w:webHidden/>
          </w:rPr>
          <w:t>16</w:t>
        </w:r>
        <w:r>
          <w:rPr>
            <w:noProof/>
            <w:webHidden/>
          </w:rPr>
          <w:fldChar w:fldCharType="end"/>
        </w:r>
      </w:hyperlink>
    </w:p>
    <w:p w:rsidR="000F5A0F" w:rsidRPr="009564DD" w:rsidRDefault="000F5A0F">
      <w:pPr>
        <w:pStyle w:val="TOC3"/>
        <w:tabs>
          <w:tab w:val="right" w:pos="9060"/>
        </w:tabs>
        <w:rPr>
          <w:rFonts w:ascii="Calibri" w:hAnsi="Calibri"/>
          <w:noProof/>
          <w:color w:val="auto"/>
          <w:sz w:val="22"/>
          <w:szCs w:val="22"/>
          <w:lang w:eastAsia="en-GB"/>
        </w:rPr>
      </w:pPr>
      <w:hyperlink w:anchor="_Toc343507723" w:history="1">
        <w:r w:rsidRPr="007F7AA4">
          <w:rPr>
            <w:rStyle w:val="Hyperlink"/>
            <w:noProof/>
          </w:rPr>
          <w:t>Guidance</w:t>
        </w:r>
        <w:r>
          <w:rPr>
            <w:noProof/>
            <w:webHidden/>
          </w:rPr>
          <w:tab/>
        </w:r>
        <w:r>
          <w:rPr>
            <w:noProof/>
            <w:webHidden/>
          </w:rPr>
          <w:fldChar w:fldCharType="begin"/>
        </w:r>
        <w:r>
          <w:rPr>
            <w:noProof/>
            <w:webHidden/>
          </w:rPr>
          <w:instrText xml:space="preserve"> PAGEREF _Toc343507723 \h </w:instrText>
        </w:r>
        <w:r>
          <w:rPr>
            <w:noProof/>
            <w:webHidden/>
          </w:rPr>
        </w:r>
        <w:r>
          <w:rPr>
            <w:noProof/>
            <w:webHidden/>
          </w:rPr>
          <w:fldChar w:fldCharType="separate"/>
        </w:r>
        <w:r>
          <w:rPr>
            <w:noProof/>
            <w:webHidden/>
          </w:rPr>
          <w:t>16</w:t>
        </w:r>
        <w:r>
          <w:rPr>
            <w:noProof/>
            <w:webHidden/>
          </w:rPr>
          <w:fldChar w:fldCharType="end"/>
        </w:r>
      </w:hyperlink>
    </w:p>
    <w:p w:rsidR="000F5A0F" w:rsidRPr="009564DD" w:rsidRDefault="000F5A0F">
      <w:pPr>
        <w:pStyle w:val="TOC3"/>
        <w:tabs>
          <w:tab w:val="right" w:pos="9060"/>
        </w:tabs>
        <w:rPr>
          <w:rFonts w:ascii="Calibri" w:hAnsi="Calibri"/>
          <w:noProof/>
          <w:color w:val="auto"/>
          <w:sz w:val="22"/>
          <w:szCs w:val="22"/>
          <w:lang w:eastAsia="en-GB"/>
        </w:rPr>
      </w:pPr>
      <w:hyperlink w:anchor="_Toc343507724" w:history="1">
        <w:r w:rsidRPr="007F7AA4">
          <w:rPr>
            <w:rStyle w:val="Hyperlink"/>
            <w:noProof/>
          </w:rPr>
          <w:t>Protected characteristics</w:t>
        </w:r>
        <w:r>
          <w:rPr>
            <w:noProof/>
            <w:webHidden/>
          </w:rPr>
          <w:tab/>
        </w:r>
        <w:r>
          <w:rPr>
            <w:noProof/>
            <w:webHidden/>
          </w:rPr>
          <w:fldChar w:fldCharType="begin"/>
        </w:r>
        <w:r>
          <w:rPr>
            <w:noProof/>
            <w:webHidden/>
          </w:rPr>
          <w:instrText xml:space="preserve"> PAGEREF _Toc343507724 \h </w:instrText>
        </w:r>
        <w:r>
          <w:rPr>
            <w:noProof/>
            <w:webHidden/>
          </w:rPr>
        </w:r>
        <w:r>
          <w:rPr>
            <w:noProof/>
            <w:webHidden/>
          </w:rPr>
          <w:fldChar w:fldCharType="separate"/>
        </w:r>
        <w:r>
          <w:rPr>
            <w:noProof/>
            <w:webHidden/>
          </w:rPr>
          <w:t>18</w:t>
        </w:r>
        <w:r>
          <w:rPr>
            <w:noProof/>
            <w:webHidden/>
          </w:rPr>
          <w:fldChar w:fldCharType="end"/>
        </w:r>
      </w:hyperlink>
    </w:p>
    <w:p w:rsidR="00BB4268" w:rsidRDefault="006720E4" w:rsidP="00BB4268">
      <w:pPr>
        <w:pStyle w:val="TOC1"/>
      </w:pPr>
      <w:r>
        <w:fldChar w:fldCharType="end"/>
      </w:r>
    </w:p>
    <w:p w:rsidR="00BB4268" w:rsidRDefault="00BB4268" w:rsidP="00BB4268"/>
    <w:p w:rsidR="008F2AC8" w:rsidRDefault="008F2AC8" w:rsidP="008412A3">
      <w:pPr>
        <w:pStyle w:val="Unnumberedparagraph"/>
        <w:sectPr w:rsidR="008F2AC8" w:rsidSect="00317361">
          <w:headerReference w:type="default" r:id="rId20"/>
          <w:footerReference w:type="default" r:id="rId21"/>
          <w:pgSz w:w="11906" w:h="16838" w:code="9"/>
          <w:pgMar w:top="1871" w:right="1418" w:bottom="1134" w:left="1418" w:header="567" w:footer="567" w:gutter="0"/>
          <w:cols w:space="708"/>
          <w:docGrid w:linePitch="360"/>
        </w:sectPr>
      </w:pPr>
    </w:p>
    <w:p w:rsidR="00FE05A6" w:rsidRDefault="00FE05A6" w:rsidP="00FE05A6">
      <w:pPr>
        <w:pStyle w:val="Heading1"/>
      </w:pPr>
      <w:bookmarkStart w:id="0" w:name="_Toc310870005"/>
      <w:bookmarkStart w:id="1" w:name="_Toc343507700"/>
      <w:r>
        <w:lastRenderedPageBreak/>
        <w:t>Introduction</w:t>
      </w:r>
      <w:bookmarkEnd w:id="0"/>
      <w:bookmarkEnd w:id="1"/>
    </w:p>
    <w:p w:rsidR="00562362" w:rsidRDefault="00562362" w:rsidP="000F5A0F">
      <w:pPr>
        <w:pStyle w:val="Numberedparagraph"/>
        <w:ind w:left="567" w:hanging="567"/>
        <w:rPr>
          <w:bCs/>
        </w:rPr>
      </w:pPr>
      <w:r>
        <w:t>Ofsted is bound by the public sector equality duty, its strategic plan and values to advance equality through its inspection of schools. Equality is integral to the inspection framework and t</w:t>
      </w:r>
      <w:r w:rsidRPr="006F346B">
        <w:t>he promotion of equal</w:t>
      </w:r>
      <w:r>
        <w:t>ity of</w:t>
      </w:r>
      <w:r w:rsidRPr="006F346B">
        <w:t xml:space="preserve"> opportunity </w:t>
      </w:r>
      <w:r>
        <w:t xml:space="preserve">for all pupils </w:t>
      </w:r>
      <w:r w:rsidRPr="006F346B">
        <w:t>underpins</w:t>
      </w:r>
      <w:r>
        <w:t xml:space="preserve"> the school inspection </w:t>
      </w:r>
      <w:r w:rsidRPr="006F346B">
        <w:t xml:space="preserve">framework. </w:t>
      </w:r>
      <w:r w:rsidRPr="006F346B">
        <w:rPr>
          <w:bCs/>
        </w:rPr>
        <w:t>School inspection acts in the interests of</w:t>
      </w:r>
      <w:r>
        <w:rPr>
          <w:bCs/>
        </w:rPr>
        <w:t xml:space="preserve"> </w:t>
      </w:r>
      <w:r w:rsidRPr="00864C8A">
        <w:rPr>
          <w:bCs/>
        </w:rPr>
        <w:t>children, young people and their parents.</w:t>
      </w:r>
      <w:r w:rsidR="000B54A7">
        <w:rPr>
          <w:rStyle w:val="FootnoteReference"/>
          <w:bCs/>
        </w:rPr>
        <w:footnoteReference w:id="1"/>
      </w:r>
      <w:r w:rsidRPr="00864C8A">
        <w:rPr>
          <w:bCs/>
        </w:rPr>
        <w:t xml:space="preserve"> It encourages high-quality provision that meets diverse needs and promotes </w:t>
      </w:r>
      <w:r>
        <w:rPr>
          <w:bCs/>
        </w:rPr>
        <w:t xml:space="preserve">not just </w:t>
      </w:r>
      <w:r w:rsidRPr="00864C8A">
        <w:rPr>
          <w:bCs/>
        </w:rPr>
        <w:t>equality</w:t>
      </w:r>
      <w:r>
        <w:rPr>
          <w:bCs/>
        </w:rPr>
        <w:t xml:space="preserve"> of opportunity but improving outcomes for all pupils regardless of background. </w:t>
      </w:r>
    </w:p>
    <w:p w:rsidR="00562362" w:rsidRDefault="00562362" w:rsidP="00562362">
      <w:pPr>
        <w:pStyle w:val="Heading1"/>
      </w:pPr>
      <w:hyperlink w:anchor="_Toc268075253" w:history="1">
        <w:bookmarkStart w:id="2" w:name="_Toc343507701"/>
        <w:r w:rsidRPr="00562362">
          <w:t>Statutory</w:t>
        </w:r>
      </w:hyperlink>
      <w:r>
        <w:t xml:space="preserve"> requirements</w:t>
      </w:r>
      <w:bookmarkEnd w:id="2"/>
    </w:p>
    <w:p w:rsidR="00562362" w:rsidRPr="00537DF6" w:rsidRDefault="00562362" w:rsidP="00562362">
      <w:pPr>
        <w:pStyle w:val="Heading2"/>
        <w:rPr>
          <w:lang/>
        </w:rPr>
      </w:pPr>
      <w:bookmarkStart w:id="3" w:name="_Toc343507702"/>
      <w:r w:rsidRPr="00537DF6">
        <w:rPr>
          <w:lang/>
        </w:rPr>
        <w:t>Background</w:t>
      </w:r>
      <w:bookmarkEnd w:id="3"/>
    </w:p>
    <w:p w:rsidR="00562362" w:rsidRDefault="00562362" w:rsidP="000F5A0F">
      <w:pPr>
        <w:pStyle w:val="Numberedparagraph"/>
        <w:ind w:left="567" w:hanging="567"/>
        <w:rPr>
          <w:lang/>
        </w:rPr>
      </w:pPr>
      <w:r w:rsidRPr="00537DF6">
        <w:rPr>
          <w:lang/>
        </w:rPr>
        <w:t xml:space="preserve">The Equality Act 2010 has replaced </w:t>
      </w:r>
      <w:r>
        <w:rPr>
          <w:lang/>
        </w:rPr>
        <w:t xml:space="preserve">and unified </w:t>
      </w:r>
      <w:r w:rsidRPr="00537DF6">
        <w:rPr>
          <w:lang/>
        </w:rPr>
        <w:t xml:space="preserve">all existing equality legislation such as the Race Relations Act, Disability Discrimination Act and Sex Discrimination Act. </w:t>
      </w:r>
      <w:r>
        <w:t>It aims to ensure that people have equality of opportunity in accessing and experiencing public services</w:t>
      </w:r>
      <w:r w:rsidR="008A1E77">
        <w:t>.</w:t>
      </w:r>
      <w:r w:rsidRPr="00537DF6">
        <w:rPr>
          <w:lang/>
        </w:rPr>
        <w:t xml:space="preserve"> The </w:t>
      </w:r>
      <w:r>
        <w:rPr>
          <w:lang/>
        </w:rPr>
        <w:t>Act</w:t>
      </w:r>
      <w:r w:rsidRPr="00537DF6">
        <w:rPr>
          <w:lang/>
        </w:rPr>
        <w:t xml:space="preserve"> provides a single, consolidated source of discrimination law, covering all the types of di</w:t>
      </w:r>
      <w:r>
        <w:rPr>
          <w:lang/>
        </w:rPr>
        <w:t xml:space="preserve">scrimination that are unlawful </w:t>
      </w:r>
      <w:r w:rsidRPr="00537DF6">
        <w:rPr>
          <w:lang/>
        </w:rPr>
        <w:t xml:space="preserve">and it extends the protection from discrimination in certain areas. </w:t>
      </w:r>
    </w:p>
    <w:p w:rsidR="00562362" w:rsidRDefault="00562362" w:rsidP="000F5A0F">
      <w:pPr>
        <w:pStyle w:val="Numberedparagraph"/>
        <w:ind w:left="567" w:hanging="567"/>
        <w:rPr>
          <w:lang/>
        </w:rPr>
      </w:pPr>
      <w:r w:rsidRPr="00537DF6">
        <w:rPr>
          <w:lang/>
        </w:rPr>
        <w:t>As far as schools are concerned, for the most part, the effect of the new law is the same as it has been in the past – meaning that schools</w:t>
      </w:r>
      <w:r w:rsidR="00B40E0F">
        <w:rPr>
          <w:lang/>
        </w:rPr>
        <w:t xml:space="preserve"> (including academies and free schools)</w:t>
      </w:r>
      <w:r w:rsidRPr="00537DF6">
        <w:rPr>
          <w:lang/>
        </w:rPr>
        <w:t xml:space="preserve"> cannot unlawfully discriminate against pupils because of their </w:t>
      </w:r>
      <w:r>
        <w:rPr>
          <w:lang/>
        </w:rPr>
        <w:t>disability, gender, race,</w:t>
      </w:r>
      <w:r w:rsidRPr="00537DF6">
        <w:rPr>
          <w:lang/>
        </w:rPr>
        <w:t xml:space="preserve"> religion or belief</w:t>
      </w:r>
      <w:r>
        <w:rPr>
          <w:lang/>
        </w:rPr>
        <w:t>, sex</w:t>
      </w:r>
      <w:r w:rsidRPr="00537DF6">
        <w:rPr>
          <w:lang/>
        </w:rPr>
        <w:t xml:space="preserve"> and sexual orientation. </w:t>
      </w:r>
    </w:p>
    <w:p w:rsidR="00562362" w:rsidRDefault="00562362" w:rsidP="000F5A0F">
      <w:pPr>
        <w:pStyle w:val="Numberedparagraph"/>
        <w:ind w:left="567" w:hanging="567"/>
        <w:rPr>
          <w:lang/>
        </w:rPr>
      </w:pPr>
      <w:r w:rsidRPr="00537DF6">
        <w:rPr>
          <w:lang/>
        </w:rPr>
        <w:t>Protection is now extended to pupils who are pregnant or undergoing gender reassignment</w:t>
      </w:r>
      <w:r w:rsidRPr="00113F47">
        <w:rPr>
          <w:lang/>
        </w:rPr>
        <w:t xml:space="preserve">. </w:t>
      </w:r>
      <w:r w:rsidRPr="00AD78F5">
        <w:rPr>
          <w:lang/>
        </w:rPr>
        <w:t>This means that it is now unlawful to discrimina</w:t>
      </w:r>
      <w:r>
        <w:rPr>
          <w:lang/>
        </w:rPr>
        <w:t xml:space="preserve">te against a transgender pupil </w:t>
      </w:r>
      <w:r w:rsidRPr="00AD78F5">
        <w:rPr>
          <w:lang/>
        </w:rPr>
        <w:t xml:space="preserve">or a pupil who is pregnant or has recently had a baby. </w:t>
      </w:r>
    </w:p>
    <w:p w:rsidR="00562362" w:rsidRDefault="00562362" w:rsidP="000F5A0F">
      <w:pPr>
        <w:pStyle w:val="Numberedparagraph"/>
        <w:ind w:left="567" w:hanging="567"/>
        <w:rPr>
          <w:lang/>
        </w:rPr>
      </w:pPr>
      <w:r>
        <w:rPr>
          <w:lang/>
        </w:rPr>
        <w:t>Schools may still have a single equality scheme or separate schemes. It is not Ofsted’s role to dictate the decision a school may take or have taken in regard to this.</w:t>
      </w:r>
      <w:r w:rsidR="008A1E77">
        <w:rPr>
          <w:lang/>
        </w:rPr>
        <w:t xml:space="preserve"> The Department for Education </w:t>
      </w:r>
      <w:r w:rsidR="00FE4380">
        <w:rPr>
          <w:lang/>
        </w:rPr>
        <w:t xml:space="preserve">(DfE) </w:t>
      </w:r>
      <w:r w:rsidR="008A1E77">
        <w:rPr>
          <w:lang/>
        </w:rPr>
        <w:t xml:space="preserve">has produced some non-statutory advice for schools to help them understand how the Equality Act affects them and how to fulfill their duties under the </w:t>
      </w:r>
      <w:r w:rsidR="00791BCA">
        <w:rPr>
          <w:lang/>
        </w:rPr>
        <w:t>A</w:t>
      </w:r>
      <w:r w:rsidR="008A1E77">
        <w:rPr>
          <w:lang/>
        </w:rPr>
        <w:t>ct.</w:t>
      </w:r>
      <w:r w:rsidR="000B54A7">
        <w:rPr>
          <w:rStyle w:val="FootnoteReference"/>
          <w:lang/>
        </w:rPr>
        <w:footnoteReference w:id="2"/>
      </w:r>
    </w:p>
    <w:p w:rsidR="000B77A2" w:rsidRDefault="00562362" w:rsidP="000F5A0F">
      <w:pPr>
        <w:pStyle w:val="Heading2"/>
      </w:pPr>
      <w:bookmarkStart w:id="4" w:name="_Toc343507703"/>
      <w:r w:rsidRPr="00A35F39">
        <w:t xml:space="preserve">The </w:t>
      </w:r>
      <w:r w:rsidR="000B77A2">
        <w:t>public sector equality duty and specific duties</w:t>
      </w:r>
      <w:bookmarkEnd w:id="4"/>
      <w:r w:rsidR="000B77A2" w:rsidRPr="00A35F39" w:rsidDel="000B77A2">
        <w:t xml:space="preserve"> </w:t>
      </w:r>
    </w:p>
    <w:p w:rsidR="000B77A2" w:rsidRDefault="000B77A2" w:rsidP="000F5A0F">
      <w:pPr>
        <w:pStyle w:val="Numberedparagraph"/>
        <w:ind w:left="567" w:hanging="567"/>
      </w:pPr>
      <w:r>
        <w:t xml:space="preserve">A public authority must, in the exercise of its functions, have due regard to the need to: </w:t>
      </w:r>
    </w:p>
    <w:p w:rsidR="000B77A2" w:rsidRDefault="000B77A2" w:rsidP="000F5A0F">
      <w:pPr>
        <w:pStyle w:val="Bulletsspaced"/>
        <w:ind w:left="924" w:hanging="357"/>
      </w:pPr>
      <w:r>
        <w:lastRenderedPageBreak/>
        <w:t>eliminate discrimination, harassment, victimisation and any other conduct that is prohibited by or under this Act</w:t>
      </w:r>
    </w:p>
    <w:p w:rsidR="000B77A2" w:rsidRDefault="000B77A2" w:rsidP="000F5A0F">
      <w:pPr>
        <w:pStyle w:val="Bulletsspaced"/>
        <w:ind w:left="924" w:hanging="357"/>
      </w:pPr>
      <w:r>
        <w:t>advance equality of opportunity between persons who share a relevant protected characteristic and persons who do not share it</w:t>
      </w:r>
    </w:p>
    <w:p w:rsidR="000B77A2" w:rsidRDefault="000B77A2" w:rsidP="000F5A0F">
      <w:pPr>
        <w:pStyle w:val="Bulletsspaced"/>
        <w:ind w:left="924" w:hanging="357"/>
      </w:pPr>
      <w:r>
        <w:t>foster good relations between persons who share a relevant protected characteristic and persons who do not share it.</w:t>
      </w:r>
    </w:p>
    <w:p w:rsidR="000B77A2" w:rsidRDefault="000B77A2" w:rsidP="000F5A0F">
      <w:pPr>
        <w:pStyle w:val="Bulletsspaced"/>
        <w:numPr>
          <w:ilvl w:val="0"/>
          <w:numId w:val="0"/>
        </w:numPr>
        <w:ind w:left="567"/>
      </w:pPr>
    </w:p>
    <w:p w:rsidR="00BC57A0" w:rsidRDefault="00562362" w:rsidP="000F5A0F">
      <w:pPr>
        <w:pStyle w:val="Numberedparagraph"/>
        <w:ind w:left="567" w:hanging="567"/>
      </w:pPr>
      <w:r w:rsidRPr="00A64897">
        <w:t>There are two kinds of duty</w:t>
      </w:r>
      <w:r>
        <w:t xml:space="preserve"> that schools must meet:</w:t>
      </w:r>
      <w:r w:rsidRPr="00A64897">
        <w:t xml:space="preserve"> </w:t>
      </w:r>
      <w:r>
        <w:t xml:space="preserve">the </w:t>
      </w:r>
      <w:r w:rsidRPr="00A64897">
        <w:t xml:space="preserve">general </w:t>
      </w:r>
      <w:r>
        <w:t>which is the Public Sector Equality Duty (PSED)</w:t>
      </w:r>
      <w:r w:rsidR="00BB54A8">
        <w:rPr>
          <w:rStyle w:val="FootnoteReference"/>
        </w:rPr>
        <w:footnoteReference w:id="3"/>
      </w:r>
      <w:r>
        <w:t xml:space="preserve"> </w:t>
      </w:r>
      <w:r w:rsidRPr="00A64897">
        <w:t xml:space="preserve">and </w:t>
      </w:r>
      <w:r>
        <w:t xml:space="preserve">the </w:t>
      </w:r>
      <w:r w:rsidRPr="00A64897">
        <w:t>specific</w:t>
      </w:r>
      <w:r>
        <w:t xml:space="preserve">. </w:t>
      </w:r>
      <w:r w:rsidR="00BC57A0">
        <w:t xml:space="preserve">To fulfil the general requirement, the DfE guidance states that: </w:t>
      </w:r>
    </w:p>
    <w:p w:rsidR="00BC57A0" w:rsidRDefault="00BC57A0" w:rsidP="000F5A0F">
      <w:pPr>
        <w:pStyle w:val="Bulletsspaced"/>
        <w:ind w:left="924" w:hanging="357"/>
      </w:pPr>
      <w:r>
        <w:t>decision makers in schools must be aware of the duty to have “due regard” when making a decision or taking an action and must assess whether it may have implications for people with particular protected characteristics</w:t>
      </w:r>
    </w:p>
    <w:p w:rsidR="00BC57A0" w:rsidRDefault="00BC57A0" w:rsidP="000F5A0F">
      <w:pPr>
        <w:pStyle w:val="Bulletsspaced"/>
        <w:ind w:left="924" w:hanging="357"/>
      </w:pPr>
      <w:r>
        <w:t>schools should consider equality implications before and at the time that they develop policy and take decisions, not as an afterthought, and they need to keep them under review on a continuing basis</w:t>
      </w:r>
    </w:p>
    <w:p w:rsidR="00BC57A0" w:rsidRDefault="00BC57A0" w:rsidP="000F5A0F">
      <w:pPr>
        <w:pStyle w:val="Bulletsspaced"/>
        <w:ind w:left="924" w:hanging="357"/>
      </w:pPr>
      <w:r>
        <w:t>the PSED has to be integrated into the carrying out of the school’s functions, and the analysis necessary to comply with the duty has to be carried out seriously, rigorously and with an open mind – it is not just a question of ticking boxes or following a particular process</w:t>
      </w:r>
    </w:p>
    <w:p w:rsidR="00BC57A0" w:rsidRDefault="00BC57A0" w:rsidP="000F5A0F">
      <w:pPr>
        <w:pStyle w:val="Bulletsspaced"/>
        <w:ind w:left="924" w:hanging="357"/>
      </w:pPr>
      <w:r>
        <w:t xml:space="preserve">schools </w:t>
      </w:r>
      <w:r w:rsidR="00F1492E">
        <w:t>cannot</w:t>
      </w:r>
      <w:r>
        <w:t xml:space="preserve"> delegate responsibility for carrying out the duty to anyone else.</w:t>
      </w:r>
    </w:p>
    <w:p w:rsidR="00BC57A0" w:rsidRDefault="00BC57A0" w:rsidP="000F5A0F">
      <w:pPr>
        <w:pStyle w:val="Bulletsspaced"/>
        <w:numPr>
          <w:ilvl w:val="0"/>
          <w:numId w:val="0"/>
        </w:numPr>
        <w:ind w:left="567"/>
      </w:pPr>
    </w:p>
    <w:p w:rsidR="00562362" w:rsidRDefault="00562362" w:rsidP="009747E4">
      <w:pPr>
        <w:pStyle w:val="Numberedparagraph"/>
      </w:pPr>
      <w:r>
        <w:t>T</w:t>
      </w:r>
      <w:r w:rsidRPr="00A64897">
        <w:t>here are two specific duties</w:t>
      </w:r>
      <w:r>
        <w:t>; these are that schools should:</w:t>
      </w:r>
    </w:p>
    <w:p w:rsidR="00562362" w:rsidRDefault="00562362" w:rsidP="00113F47">
      <w:pPr>
        <w:pStyle w:val="Bulletsspaced"/>
      </w:pPr>
      <w:r w:rsidRPr="00A64897">
        <w:t>publish information which shows compliance with the PSED and</w:t>
      </w:r>
    </w:p>
    <w:p w:rsidR="00562362" w:rsidRDefault="00562362" w:rsidP="00113F47">
      <w:pPr>
        <w:pStyle w:val="Bulletsspaced-lastbullet"/>
        <w:rPr>
          <w:b/>
        </w:rPr>
      </w:pPr>
      <w:r w:rsidRPr="00A64897">
        <w:t>publish at least one equality objective</w:t>
      </w:r>
      <w:r w:rsidRPr="00113F47">
        <w:t>.</w:t>
      </w:r>
    </w:p>
    <w:p w:rsidR="00562362" w:rsidRDefault="00562362" w:rsidP="000F5A0F">
      <w:pPr>
        <w:pStyle w:val="Numberedparagraph"/>
        <w:ind w:left="567" w:hanging="567"/>
      </w:pPr>
      <w:r w:rsidRPr="00A35F39">
        <w:t>The specific duties are meant to help</w:t>
      </w:r>
      <w:r>
        <w:t xml:space="preserve"> schools and</w:t>
      </w:r>
      <w:r w:rsidRPr="00A35F39">
        <w:t xml:space="preserve"> public bodies fulfil their obligations under the general duty. They are designed to be flexible, light-touch and proportionate </w:t>
      </w:r>
      <w:r>
        <w:t xml:space="preserve">(see annex 1 for further details) </w:t>
      </w:r>
      <w:r w:rsidRPr="00A35F39">
        <w:t xml:space="preserve">rather than </w:t>
      </w:r>
      <w:r>
        <w:t>being bureaucratic or engender a ‘tick-box’</w:t>
      </w:r>
      <w:r w:rsidRPr="00A35F39">
        <w:t xml:space="preserve"> exercise. </w:t>
      </w:r>
    </w:p>
    <w:p w:rsidR="00562362" w:rsidRDefault="00562362" w:rsidP="000F5A0F">
      <w:pPr>
        <w:pStyle w:val="Numberedparagraph"/>
        <w:ind w:left="567" w:hanging="567"/>
      </w:pPr>
      <w:r w:rsidRPr="00A35F39">
        <w:t xml:space="preserve">The emphasis is on transparency - making information available so that the school’s local community can see how the school is advancing equality in line with the PSED, and what objectives it is using to make this happen. </w:t>
      </w:r>
    </w:p>
    <w:p w:rsidR="00562362" w:rsidRPr="00A35F39" w:rsidRDefault="00562362" w:rsidP="000F5A0F">
      <w:pPr>
        <w:pStyle w:val="Numberedparagraph"/>
        <w:ind w:left="567" w:hanging="567"/>
      </w:pPr>
      <w:r w:rsidRPr="004B1079">
        <w:t xml:space="preserve">By 6 April 2012 the specific duties require schools to have published information showing compliance with the public sector equality duty, plus at least one </w:t>
      </w:r>
      <w:r w:rsidRPr="004B1079">
        <w:lastRenderedPageBreak/>
        <w:t>equality objective</w:t>
      </w:r>
      <w:r>
        <w:t xml:space="preserve">. </w:t>
      </w:r>
      <w:r w:rsidRPr="004B1079">
        <w:t>They will then need to update the published information at least annually and to publish objectives at least once every four years.</w:t>
      </w:r>
      <w:r>
        <w:t xml:space="preserve"> Examples of possible objectives might be relating to closing </w:t>
      </w:r>
      <w:r w:rsidR="007D52D8">
        <w:t xml:space="preserve">the </w:t>
      </w:r>
      <w:r>
        <w:t xml:space="preserve">gap in attainment in English for different ‘groups’ of pupils that </w:t>
      </w:r>
      <w:r w:rsidR="00C7220B">
        <w:t xml:space="preserve">the </w:t>
      </w:r>
      <w:r>
        <w:t>school has identified as underachieving, or improving the attendance rates of pupils from a background where these may be low. These should be specific and measurable.</w:t>
      </w:r>
    </w:p>
    <w:p w:rsidR="00562362" w:rsidRDefault="00562362" w:rsidP="00562362">
      <w:pPr>
        <w:pStyle w:val="Heading1"/>
      </w:pPr>
      <w:bookmarkStart w:id="5" w:name="_Toc343507704"/>
      <w:r>
        <w:t>Equality and discrimination in schools</w:t>
      </w:r>
      <w:bookmarkEnd w:id="5"/>
    </w:p>
    <w:p w:rsidR="00562362" w:rsidRDefault="000B77A2" w:rsidP="000F5A0F">
      <w:pPr>
        <w:pStyle w:val="Numberedparagraph"/>
        <w:ind w:left="567" w:hanging="567"/>
      </w:pPr>
      <w:r>
        <w:t xml:space="preserve">All </w:t>
      </w:r>
      <w:r w:rsidRPr="000B77A2">
        <w:t xml:space="preserve">maintained and independent schools, including </w:t>
      </w:r>
      <w:r>
        <w:t>a</w:t>
      </w:r>
      <w:r w:rsidRPr="000B77A2">
        <w:t xml:space="preserve">cademies, and maintained and non-maintained special schools </w:t>
      </w:r>
      <w:r w:rsidR="00562362" w:rsidRPr="00AD78F5">
        <w:t>must not discriminate against pupils through their admissions policies or in their day-to-day operations, such as in the allocation of pupils to particular classes. There are a few exceptions regarding the following:</w:t>
      </w:r>
    </w:p>
    <w:p w:rsidR="00562362" w:rsidRPr="00AD78F5" w:rsidRDefault="00935CAA" w:rsidP="009747E4">
      <w:pPr>
        <w:pStyle w:val="Bulletsspaced"/>
      </w:pPr>
      <w:r>
        <w:t>A</w:t>
      </w:r>
      <w:r w:rsidR="00562362" w:rsidRPr="00AD78F5">
        <w:t>dmissions to schools which are single sex or of a religious character</w:t>
      </w:r>
      <w:r>
        <w:t>.</w:t>
      </w:r>
    </w:p>
    <w:p w:rsidR="00562362" w:rsidRPr="00AD78F5" w:rsidRDefault="00935CAA" w:rsidP="009747E4">
      <w:pPr>
        <w:pStyle w:val="Bulletsspaced"/>
      </w:pPr>
      <w:r>
        <w:t>S</w:t>
      </w:r>
      <w:r w:rsidR="00562362" w:rsidRPr="00AD78F5">
        <w:t>chool curriculum and collective worship are not covered by legislation affecting discrimination on grounds of religion or beliefs</w:t>
      </w:r>
      <w:r>
        <w:t>.</w:t>
      </w:r>
    </w:p>
    <w:p w:rsidR="00562362" w:rsidRPr="00AD78F5" w:rsidRDefault="00935CAA" w:rsidP="009747E4">
      <w:pPr>
        <w:pStyle w:val="Bulletsspaced"/>
      </w:pPr>
      <w:r>
        <w:t>S</w:t>
      </w:r>
      <w:r w:rsidR="00562362" w:rsidRPr="00AD78F5">
        <w:t>chools may treat disabled pupils more favourably than others if it prevents them being at a disadvantage</w:t>
      </w:r>
      <w:r>
        <w:t>.</w:t>
      </w:r>
    </w:p>
    <w:p w:rsidR="00562362" w:rsidRPr="00AD78F5" w:rsidRDefault="00935CAA" w:rsidP="009747E4">
      <w:pPr>
        <w:pStyle w:val="Bulletsspaced-lastbullet"/>
      </w:pPr>
      <w:r>
        <w:t>A</w:t>
      </w:r>
      <w:r w:rsidR="00562362" w:rsidRPr="00AD78F5">
        <w:t>ge discrimination legislation does not apply to the treatment of pupils or provision of education.</w:t>
      </w:r>
    </w:p>
    <w:p w:rsidR="00562362" w:rsidRDefault="00562362" w:rsidP="000F5A0F">
      <w:pPr>
        <w:pStyle w:val="Numberedparagraph"/>
        <w:ind w:left="567" w:hanging="567"/>
      </w:pPr>
      <w:r>
        <w:t>Schools and local authorities</w:t>
      </w:r>
      <w:r w:rsidRPr="00B20128">
        <w:t xml:space="preserve"> </w:t>
      </w:r>
      <w:r>
        <w:t>must</w:t>
      </w:r>
      <w:r w:rsidRPr="00B20128">
        <w:t xml:space="preserve"> carry out accessibility planning for disabled pupils. These </w:t>
      </w:r>
      <w:r>
        <w:t>are the same duties that</w:t>
      </w:r>
      <w:r w:rsidRPr="00B20128">
        <w:t xml:space="preserve"> previously existed under the D</w:t>
      </w:r>
      <w:r>
        <w:t xml:space="preserve">isability </w:t>
      </w:r>
      <w:r w:rsidRPr="00B20128">
        <w:t>D</w:t>
      </w:r>
      <w:r>
        <w:t xml:space="preserve">iscrimination </w:t>
      </w:r>
      <w:r w:rsidRPr="00B20128">
        <w:t>A</w:t>
      </w:r>
      <w:r>
        <w:t>ct</w:t>
      </w:r>
      <w:r w:rsidRPr="00B20128">
        <w:t xml:space="preserve"> and have been replicated in the Equality Act</w:t>
      </w:r>
      <w:r>
        <w:t xml:space="preserve">. </w:t>
      </w:r>
      <w:r w:rsidRPr="00B20128">
        <w:rPr>
          <w:bCs/>
        </w:rPr>
        <w:t xml:space="preserve">Schools </w:t>
      </w:r>
      <w:r w:rsidRPr="00B20128">
        <w:t xml:space="preserve">must implement accessibility plans which are aimed at: </w:t>
      </w:r>
    </w:p>
    <w:p w:rsidR="00562362" w:rsidRPr="00B20128" w:rsidRDefault="00562362" w:rsidP="009747E4">
      <w:pPr>
        <w:pStyle w:val="Bulletsspaced"/>
      </w:pPr>
      <w:r w:rsidRPr="00B20128">
        <w:t xml:space="preserve">increasing the extent to which disabled pupils can participate in the curriculum </w:t>
      </w:r>
    </w:p>
    <w:p w:rsidR="00562362" w:rsidRPr="00B20128" w:rsidRDefault="00562362" w:rsidP="009747E4">
      <w:pPr>
        <w:pStyle w:val="Bulletsspaced"/>
      </w:pPr>
      <w:r w:rsidRPr="00B20128">
        <w:t>improving the physical environment of schools to enable disabled pupils to take better advantage of education, benefits, facilities and services provided</w:t>
      </w:r>
      <w:r w:rsidR="00791BCA">
        <w:t>,</w:t>
      </w:r>
      <w:r w:rsidRPr="00B20128">
        <w:t xml:space="preserve"> and </w:t>
      </w:r>
    </w:p>
    <w:p w:rsidR="00562362" w:rsidRPr="00B20128" w:rsidRDefault="00562362" w:rsidP="009747E4">
      <w:pPr>
        <w:pStyle w:val="Bulletsspaced-lastbullet"/>
      </w:pPr>
      <w:r w:rsidRPr="00B20128">
        <w:t>improving the availability of accessible information to disabled pupils</w:t>
      </w:r>
      <w:r w:rsidR="00017F71">
        <w:t xml:space="preserve"> and their </w:t>
      </w:r>
      <w:r w:rsidR="00354FA8">
        <w:t>parents</w:t>
      </w:r>
      <w:r w:rsidRPr="00B20128">
        <w:t xml:space="preserve">. </w:t>
      </w:r>
    </w:p>
    <w:p w:rsidR="00562362" w:rsidRDefault="00562362" w:rsidP="000F5A0F">
      <w:pPr>
        <w:pStyle w:val="Numberedparagraph"/>
        <w:ind w:left="567" w:hanging="567"/>
      </w:pPr>
      <w:r w:rsidRPr="00B20128">
        <w:t xml:space="preserve">Schools will also need to have regard to the need to provide adequate resources for implementing plans and must regularly review them. An accessibility plan may be a freestanding document but may also be published as part of another document such as the school development plan. </w:t>
      </w:r>
    </w:p>
    <w:p w:rsidR="00562362" w:rsidRDefault="00562362" w:rsidP="000F5A0F">
      <w:pPr>
        <w:pStyle w:val="Numberedparagraph"/>
        <w:ind w:left="567" w:hanging="567"/>
      </w:pPr>
      <w:r>
        <w:t>Inspectors discuss with</w:t>
      </w:r>
      <w:r w:rsidRPr="008D5449">
        <w:t xml:space="preserve"> </w:t>
      </w:r>
      <w:r>
        <w:t xml:space="preserve">each </w:t>
      </w:r>
      <w:r w:rsidRPr="008D5449">
        <w:t>school</w:t>
      </w:r>
      <w:r>
        <w:t xml:space="preserve"> how it is meeting statutory requirements and </w:t>
      </w:r>
      <w:r w:rsidRPr="008D5449">
        <w:t>evaluat</w:t>
      </w:r>
      <w:r>
        <w:t xml:space="preserve">e and report on the </w:t>
      </w:r>
      <w:r w:rsidRPr="008D5449">
        <w:t xml:space="preserve">impact of </w:t>
      </w:r>
      <w:r>
        <w:t xml:space="preserve">the school’s </w:t>
      </w:r>
      <w:r w:rsidRPr="008D5449">
        <w:t>actions.</w:t>
      </w:r>
      <w:r w:rsidRPr="00BC57A0">
        <w:t xml:space="preserve"> This might include </w:t>
      </w:r>
      <w:r w:rsidRPr="00B20128">
        <w:t>a school’s accessibil</w:t>
      </w:r>
      <w:r>
        <w:t xml:space="preserve">ity plan as part of the </w:t>
      </w:r>
      <w:r w:rsidR="000F5A0F">
        <w:t>evidence</w:t>
      </w:r>
      <w:r w:rsidR="00BC57A0">
        <w:t xml:space="preserve"> because the Equality Act specifically provides that a section 5 inspection </w:t>
      </w:r>
      <w:r w:rsidR="00BC57A0" w:rsidRPr="00935CAA">
        <w:t>may extend to the performance by the school of its functions in relation to the preparation, publication, review, revision and implementation of its accessibility plan</w:t>
      </w:r>
      <w:r w:rsidR="000F5A0F">
        <w:t>.</w:t>
      </w:r>
      <w:r w:rsidR="00BC57A0" w:rsidRPr="00935CAA">
        <w:t xml:space="preserve"> </w:t>
      </w:r>
    </w:p>
    <w:p w:rsidR="00D67491" w:rsidRDefault="00D67491" w:rsidP="00D67491">
      <w:pPr>
        <w:pStyle w:val="Heading2"/>
      </w:pPr>
      <w:bookmarkStart w:id="6" w:name="_Toc343507705"/>
      <w:r>
        <w:lastRenderedPageBreak/>
        <w:t>Reasonable adjustments and when they have to be made</w:t>
      </w:r>
      <w:bookmarkEnd w:id="6"/>
    </w:p>
    <w:p w:rsidR="00D67491" w:rsidRDefault="00D67491" w:rsidP="000F5A0F">
      <w:pPr>
        <w:pStyle w:val="Numberedparagraph"/>
        <w:ind w:left="567" w:hanging="567"/>
      </w:pPr>
      <w:r>
        <w:t xml:space="preserve">The duty to make reasonable adjustments applies only to disabled people. </w:t>
      </w:r>
      <w:r w:rsidR="00BC57A0">
        <w:t>The duty f</w:t>
      </w:r>
      <w:r>
        <w:t xml:space="preserve">or schools </w:t>
      </w:r>
      <w:r w:rsidR="00BC57A0">
        <w:t>is set out below.</w:t>
      </w:r>
    </w:p>
    <w:p w:rsidR="00D67491" w:rsidRDefault="00D67491" w:rsidP="000F5A0F">
      <w:pPr>
        <w:pStyle w:val="Bulletsspaced"/>
      </w:pPr>
      <w:r>
        <w:t>Where something a school does places a disabled pupil at a disadvantage compared to other pupils then the school must take reasonable steps to try and avoid that disadvantage.</w:t>
      </w:r>
    </w:p>
    <w:p w:rsidR="00D67491" w:rsidRDefault="00D67491" w:rsidP="000F5A0F">
      <w:pPr>
        <w:pStyle w:val="Bulletsspaced"/>
      </w:pPr>
      <w:r>
        <w:t>Schools will be expected to provide an auxiliary aid or service for a disabled pupil when it would be reasonable to do so and if such an aid would alleviate any substantial disadvantage that the pupil faces in comparison to non-disabled pupils.</w:t>
      </w:r>
    </w:p>
    <w:p w:rsidR="00BC57A0" w:rsidRDefault="00BC57A0" w:rsidP="000F5A0F">
      <w:pPr>
        <w:pStyle w:val="Bulletsspaced"/>
        <w:numPr>
          <w:ilvl w:val="0"/>
          <w:numId w:val="0"/>
        </w:numPr>
        <w:ind w:left="927"/>
      </w:pPr>
    </w:p>
    <w:p w:rsidR="00D67491" w:rsidRDefault="00D67491" w:rsidP="000F5A0F">
      <w:pPr>
        <w:pStyle w:val="Numberedparagraph"/>
        <w:ind w:left="567" w:hanging="567"/>
      </w:pPr>
      <w:r>
        <w:t>Schools are not subject to the other reasonable adjustment duty to make alterations to physical features because this is already considered as part of their planning duties.</w:t>
      </w:r>
    </w:p>
    <w:p w:rsidR="00D67491" w:rsidRDefault="00D67491" w:rsidP="000F5A0F">
      <w:pPr>
        <w:pStyle w:val="Numberedparagraph"/>
        <w:ind w:left="567" w:hanging="567"/>
      </w:pPr>
      <w:r>
        <w:t>From September 2012</w:t>
      </w:r>
      <w:r w:rsidR="00791BCA">
        <w:t>,</w:t>
      </w:r>
      <w:r>
        <w:t xml:space="preserve"> schools and local authorities have a duty to supply auxiliary aids and services as reasonable adjustments where these are not being supplied through </w:t>
      </w:r>
      <w:r w:rsidR="00791BCA">
        <w:t>s</w:t>
      </w:r>
      <w:r>
        <w:t xml:space="preserve">pecial </w:t>
      </w:r>
      <w:r w:rsidR="00791BCA">
        <w:t>e</w:t>
      </w:r>
      <w:r>
        <w:t xml:space="preserve">ducational </w:t>
      </w:r>
      <w:r w:rsidR="00791BCA">
        <w:t>n</w:t>
      </w:r>
      <w:r>
        <w:t>eeds statements or from other sources</w:t>
      </w:r>
      <w:r w:rsidR="006B4219">
        <w:t>.</w:t>
      </w:r>
      <w:r>
        <w:t xml:space="preserve"> In practice this will already be being done in many cases. </w:t>
      </w:r>
    </w:p>
    <w:p w:rsidR="00D67491" w:rsidRDefault="00D67491" w:rsidP="00D67491">
      <w:pPr>
        <w:pStyle w:val="Heading3"/>
      </w:pPr>
      <w:bookmarkStart w:id="7" w:name="_Toc343507706"/>
      <w:r>
        <w:t>Auxiliary aids and services</w:t>
      </w:r>
      <w:bookmarkEnd w:id="7"/>
    </w:p>
    <w:p w:rsidR="00D67491" w:rsidRDefault="00D67491" w:rsidP="000F5A0F">
      <w:pPr>
        <w:pStyle w:val="Numberedparagraph"/>
        <w:ind w:left="567" w:hanging="567"/>
      </w:pPr>
      <w:r>
        <w:t>The term “auxiliary aids” found in the Equality Act 2010 covers both auxiliary aids and services</w:t>
      </w:r>
      <w:r w:rsidR="006B4219">
        <w:t>,</w:t>
      </w:r>
      <w:r>
        <w:t xml:space="preserve"> but there is no legal definition for what constitutes auxiliary aids and services. Examples of what may be considered an auxiliary aid could be; hearing loops</w:t>
      </w:r>
      <w:r w:rsidR="006B4219">
        <w:t>,</w:t>
      </w:r>
      <w:r>
        <w:t xml:space="preserve"> adaptive keyboards</w:t>
      </w:r>
      <w:r w:rsidR="006B4219">
        <w:t>,</w:t>
      </w:r>
      <w:r>
        <w:t xml:space="preserve"> and special software.  However the key test is reasonableness and what may be reasonable for one school to provide may not be reasonable for another given the circumstances of each case.</w:t>
      </w:r>
    </w:p>
    <w:p w:rsidR="00D67491" w:rsidRDefault="00D67491" w:rsidP="00D67491">
      <w:pPr>
        <w:pStyle w:val="Heading3"/>
      </w:pPr>
      <w:bookmarkStart w:id="8" w:name="_Toc343507707"/>
      <w:r>
        <w:t>Making reasonable adjustments</w:t>
      </w:r>
      <w:bookmarkEnd w:id="8"/>
    </w:p>
    <w:p w:rsidR="00D67491" w:rsidRDefault="00D67491" w:rsidP="000F5A0F">
      <w:pPr>
        <w:pStyle w:val="Numberedparagraph"/>
        <w:ind w:left="567" w:hanging="567"/>
      </w:pPr>
      <w:r>
        <w:t xml:space="preserve">The </w:t>
      </w:r>
      <w:r w:rsidR="00164EDA">
        <w:t>Equalities and Human Rights Commission (</w:t>
      </w:r>
      <w:r>
        <w:t>EHRC</w:t>
      </w:r>
      <w:r w:rsidR="00164EDA">
        <w:t>) has developed</w:t>
      </w:r>
      <w:r>
        <w:t xml:space="preserve"> technical guidance for schools</w:t>
      </w:r>
      <w:r w:rsidR="00164EDA">
        <w:t xml:space="preserve"> which can be found at:</w:t>
      </w:r>
      <w:r>
        <w:t xml:space="preserve">  </w:t>
      </w:r>
      <w:hyperlink r:id="rId22" w:history="1">
        <w:r w:rsidR="00AA68FB" w:rsidRPr="00BA3645">
          <w:rPr>
            <w:rStyle w:val="Hyperlink"/>
          </w:rPr>
          <w:t>http://www.equalityhumanrights.com/advice-and-guidance/education-providers-schools-gui</w:t>
        </w:r>
        <w:r w:rsidR="00AA68FB" w:rsidRPr="00BA3645">
          <w:rPr>
            <w:rStyle w:val="Hyperlink"/>
          </w:rPr>
          <w:t>d</w:t>
        </w:r>
        <w:r w:rsidR="00AA68FB" w:rsidRPr="00BA3645">
          <w:rPr>
            <w:rStyle w:val="Hyperlink"/>
          </w:rPr>
          <w:t>ance/</w:t>
        </w:r>
      </w:hyperlink>
      <w:r w:rsidR="00AA68FB">
        <w:t xml:space="preserve">. </w:t>
      </w:r>
    </w:p>
    <w:p w:rsidR="00D67491" w:rsidRDefault="00D67491" w:rsidP="000F5A0F">
      <w:pPr>
        <w:pStyle w:val="Numberedparagraph"/>
        <w:ind w:left="567" w:hanging="567"/>
      </w:pPr>
      <w:r>
        <w:t>A minor change for schools is that a failure to make a reasonable adjustment cannot now be justified, whereas under the D</w:t>
      </w:r>
      <w:r w:rsidR="006B4219">
        <w:t>isability Discrimination Act</w:t>
      </w:r>
      <w:r>
        <w:t xml:space="preserve"> it could be. However</w:t>
      </w:r>
      <w:r w:rsidR="006B4219">
        <w:t>,</w:t>
      </w:r>
      <w:r>
        <w:t xml:space="preserve"> this change should not have any practical effect due to the application of the reasonableness test – i.e. if an adjustment is reasonable then it should be made and there can be no justification for why it is not made.  Schools will not be expected to make adjustments that are not reasonable.</w:t>
      </w:r>
    </w:p>
    <w:p w:rsidR="00D67491" w:rsidRDefault="00D67491" w:rsidP="000F5A0F">
      <w:pPr>
        <w:pStyle w:val="Numberedparagraph"/>
        <w:ind w:left="567" w:hanging="567"/>
      </w:pPr>
      <w:r>
        <w:t>The Act does not set out what would be a reasonable adjustment or a list of factors to consider in determining what is reasonable. It will be for schools to consider the reasonableness of adjustments based on the circumstances of each case</w:t>
      </w:r>
      <w:r w:rsidR="00962D08">
        <w:t>.</w:t>
      </w:r>
    </w:p>
    <w:p w:rsidR="00D67491" w:rsidRPr="00B20128" w:rsidRDefault="00D67491" w:rsidP="000F5A0F">
      <w:pPr>
        <w:pStyle w:val="Numberedparagraph"/>
        <w:ind w:left="567" w:hanging="567"/>
      </w:pPr>
      <w:r>
        <w:lastRenderedPageBreak/>
        <w:t xml:space="preserve">The reasonable adjustments duties on schools are intended to complement the accessibility planning duties and the existing </w:t>
      </w:r>
      <w:r w:rsidR="00F977B5">
        <w:t>special educational needs</w:t>
      </w:r>
      <w:r>
        <w:t xml:space="preserve"> statement provisions which are part of education legislation, under which </w:t>
      </w:r>
      <w:r w:rsidR="006B4219">
        <w:t>l</w:t>
      </w:r>
      <w:r>
        <w:t xml:space="preserve">ocal </w:t>
      </w:r>
      <w:r w:rsidR="006B4219">
        <w:t>a</w:t>
      </w:r>
      <w:r>
        <w:t>uthorities have to provide auxiliary aids to pupils with a statement of special educational need</w:t>
      </w:r>
      <w:r w:rsidR="006B4219">
        <w:t>s</w:t>
      </w:r>
      <w:r>
        <w:t xml:space="preserve">. </w:t>
      </w:r>
    </w:p>
    <w:p w:rsidR="00562362" w:rsidRDefault="00562362" w:rsidP="00562362">
      <w:pPr>
        <w:pStyle w:val="Heading1"/>
      </w:pPr>
      <w:bookmarkStart w:id="9" w:name="_Toc343507708"/>
      <w:r w:rsidRPr="00A35F39">
        <w:t>Equalities and inspection</w:t>
      </w:r>
      <w:bookmarkEnd w:id="9"/>
    </w:p>
    <w:p w:rsidR="00562362" w:rsidRDefault="00562362" w:rsidP="00562362">
      <w:pPr>
        <w:pStyle w:val="Heading2"/>
      </w:pPr>
      <w:bookmarkStart w:id="10" w:name="_Toc343507709"/>
      <w:r w:rsidRPr="003C7A54">
        <w:t>Overview</w:t>
      </w:r>
      <w:bookmarkEnd w:id="10"/>
    </w:p>
    <w:p w:rsidR="00562362" w:rsidRDefault="00562362" w:rsidP="000F5A0F">
      <w:pPr>
        <w:pStyle w:val="Numberedparagraph"/>
        <w:ind w:left="567" w:hanging="567"/>
      </w:pPr>
      <w:r>
        <w:t xml:space="preserve">The public sector equality duty requires </w:t>
      </w:r>
      <w:r w:rsidRPr="008D5449">
        <w:t xml:space="preserve">schools </w:t>
      </w:r>
      <w:r>
        <w:t xml:space="preserve">to have </w:t>
      </w:r>
      <w:r w:rsidRPr="009747E4">
        <w:rPr>
          <w:b/>
        </w:rPr>
        <w:t>due regard to the need to eliminate unlawful discrimination, to advance equality of opportunity and foster good relations</w:t>
      </w:r>
      <w:r>
        <w:t xml:space="preserve"> </w:t>
      </w:r>
      <w:r w:rsidRPr="008D5449">
        <w:t>for pupils, staff and others</w:t>
      </w:r>
      <w:r>
        <w:t xml:space="preserve"> </w:t>
      </w:r>
      <w:r w:rsidRPr="008D5449">
        <w:t>using school facilities.</w:t>
      </w:r>
    </w:p>
    <w:p w:rsidR="00562362" w:rsidRDefault="00562362" w:rsidP="000F5A0F">
      <w:pPr>
        <w:pStyle w:val="Numberedparagraph"/>
        <w:ind w:left="567" w:hanging="567"/>
      </w:pPr>
      <w:r>
        <w:t>Meeting these three requirements contributes greatly to achieving outstanding progress and attainment because achievement of these aims means that pupils work – whether it is in class or in the school – in an ethos and atmosphere of dignity and fairness, where they are free to develop themselves, knowing that differences are respected and they are encouraged to become independent learners and take responsibility for their actions and become good citizens.</w:t>
      </w:r>
      <w:r>
        <w:rPr>
          <w:rStyle w:val="FootnoteReference"/>
        </w:rPr>
        <w:footnoteReference w:id="4"/>
      </w:r>
      <w:r>
        <w:t xml:space="preserve"> The inspection framework as a whole and in the four main judgements therefore looks at how a school meets diverse needs and advances equality through its focus on how schools:</w:t>
      </w:r>
    </w:p>
    <w:p w:rsidR="00562362" w:rsidRDefault="00562362" w:rsidP="009747E4">
      <w:pPr>
        <w:pStyle w:val="Bulletsspaced"/>
      </w:pPr>
      <w:r>
        <w:t>secure and maintain excellent teaching, learning and assessment for all pupils</w:t>
      </w:r>
    </w:p>
    <w:p w:rsidR="00562362" w:rsidRDefault="00562362" w:rsidP="009747E4">
      <w:pPr>
        <w:pStyle w:val="Bulletsspaced"/>
        <w:rPr>
          <w:bCs/>
        </w:rPr>
      </w:pPr>
      <w:r>
        <w:rPr>
          <w:bCs/>
        </w:rPr>
        <w:t>‘narrow</w:t>
      </w:r>
      <w:r w:rsidRPr="00B20128">
        <w:rPr>
          <w:bCs/>
        </w:rPr>
        <w:t xml:space="preserve"> the gaps’ in achievement between different groups</w:t>
      </w:r>
      <w:r>
        <w:rPr>
          <w:bCs/>
        </w:rPr>
        <w:t xml:space="preserve"> and national standards</w:t>
      </w:r>
      <w:r w:rsidRPr="00B20128">
        <w:rPr>
          <w:bCs/>
        </w:rPr>
        <w:t xml:space="preserve"> </w:t>
      </w:r>
    </w:p>
    <w:p w:rsidR="00562362" w:rsidRDefault="00562362" w:rsidP="009747E4">
      <w:pPr>
        <w:pStyle w:val="Bulletsspaced"/>
        <w:rPr>
          <w:bCs/>
        </w:rPr>
      </w:pPr>
      <w:r>
        <w:rPr>
          <w:bCs/>
        </w:rPr>
        <w:t>ensure pupils are free</w:t>
      </w:r>
      <w:r w:rsidRPr="00B20128">
        <w:rPr>
          <w:bCs/>
        </w:rPr>
        <w:t xml:space="preserve"> from bullying in all its manifestations including all types of prejudice-based bullying</w:t>
      </w:r>
    </w:p>
    <w:p w:rsidR="00562362" w:rsidRDefault="00562362" w:rsidP="009747E4">
      <w:pPr>
        <w:pStyle w:val="Bulletsspaced"/>
        <w:rPr>
          <w:bCs/>
        </w:rPr>
      </w:pPr>
      <w:r>
        <w:rPr>
          <w:bCs/>
        </w:rPr>
        <w:t>deal with unacceptable behaviour and disruptions to learning</w:t>
      </w:r>
    </w:p>
    <w:p w:rsidR="00562362" w:rsidRDefault="00562362" w:rsidP="009747E4">
      <w:pPr>
        <w:pStyle w:val="Bulletsspaced-lastbullet"/>
      </w:pPr>
      <w:r>
        <w:t xml:space="preserve">build </w:t>
      </w:r>
      <w:r w:rsidRPr="00B20128">
        <w:t xml:space="preserve">cohesive school </w:t>
      </w:r>
      <w:r w:rsidRPr="009747E4">
        <w:t>communities</w:t>
      </w:r>
      <w:r w:rsidRPr="00B20128">
        <w:t xml:space="preserve"> where all pupils can thrive. </w:t>
      </w:r>
    </w:p>
    <w:p w:rsidR="00562362" w:rsidRDefault="00562362" w:rsidP="000F5A0F">
      <w:pPr>
        <w:pStyle w:val="Numberedparagraph"/>
        <w:ind w:left="567" w:hanging="567"/>
      </w:pPr>
      <w:r w:rsidRPr="00B20128">
        <w:t xml:space="preserve">An evaluation </w:t>
      </w:r>
      <w:r>
        <w:t xml:space="preserve">of </w:t>
      </w:r>
      <w:r w:rsidRPr="00B20128">
        <w:t xml:space="preserve">how effectively the school actively </w:t>
      </w:r>
      <w:r w:rsidR="00354FA8">
        <w:t xml:space="preserve">advances </w:t>
      </w:r>
      <w:r w:rsidRPr="00B20128">
        <w:t>equality of opportunity</w:t>
      </w:r>
      <w:r w:rsidR="00354FA8">
        <w:t xml:space="preserve">, </w:t>
      </w:r>
      <w:r w:rsidRPr="00B20128">
        <w:t xml:space="preserve">tackles discrimination </w:t>
      </w:r>
      <w:r w:rsidR="00354FA8">
        <w:t xml:space="preserve">and fosters good relations </w:t>
      </w:r>
      <w:r w:rsidRPr="00B20128">
        <w:t>will contribute to the key judgements</w:t>
      </w:r>
      <w:r>
        <w:t xml:space="preserve">. </w:t>
      </w:r>
    </w:p>
    <w:p w:rsidR="00562362" w:rsidRDefault="00562362" w:rsidP="000F5A0F">
      <w:pPr>
        <w:pStyle w:val="Numberedparagraph"/>
        <w:ind w:left="567" w:hanging="567"/>
      </w:pPr>
      <w:r>
        <w:t xml:space="preserve">A key aspect in relation to equality to be inspected is </w:t>
      </w:r>
      <w:r w:rsidRPr="00B20128">
        <w:t xml:space="preserve">how well the school is promoting the pupils’ spiritual, moral, social and cultural development. Schools should have strategies for promoting </w:t>
      </w:r>
      <w:r>
        <w:t xml:space="preserve">and monitoring </w:t>
      </w:r>
      <w:r w:rsidRPr="00B20128">
        <w:t xml:space="preserve">participation by learners in all the opportunities that the school provides and strategies for tackling any discriminatory </w:t>
      </w:r>
      <w:r>
        <w:t xml:space="preserve">or oppressive </w:t>
      </w:r>
      <w:r w:rsidRPr="00B20128">
        <w:t>behaviour</w:t>
      </w:r>
      <w:r>
        <w:t>.</w:t>
      </w:r>
      <w:r w:rsidRPr="00B20128">
        <w:t xml:space="preserve"> </w:t>
      </w:r>
      <w:r>
        <w:t xml:space="preserve">Inspectors should </w:t>
      </w:r>
      <w:r w:rsidR="00354FA8">
        <w:t xml:space="preserve">consider how well </w:t>
      </w:r>
      <w:r w:rsidRPr="00B20128">
        <w:lastRenderedPageBreak/>
        <w:t>schools know about which groups of pupil</w:t>
      </w:r>
      <w:r>
        <w:t>s are benefiting from extra support or opportunities or not</w:t>
      </w:r>
      <w:r w:rsidRPr="00B20128">
        <w:t>.</w:t>
      </w:r>
    </w:p>
    <w:p w:rsidR="00562362" w:rsidRDefault="00354FA8" w:rsidP="000F5A0F">
      <w:pPr>
        <w:pStyle w:val="Numberedparagraph"/>
        <w:ind w:left="567" w:hanging="567"/>
      </w:pPr>
      <w:r>
        <w:t>If</w:t>
      </w:r>
      <w:r w:rsidR="00562362" w:rsidRPr="00B20128">
        <w:t xml:space="preserve"> inspection evidence raises concerns about the school’s promotion of equality of opportunity and tackling discrimination, for example where a </w:t>
      </w:r>
      <w:r w:rsidR="00562362">
        <w:t xml:space="preserve">pupil is bullied or a </w:t>
      </w:r>
      <w:r w:rsidR="00562362" w:rsidRPr="00B20128">
        <w:t xml:space="preserve">particular group of pupils is being bullied or is persistently underachieving, then inspectors </w:t>
      </w:r>
      <w:r>
        <w:t xml:space="preserve">may need to examine </w:t>
      </w:r>
      <w:r w:rsidR="00562362" w:rsidRPr="00B20128">
        <w:t>the school’s polic</w:t>
      </w:r>
      <w:r w:rsidR="00137863">
        <w:t>ies</w:t>
      </w:r>
      <w:r w:rsidR="00562362" w:rsidRPr="00B20128">
        <w:t xml:space="preserve"> </w:t>
      </w:r>
      <w:r w:rsidR="00137863">
        <w:t>to determine whether these are sufficiently robust, and if so, whether they have been adhered to</w:t>
      </w:r>
      <w:r w:rsidR="00562362" w:rsidRPr="00B20128">
        <w:t xml:space="preserve">. </w:t>
      </w:r>
    </w:p>
    <w:p w:rsidR="00562362" w:rsidRDefault="00562362" w:rsidP="000F5A0F">
      <w:pPr>
        <w:pStyle w:val="Numberedparagraph"/>
        <w:ind w:left="567" w:hanging="567"/>
      </w:pPr>
      <w:r w:rsidRPr="00B20128">
        <w:t>Senior staff and governors should know about the relative attainment and progress of different groups of pupils, monitor their performance and other data</w:t>
      </w:r>
      <w:r>
        <w:t xml:space="preserve"> relevant to improving outcomes</w:t>
      </w:r>
      <w:r w:rsidRPr="00B20128">
        <w:t xml:space="preserve">. For example, the </w:t>
      </w:r>
      <w:r w:rsidRPr="00B20128">
        <w:rPr>
          <w:bCs/>
        </w:rPr>
        <w:t>s</w:t>
      </w:r>
      <w:r w:rsidRPr="00B20128">
        <w:t xml:space="preserve">chool should be aware of gender imbalances in ‘upper ability’ groups, and which groups of learners, </w:t>
      </w:r>
      <w:r>
        <w:t xml:space="preserve">for example </w:t>
      </w:r>
      <w:r w:rsidRPr="00B20128">
        <w:t xml:space="preserve">by ethnicity, are participating in after-school sport. This </w:t>
      </w:r>
      <w:r>
        <w:t xml:space="preserve">is </w:t>
      </w:r>
      <w:r w:rsidRPr="00B20128">
        <w:t xml:space="preserve">information </w:t>
      </w:r>
      <w:r>
        <w:t xml:space="preserve">the school needs </w:t>
      </w:r>
      <w:r w:rsidRPr="00B20128">
        <w:t>to help tackle underachievement and any concerns related to the behaviour and safety of different groups of pupils</w:t>
      </w:r>
      <w:r>
        <w:t xml:space="preserve">; it may help to show what action is being taken to tackle </w:t>
      </w:r>
      <w:r w:rsidRPr="00B20128">
        <w:t>any discrepancies</w:t>
      </w:r>
      <w:r>
        <w:t>,</w:t>
      </w:r>
      <w:r w:rsidRPr="00B20128">
        <w:t xml:space="preserve"> </w:t>
      </w:r>
      <w:r>
        <w:t xml:space="preserve">for example, </w:t>
      </w:r>
      <w:r w:rsidRPr="00B20128">
        <w:t>in the promotion of spiritual, moral, s</w:t>
      </w:r>
      <w:r>
        <w:t>ocial and cultural development of different pupils.</w:t>
      </w:r>
    </w:p>
    <w:p w:rsidR="00562362" w:rsidRDefault="00562362" w:rsidP="000F5A0F">
      <w:pPr>
        <w:pStyle w:val="Numberedparagraph"/>
        <w:ind w:left="567" w:hanging="567"/>
      </w:pPr>
      <w:r w:rsidRPr="00B20128">
        <w:t>The school</w:t>
      </w:r>
      <w:r>
        <w:t xml:space="preserve"> should also be taking active steps to</w:t>
      </w:r>
      <w:r w:rsidRPr="00B20128">
        <w:t xml:space="preserve"> promote its relationships with </w:t>
      </w:r>
      <w:r>
        <w:t xml:space="preserve">all </w:t>
      </w:r>
      <w:r w:rsidRPr="00B20128">
        <w:t>parents and pupil</w:t>
      </w:r>
      <w:r>
        <w:t xml:space="preserve">s and also those in </w:t>
      </w:r>
      <w:r w:rsidRPr="00B20128">
        <w:t>communities</w:t>
      </w:r>
      <w:r>
        <w:t xml:space="preserve"> or from groups that it finds hard to reach.</w:t>
      </w:r>
    </w:p>
    <w:p w:rsidR="00562362" w:rsidRDefault="00562362" w:rsidP="000F5A0F">
      <w:pPr>
        <w:pStyle w:val="Numberedparagraph"/>
        <w:ind w:left="567" w:hanging="567"/>
      </w:pPr>
      <w:r>
        <w:t>It is expected that schools track and analyse progression information, for example, the proportions of pupils who continue education, training or enter employment and identify whether there are any barriers for particular groups of pupils.</w:t>
      </w:r>
      <w:r>
        <w:rPr>
          <w:rStyle w:val="FootnoteReference"/>
        </w:rPr>
        <w:footnoteReference w:id="5"/>
      </w:r>
      <w:r>
        <w:t xml:space="preserve"> This will enable schools to evaluate the curriculum and the subject choices of pupils. </w:t>
      </w:r>
    </w:p>
    <w:p w:rsidR="00562362" w:rsidRDefault="00562362" w:rsidP="00562362">
      <w:pPr>
        <w:pStyle w:val="Heading2"/>
      </w:pPr>
      <w:bookmarkStart w:id="11" w:name="_Toc343507710"/>
      <w:r>
        <w:t>Evaluating impact: further guidance</w:t>
      </w:r>
      <w:bookmarkEnd w:id="11"/>
    </w:p>
    <w:p w:rsidR="00562362" w:rsidRPr="00314394" w:rsidRDefault="00562362" w:rsidP="000F5A0F">
      <w:pPr>
        <w:pStyle w:val="Numberedparagraph"/>
        <w:ind w:left="567" w:hanging="567"/>
      </w:pPr>
      <w:r>
        <w:t>The specific areas below illustrate aspects mentioned above that inspectors may want to follow up at inspection to provide evidence of how a school advances equality, demonstrating</w:t>
      </w:r>
      <w:r w:rsidRPr="00314394">
        <w:t xml:space="preserve"> due regard </w:t>
      </w:r>
      <w:r>
        <w:t xml:space="preserve">to its duty. Inspectors will look at </w:t>
      </w:r>
      <w:r w:rsidR="0097062D">
        <w:t xml:space="preserve">the </w:t>
      </w:r>
      <w:r>
        <w:t xml:space="preserve">impact of actions based on analysis and use of data, not whether data </w:t>
      </w:r>
      <w:r w:rsidR="00137863">
        <w:t>are</w:t>
      </w:r>
      <w:r>
        <w:t xml:space="preserve"> collected. The points are not exhaustive and they are not a checklist, they are </w:t>
      </w:r>
      <w:r w:rsidR="00BE3112">
        <w:t xml:space="preserve">examples </w:t>
      </w:r>
      <w:r>
        <w:t>to guide inspectors’ evaluation.</w:t>
      </w:r>
    </w:p>
    <w:p w:rsidR="00562362" w:rsidRPr="000F5A0F" w:rsidRDefault="00562362" w:rsidP="00157594">
      <w:pPr>
        <w:pStyle w:val="Heading2"/>
        <w:rPr>
          <w:sz w:val="24"/>
          <w:szCs w:val="24"/>
        </w:rPr>
      </w:pPr>
      <w:bookmarkStart w:id="12" w:name="_Toc343507711"/>
      <w:r w:rsidRPr="000F5A0F">
        <w:rPr>
          <w:sz w:val="24"/>
          <w:szCs w:val="24"/>
        </w:rPr>
        <w:t>Achievement of pupils at the school</w:t>
      </w:r>
      <w:bookmarkEnd w:id="12"/>
    </w:p>
    <w:p w:rsidR="00BE3112" w:rsidRDefault="00562362" w:rsidP="000F5A0F">
      <w:pPr>
        <w:pStyle w:val="Numberedparagraph"/>
        <w:ind w:left="567" w:hanging="567"/>
      </w:pPr>
      <w:r w:rsidRPr="000C5132">
        <w:t xml:space="preserve">It is expected that </w:t>
      </w:r>
      <w:r w:rsidR="000B4B2F">
        <w:t xml:space="preserve">a </w:t>
      </w:r>
      <w:r w:rsidRPr="000C5132">
        <w:t>school ha</w:t>
      </w:r>
      <w:r w:rsidR="000B4B2F">
        <w:t>s</w:t>
      </w:r>
      <w:r w:rsidRPr="000C5132">
        <w:t xml:space="preserve"> data about the school population and differences of outcome</w:t>
      </w:r>
      <w:r w:rsidR="003D39B7">
        <w:t>,</w:t>
      </w:r>
      <w:r w:rsidR="00BE3112">
        <w:t xml:space="preserve"> and </w:t>
      </w:r>
      <w:r>
        <w:t>analyses up-to-date data on the</w:t>
      </w:r>
      <w:r w:rsidRPr="003C7A54">
        <w:t xml:space="preserve"> composition</w:t>
      </w:r>
      <w:r>
        <w:t xml:space="preserve"> of its pupils</w:t>
      </w:r>
      <w:r w:rsidRPr="003C7A54">
        <w:t xml:space="preserve"> broken down by year group, ethnicity and gender, and by proficiency in English.</w:t>
      </w:r>
      <w:r w:rsidRPr="00454D1A">
        <w:rPr>
          <w:rStyle w:val="FootnoteReference"/>
        </w:rPr>
        <w:footnoteReference w:id="6"/>
      </w:r>
      <w:r w:rsidR="00454D1A">
        <w:rPr>
          <w:rStyle w:val="FootnoteReference"/>
        </w:rPr>
        <w:t xml:space="preserve"> </w:t>
      </w:r>
      <w:r>
        <w:t xml:space="preserve">This will include detail </w:t>
      </w:r>
      <w:r w:rsidRPr="003C7A54">
        <w:t xml:space="preserve">about significant differences in attainment </w:t>
      </w:r>
      <w:r w:rsidRPr="003C7A54">
        <w:lastRenderedPageBreak/>
        <w:t>between girls and boys, and between pupils of different et</w:t>
      </w:r>
      <w:r>
        <w:t xml:space="preserve">hnic backgrounds. The </w:t>
      </w:r>
      <w:r w:rsidR="003117BA" w:rsidRPr="007E27AD">
        <w:rPr>
          <w:i/>
        </w:rPr>
        <w:t>School inspection handbook</w:t>
      </w:r>
      <w:r w:rsidR="004675DE" w:rsidRPr="000F5A0F">
        <w:t xml:space="preserve"> </w:t>
      </w:r>
      <w:r>
        <w:t>(p</w:t>
      </w:r>
      <w:r w:rsidR="00C31AF8">
        <w:t>aragraph</w:t>
      </w:r>
      <w:r w:rsidR="004C4BEE">
        <w:t xml:space="preserve"> 98</w:t>
      </w:r>
      <w:r>
        <w:t>)</w:t>
      </w:r>
      <w:r w:rsidR="00877364" w:rsidRPr="000F5A0F">
        <w:rPr>
          <w:rStyle w:val="FootnoteReference"/>
        </w:rPr>
        <w:footnoteReference w:id="7"/>
      </w:r>
      <w:r>
        <w:t xml:space="preserve"> has an illustrative list showing different groups of pupils whose performance schools should monitor.</w:t>
      </w:r>
    </w:p>
    <w:p w:rsidR="00562362" w:rsidRDefault="00BE3112" w:rsidP="007E27AD">
      <w:pPr>
        <w:pStyle w:val="Numberedparagraph"/>
      </w:pPr>
      <w:r>
        <w:t xml:space="preserve">The school: </w:t>
      </w:r>
    </w:p>
    <w:p w:rsidR="00BE3112" w:rsidRDefault="00562362" w:rsidP="00562362">
      <w:pPr>
        <w:pStyle w:val="Bulletsspaced"/>
      </w:pPr>
      <w:r w:rsidRPr="003C7A54">
        <w:t xml:space="preserve">has data on its </w:t>
      </w:r>
      <w:r>
        <w:t>pupils</w:t>
      </w:r>
      <w:r w:rsidRPr="003C7A54">
        <w:t xml:space="preserve"> broken down by types of impairment and special educational need</w:t>
      </w:r>
      <w:r w:rsidR="003F0256">
        <w:rPr>
          <w:rStyle w:val="FootnoteReference"/>
        </w:rPr>
        <w:footnoteReference w:id="8"/>
      </w:r>
      <w:r w:rsidRPr="003C7A54">
        <w:t>.</w:t>
      </w:r>
      <w:r w:rsidR="00BE3112" w:rsidRPr="00BE3112">
        <w:t xml:space="preserve"> </w:t>
      </w:r>
    </w:p>
    <w:p w:rsidR="00562362" w:rsidRPr="003C7A54" w:rsidRDefault="00BE3112" w:rsidP="00562362">
      <w:pPr>
        <w:pStyle w:val="Bulletsspaced"/>
      </w:pPr>
      <w:r>
        <w:t>uses entry and transition information to shape provision to meet the diverse needs of pupils.</w:t>
      </w:r>
    </w:p>
    <w:p w:rsidR="00562362" w:rsidRPr="003C7A54" w:rsidRDefault="00562362" w:rsidP="00562362">
      <w:pPr>
        <w:pStyle w:val="Bulletsspaced"/>
      </w:pPr>
      <w:r w:rsidRPr="003C7A54">
        <w:t>has data on inequalities of outcome and participation connected with ethnicity, gender and disability,</w:t>
      </w:r>
      <w:r>
        <w:t xml:space="preserve"> and with proficiency in literacy and numeracy</w:t>
      </w:r>
      <w:r w:rsidRPr="003C7A54">
        <w:t>.</w:t>
      </w:r>
      <w:r>
        <w:rPr>
          <w:rStyle w:val="FootnoteReference"/>
        </w:rPr>
        <w:footnoteReference w:id="9"/>
      </w:r>
    </w:p>
    <w:p w:rsidR="00562362" w:rsidRDefault="00562362" w:rsidP="00562362">
      <w:pPr>
        <w:pStyle w:val="Bulletsspaced-lastbullet"/>
      </w:pPr>
      <w:r w:rsidRPr="003C7A54">
        <w:t xml:space="preserve">uses data on inequalities of outcome and </w:t>
      </w:r>
      <w:r>
        <w:t xml:space="preserve">participation </w:t>
      </w:r>
      <w:r w:rsidRPr="003C7A54">
        <w:t>when setting itself objectives for achievable and measurable improvements.</w:t>
      </w:r>
    </w:p>
    <w:p w:rsidR="00354FA8" w:rsidRDefault="00354FA8" w:rsidP="00354FA8">
      <w:pPr>
        <w:pStyle w:val="Bulletsspaced-lastbullet"/>
      </w:pPr>
      <w:r>
        <w:t>has clear procedures for supporting the educational achievement of pregnant pupils and young parents.</w:t>
      </w:r>
    </w:p>
    <w:p w:rsidR="00562362" w:rsidRPr="000F5A0F" w:rsidRDefault="00157594" w:rsidP="00562362">
      <w:pPr>
        <w:pStyle w:val="Heading2"/>
        <w:rPr>
          <w:sz w:val="24"/>
          <w:szCs w:val="24"/>
        </w:rPr>
      </w:pPr>
      <w:bookmarkStart w:id="13" w:name="_Toc343507712"/>
      <w:r>
        <w:rPr>
          <w:sz w:val="24"/>
          <w:szCs w:val="24"/>
        </w:rPr>
        <w:t>The quality of t</w:t>
      </w:r>
      <w:r w:rsidR="00562362" w:rsidRPr="000F5A0F">
        <w:rPr>
          <w:sz w:val="24"/>
          <w:szCs w:val="24"/>
        </w:rPr>
        <w:t>eaching</w:t>
      </w:r>
      <w:bookmarkEnd w:id="13"/>
    </w:p>
    <w:p w:rsidR="00562362" w:rsidRPr="003C7A54" w:rsidRDefault="00562362" w:rsidP="000F5A0F">
      <w:pPr>
        <w:pStyle w:val="Numberedparagraph"/>
        <w:ind w:left="567" w:hanging="567"/>
      </w:pPr>
      <w:r w:rsidRPr="003C7A54">
        <w:t xml:space="preserve">Focused attention is paid to the needs of specific groups of pupils, for example those who are learning English as an additional language </w:t>
      </w:r>
      <w:r>
        <w:t>or</w:t>
      </w:r>
      <w:r w:rsidR="00354FA8">
        <w:t xml:space="preserve"> disabled </w:t>
      </w:r>
      <w:r>
        <w:t xml:space="preserve">pupils </w:t>
      </w:r>
      <w:r w:rsidR="00354FA8">
        <w:t>and those who have</w:t>
      </w:r>
      <w:r>
        <w:t xml:space="preserve"> special educational needs </w:t>
      </w:r>
      <w:r w:rsidRPr="003C7A54">
        <w:t>and there is extra or special provision for certain groups, as appropriate</w:t>
      </w:r>
      <w:r>
        <w:t xml:space="preserve"> to the school and its circumstances.</w:t>
      </w:r>
    </w:p>
    <w:p w:rsidR="00562362" w:rsidRDefault="00562362" w:rsidP="000F5A0F">
      <w:pPr>
        <w:pStyle w:val="Numberedparagraph"/>
        <w:ind w:left="567" w:hanging="567"/>
      </w:pPr>
      <w:r w:rsidRPr="003C7A54">
        <w:t xml:space="preserve">There are activities across the </w:t>
      </w:r>
      <w:r w:rsidR="00F428D6" w:rsidRPr="003C7A54">
        <w:t>curriculum that promote</w:t>
      </w:r>
      <w:r w:rsidRPr="003C7A54">
        <w:t xml:space="preserve"> pupils’ spiritual, moral, social and cultural development.</w:t>
      </w:r>
    </w:p>
    <w:p w:rsidR="00562362" w:rsidRPr="003C7A54" w:rsidRDefault="00562362" w:rsidP="000F5A0F">
      <w:pPr>
        <w:pStyle w:val="Numberedparagraph"/>
        <w:ind w:left="567" w:hanging="567"/>
      </w:pPr>
      <w:r>
        <w:t>Seating and grouping arrangements help to foster good relations and respect between different groups of pupils.</w:t>
      </w:r>
    </w:p>
    <w:p w:rsidR="00562362" w:rsidRPr="003C7A54" w:rsidRDefault="00562362" w:rsidP="000F5A0F">
      <w:pPr>
        <w:pStyle w:val="Numberedparagraph"/>
        <w:ind w:left="567" w:hanging="567"/>
      </w:pPr>
      <w:r>
        <w:t xml:space="preserve">Teaching and </w:t>
      </w:r>
      <w:r w:rsidRPr="003C7A54">
        <w:t xml:space="preserve">curriculum materials in all subjects </w:t>
      </w:r>
      <w:r>
        <w:t>have</w:t>
      </w:r>
      <w:r w:rsidRPr="003C7A54">
        <w:t xml:space="preserve"> positive images of disabled people; of gay and lesbian people; of both women and men in non-stereotypical gender roles; and of people from a wide range of ethnic, religious and cultural backgrounds.</w:t>
      </w:r>
    </w:p>
    <w:p w:rsidR="003F0256" w:rsidRPr="003F0256" w:rsidRDefault="00562362" w:rsidP="000F5A0F">
      <w:pPr>
        <w:pStyle w:val="Heading2"/>
      </w:pPr>
      <w:bookmarkStart w:id="14" w:name="_Toc343507713"/>
      <w:r w:rsidRPr="00B36E39">
        <w:lastRenderedPageBreak/>
        <w:t>Behaviour and safety</w:t>
      </w:r>
      <w:bookmarkEnd w:id="14"/>
      <w:r w:rsidRPr="003C7A54">
        <w:t xml:space="preserve"> </w:t>
      </w:r>
    </w:p>
    <w:p w:rsidR="00562362" w:rsidRPr="003C7A54" w:rsidRDefault="00562362" w:rsidP="000F5A0F">
      <w:pPr>
        <w:pStyle w:val="Numberedparagraph"/>
        <w:ind w:left="567" w:hanging="567"/>
      </w:pPr>
      <w:r w:rsidRPr="003C7A54">
        <w:t>There are clear procedures for dealing with prejudice</w:t>
      </w:r>
      <w:r>
        <w:t>-related bullying and incidents, and appropriate staff training that equips staff to identify and deal with this effectively. The different evidence from inspection confirms effectiveness of a school’s approach.</w:t>
      </w:r>
    </w:p>
    <w:p w:rsidR="00562362" w:rsidRDefault="00562362" w:rsidP="000F5A0F">
      <w:pPr>
        <w:pStyle w:val="Numberedparagraph"/>
        <w:ind w:left="567" w:hanging="567"/>
      </w:pPr>
      <w:r>
        <w:t>Questionnaires</w:t>
      </w:r>
      <w:r w:rsidRPr="003C7A54">
        <w:t xml:space="preserve"> and focus</w:t>
      </w:r>
      <w:r>
        <w:t>ed discussion</w:t>
      </w:r>
      <w:r w:rsidRPr="003C7A54">
        <w:t xml:space="preserve"> groups show that </w:t>
      </w:r>
      <w:r>
        <w:t xml:space="preserve">all </w:t>
      </w:r>
      <w:r w:rsidRPr="003C7A54">
        <w:t>pupils feel safe from all kinds of bullying</w:t>
      </w:r>
      <w:r>
        <w:t>, harassment and oppressive behaviour</w:t>
      </w:r>
      <w:r w:rsidRPr="003C7A54">
        <w:t>.</w:t>
      </w:r>
    </w:p>
    <w:p w:rsidR="00C9662F" w:rsidRDefault="003F0256" w:rsidP="00C9662F">
      <w:pPr>
        <w:pStyle w:val="Numberedparagraph"/>
        <w:ind w:left="567" w:hanging="567"/>
      </w:pPr>
      <w:r w:rsidRPr="003F0256">
        <w:t>Pupils are confident that staff will address all issues of discrimination and prejudice including the use of derogatory language. </w:t>
      </w:r>
    </w:p>
    <w:p w:rsidR="002D052C" w:rsidRDefault="00C9662F" w:rsidP="00C9662F">
      <w:pPr>
        <w:pStyle w:val="Numberedparagraph"/>
        <w:ind w:left="567" w:hanging="567"/>
      </w:pPr>
      <w:r>
        <w:t>The school</w:t>
      </w:r>
      <w:r w:rsidR="002D052C">
        <w:t>:</w:t>
      </w:r>
    </w:p>
    <w:p w:rsidR="002D052C" w:rsidRDefault="00C9662F" w:rsidP="00A91307">
      <w:pPr>
        <w:pStyle w:val="Numberedparagraph"/>
        <w:numPr>
          <w:ilvl w:val="0"/>
          <w:numId w:val="58"/>
        </w:numPr>
      </w:pPr>
      <w:r>
        <w:t>has data on the behaviour of different groups of pupils</w:t>
      </w:r>
      <w:r w:rsidR="002D052C">
        <w:t xml:space="preserve"> including by ethnicity, gender and disability</w:t>
      </w:r>
    </w:p>
    <w:p w:rsidR="00D16CA3" w:rsidRPr="003F0256" w:rsidRDefault="00D16CA3" w:rsidP="00D16CA3">
      <w:pPr>
        <w:pStyle w:val="Numberedparagraph"/>
        <w:numPr>
          <w:ilvl w:val="0"/>
          <w:numId w:val="58"/>
        </w:numPr>
      </w:pPr>
      <w:r>
        <w:t xml:space="preserve">has data on any inequalities in the absence rates and patterns of different groups </w:t>
      </w:r>
    </w:p>
    <w:p w:rsidR="00D16CA3" w:rsidRDefault="002D052C" w:rsidP="00D16CA3">
      <w:pPr>
        <w:pStyle w:val="Numberedparagraph"/>
        <w:numPr>
          <w:ilvl w:val="0"/>
          <w:numId w:val="58"/>
        </w:numPr>
      </w:pPr>
      <w:r>
        <w:t xml:space="preserve">has data on its </w:t>
      </w:r>
      <w:r w:rsidR="00C9662F">
        <w:t>use of rewards</w:t>
      </w:r>
      <w:r>
        <w:t xml:space="preserve"> and</w:t>
      </w:r>
      <w:r w:rsidR="00C9662F">
        <w:t xml:space="preserve"> sanctions</w:t>
      </w:r>
      <w:r>
        <w:t>, including permanent and fixed term</w:t>
      </w:r>
      <w:r w:rsidR="00C9662F">
        <w:t xml:space="preserve"> exclusion</w:t>
      </w:r>
      <w:r>
        <w:t xml:space="preserve">, </w:t>
      </w:r>
      <w:r w:rsidR="00D16CA3">
        <w:t>for different groups</w:t>
      </w:r>
      <w:r w:rsidR="003879A3">
        <w:t xml:space="preserve"> </w:t>
      </w:r>
      <w:r w:rsidR="00D16CA3" w:rsidRPr="00D16CA3">
        <w:t xml:space="preserve"> </w:t>
      </w:r>
    </w:p>
    <w:p w:rsidR="00F61887" w:rsidRDefault="00D16CA3" w:rsidP="00A91307">
      <w:pPr>
        <w:pStyle w:val="Numberedparagraph"/>
        <w:numPr>
          <w:ilvl w:val="0"/>
          <w:numId w:val="58"/>
        </w:numPr>
      </w:pPr>
      <w:r>
        <w:t>knows where any inequalities exist and takes action to tackle them accordingly.</w:t>
      </w:r>
    </w:p>
    <w:p w:rsidR="003F0256" w:rsidRPr="003F0256" w:rsidRDefault="00562362" w:rsidP="000F5A0F">
      <w:pPr>
        <w:pStyle w:val="Heading2"/>
      </w:pPr>
      <w:bookmarkStart w:id="15" w:name="_Toc343507714"/>
      <w:r w:rsidRPr="00FE4380">
        <w:t>Leadership and management</w:t>
      </w:r>
      <w:bookmarkEnd w:id="15"/>
    </w:p>
    <w:p w:rsidR="00562362" w:rsidRDefault="007B1C23" w:rsidP="000F5A0F">
      <w:pPr>
        <w:pStyle w:val="Numberedparagraph"/>
        <w:ind w:left="567" w:hanging="567"/>
      </w:pPr>
      <w:r>
        <w:t>The s</w:t>
      </w:r>
      <w:r w:rsidR="00562362">
        <w:t xml:space="preserve">chool </w:t>
      </w:r>
      <w:r w:rsidR="00354FA8">
        <w:t>can demonstrate</w:t>
      </w:r>
      <w:r w:rsidR="00562362">
        <w:t xml:space="preserve"> positive action of how the school is advancing equality and tackling discrimination; f</w:t>
      </w:r>
      <w:r w:rsidR="00562362" w:rsidRPr="003C7A54">
        <w:t xml:space="preserve">or example, </w:t>
      </w:r>
      <w:r w:rsidR="00562362">
        <w:t xml:space="preserve">in </w:t>
      </w:r>
      <w:r w:rsidR="00562362" w:rsidRPr="003C7A54">
        <w:t xml:space="preserve">a statement of overarching policy, references </w:t>
      </w:r>
      <w:r w:rsidR="00562362">
        <w:t xml:space="preserve">in the school improvement plan or its </w:t>
      </w:r>
      <w:r w:rsidR="00562362" w:rsidRPr="003C7A54">
        <w:t xml:space="preserve">self-evaluation </w:t>
      </w:r>
      <w:r w:rsidR="00562362">
        <w:t>documents</w:t>
      </w:r>
      <w:r w:rsidR="00562362" w:rsidRPr="003C7A54">
        <w:t>, the prospectus, routine bulletins and newsletters, and occasional letters to parents.</w:t>
      </w:r>
    </w:p>
    <w:p w:rsidR="00562362" w:rsidRDefault="00562362" w:rsidP="000F5A0F">
      <w:pPr>
        <w:pStyle w:val="Numberedparagraph"/>
        <w:ind w:left="567" w:hanging="567"/>
      </w:pPr>
      <w:r>
        <w:t>Staff and pupils can point to clear leadership and management responsibility for equality</w:t>
      </w:r>
      <w:r w:rsidRPr="003C7A54">
        <w:t>.</w:t>
      </w:r>
    </w:p>
    <w:p w:rsidR="00157594" w:rsidRPr="003C7A54" w:rsidRDefault="00157594" w:rsidP="000F5A0F">
      <w:pPr>
        <w:pStyle w:val="Numberedparagraph"/>
        <w:ind w:left="567" w:hanging="567"/>
      </w:pPr>
      <w:r w:rsidRPr="003C7A54">
        <w:t xml:space="preserve">There is coverage in the curriculum of equalities issues, particularly with regard to tackling prejudice and promoting community cohesion and understanding </w:t>
      </w:r>
      <w:r>
        <w:t>diversity.</w:t>
      </w:r>
    </w:p>
    <w:p w:rsidR="00562362" w:rsidRDefault="00562362" w:rsidP="000F5A0F">
      <w:pPr>
        <w:pStyle w:val="Numberedparagraph"/>
        <w:ind w:left="567" w:hanging="567"/>
      </w:pPr>
      <w:r>
        <w:t>T</w:t>
      </w:r>
      <w:r w:rsidRPr="003C7A54">
        <w:t xml:space="preserve">he governing body </w:t>
      </w:r>
      <w:r>
        <w:t>demonstrates its impact on the school’s promotion and advancement of equality of opportunity and outcomes</w:t>
      </w:r>
      <w:r w:rsidRPr="003C7A54">
        <w:t>.</w:t>
      </w:r>
    </w:p>
    <w:p w:rsidR="00562362" w:rsidRPr="003C7A54" w:rsidRDefault="00562362" w:rsidP="000F5A0F">
      <w:pPr>
        <w:pStyle w:val="Numberedparagraph"/>
        <w:ind w:left="567" w:hanging="567"/>
      </w:pPr>
      <w:r>
        <w:t>M</w:t>
      </w:r>
      <w:r w:rsidRPr="003C7A54">
        <w:t>inutes of governors’ meetings, staff meetings and senior l</w:t>
      </w:r>
      <w:r>
        <w:t xml:space="preserve">eadership team meetings, and </w:t>
      </w:r>
      <w:r w:rsidRPr="003C7A54">
        <w:t>th</w:t>
      </w:r>
      <w:r>
        <w:t xml:space="preserve">e minutes of the School Council demonstrate </w:t>
      </w:r>
      <w:r w:rsidRPr="003C7A54">
        <w:t>the school’s responsibiliti</w:t>
      </w:r>
      <w:r>
        <w:t xml:space="preserve">es under the Equality Act. </w:t>
      </w:r>
    </w:p>
    <w:p w:rsidR="000B54A7" w:rsidRDefault="00562362" w:rsidP="000F5A0F">
      <w:pPr>
        <w:pStyle w:val="Numberedparagraph"/>
        <w:ind w:left="567" w:hanging="567"/>
      </w:pPr>
      <w:r w:rsidRPr="003C7A54">
        <w:t>Before introducing important new policies or measures, the school carefully assesses their potential impact on equalities,</w:t>
      </w:r>
      <w:r>
        <w:t xml:space="preserve"> its current and prospective pupils </w:t>
      </w:r>
      <w:r>
        <w:lastRenderedPageBreak/>
        <w:t>and parents,</w:t>
      </w:r>
      <w:r w:rsidRPr="003C7A54">
        <w:t xml:space="preserve"> positive or negative, and keeps a record of the analysis and judgements which it makes.</w:t>
      </w:r>
      <w:r>
        <w:t xml:space="preserve"> The data are available for public scrutiny.</w:t>
      </w:r>
    </w:p>
    <w:p w:rsidR="00562362" w:rsidRPr="00D07DE6" w:rsidRDefault="00562362" w:rsidP="000F5A0F">
      <w:pPr>
        <w:pStyle w:val="Numberedparagraph"/>
        <w:ind w:left="567" w:hanging="567"/>
        <w:rPr>
          <w:rStyle w:val="FootnoteReference"/>
          <w:vertAlign w:val="baseline"/>
        </w:rPr>
      </w:pPr>
      <w:r w:rsidRPr="003C7A54">
        <w:t xml:space="preserve">The school’s programme for continuing professional development (CPD) </w:t>
      </w:r>
      <w:r>
        <w:t xml:space="preserve">is inclusive of all staff and </w:t>
      </w:r>
      <w:r w:rsidRPr="003C7A54">
        <w:t>includes equalities matters, both directly and incidentally.</w:t>
      </w:r>
      <w:r>
        <w:t xml:space="preserve"> Inspectors can identify clear evidence of impact at inspection.</w:t>
      </w:r>
      <w:r w:rsidRPr="00454D1A">
        <w:rPr>
          <w:rStyle w:val="FootnoteReference"/>
        </w:rPr>
        <w:footnoteReference w:id="10"/>
      </w:r>
    </w:p>
    <w:p w:rsidR="000B54A7" w:rsidRDefault="00562362" w:rsidP="000F5A0F">
      <w:pPr>
        <w:pStyle w:val="Numberedparagraph"/>
        <w:ind w:left="567" w:hanging="567"/>
      </w:pPr>
      <w:r w:rsidRPr="003C7A54">
        <w:t>There is good equal opportunities practice in the recruitment and promotion of staff</w:t>
      </w:r>
      <w:r w:rsidR="00811C8A">
        <w:t xml:space="preserve"> (</w:t>
      </w:r>
      <w:r w:rsidRPr="003C7A54">
        <w:t>teaching</w:t>
      </w:r>
      <w:r>
        <w:t>, support</w:t>
      </w:r>
      <w:r w:rsidRPr="003C7A54">
        <w:t xml:space="preserve"> and administrative</w:t>
      </w:r>
      <w:r w:rsidR="00811C8A">
        <w:t>)</w:t>
      </w:r>
      <w:r w:rsidRPr="003C7A54">
        <w:t>.</w:t>
      </w:r>
    </w:p>
    <w:p w:rsidR="00562362" w:rsidRPr="00D07DE6" w:rsidRDefault="00562362" w:rsidP="000F5A0F">
      <w:pPr>
        <w:pStyle w:val="Numberedparagraph"/>
        <w:ind w:left="567" w:hanging="567"/>
        <w:rPr>
          <w:rStyle w:val="FootnoteReference"/>
          <w:vertAlign w:val="baseline"/>
        </w:rPr>
      </w:pPr>
      <w:r>
        <w:t>Evidence from parents and other stakeholders will show the effectiveness of the school’s</w:t>
      </w:r>
      <w:r w:rsidRPr="003C7A54">
        <w:t xml:space="preserve"> procedures for consulting and involving parents, and for engaging with</w:t>
      </w:r>
      <w:r>
        <w:t xml:space="preserve"> local groups and organisations; these will have regard</w:t>
      </w:r>
      <w:r w:rsidRPr="003C7A54">
        <w:t xml:space="preserve"> for the concerns and requirements of the Equality Act.</w:t>
      </w:r>
      <w:r w:rsidRPr="00454D1A">
        <w:rPr>
          <w:rStyle w:val="FootnoteReference"/>
        </w:rPr>
        <w:footnoteReference w:id="11"/>
      </w:r>
    </w:p>
    <w:p w:rsidR="003F0256" w:rsidRDefault="00562362" w:rsidP="000F5A0F">
      <w:pPr>
        <w:pStyle w:val="Numberedparagraph"/>
        <w:ind w:left="567" w:hanging="567"/>
      </w:pPr>
      <w:r>
        <w:t xml:space="preserve">Evidence from pupils will show how the school makes improvements for all pupils based on </w:t>
      </w:r>
      <w:r w:rsidRPr="003C7A54">
        <w:t xml:space="preserve">how </w:t>
      </w:r>
      <w:r>
        <w:t xml:space="preserve">pupils individually and collectively </w:t>
      </w:r>
      <w:r w:rsidRPr="003C7A54">
        <w:t>think and feel about th</w:t>
      </w:r>
      <w:r>
        <w:t>e school.</w:t>
      </w:r>
      <w:r w:rsidR="003F0256">
        <w:t xml:space="preserve"> </w:t>
      </w:r>
    </w:p>
    <w:p w:rsidR="003F0256" w:rsidRPr="003F0256" w:rsidRDefault="003F0256" w:rsidP="000F5A0F">
      <w:pPr>
        <w:pStyle w:val="Numberedparagraph"/>
        <w:ind w:left="567" w:hanging="567"/>
      </w:pPr>
      <w:r w:rsidRPr="003F0256">
        <w:t>Evidence from parental questionnaires reveal</w:t>
      </w:r>
      <w:r w:rsidR="00994F19">
        <w:t>s</w:t>
      </w:r>
      <w:r w:rsidRPr="003F0256">
        <w:t xml:space="preserve"> no prejudice or discrimination of a group or individual. </w:t>
      </w:r>
    </w:p>
    <w:p w:rsidR="00CE5102" w:rsidRDefault="00CE5102" w:rsidP="00562362">
      <w:pPr>
        <w:pStyle w:val="Heading1"/>
      </w:pPr>
    </w:p>
    <w:p w:rsidR="00562362" w:rsidRDefault="00562362" w:rsidP="00562362">
      <w:pPr>
        <w:pStyle w:val="Heading1"/>
      </w:pPr>
      <w:r>
        <w:br w:type="page"/>
      </w:r>
      <w:bookmarkStart w:id="16" w:name="_Toc343507716"/>
      <w:r w:rsidRPr="00BE0AFB">
        <w:lastRenderedPageBreak/>
        <w:t>Annex 1</w:t>
      </w:r>
      <w:r w:rsidR="009E4F34">
        <w:t xml:space="preserve"> – The Brown Principles</w:t>
      </w:r>
      <w:bookmarkEnd w:id="16"/>
    </w:p>
    <w:p w:rsidR="00562362" w:rsidRPr="002F5934" w:rsidRDefault="00562362" w:rsidP="00562362">
      <w:pPr>
        <w:pStyle w:val="Unnumberedparagraph"/>
      </w:pPr>
      <w:r w:rsidRPr="002F5934">
        <w:t>There are six principles</w:t>
      </w:r>
      <w:r>
        <w:t>, called the Brown Principles, established by case law that under</w:t>
      </w:r>
      <w:r w:rsidR="005E6722">
        <w:t>pin</w:t>
      </w:r>
      <w:r>
        <w:t xml:space="preserve"> what</w:t>
      </w:r>
      <w:r w:rsidRPr="002F5934">
        <w:t xml:space="preserve"> due regard</w:t>
      </w:r>
      <w:r>
        <w:t xml:space="preserve"> means:</w:t>
      </w:r>
      <w:r w:rsidRPr="002F5934">
        <w:t xml:space="preserve"> awareness, timeliness, rigour, non-delegation, continuous, and record-keeping:</w:t>
      </w:r>
    </w:p>
    <w:p w:rsidR="00562362" w:rsidRPr="002F5934" w:rsidRDefault="00562362" w:rsidP="00562362">
      <w:pPr>
        <w:pStyle w:val="Bulletskeyfindings"/>
      </w:pPr>
      <w:r w:rsidRPr="002F5934">
        <w:rPr>
          <w:b/>
        </w:rPr>
        <w:t>awareness</w:t>
      </w:r>
      <w:r w:rsidRPr="002F5934">
        <w:t xml:space="preserve"> – all staff should know and understand what the law requires</w:t>
      </w:r>
    </w:p>
    <w:p w:rsidR="00562362" w:rsidRPr="002F5934" w:rsidRDefault="00562362" w:rsidP="00562362">
      <w:pPr>
        <w:pStyle w:val="Bulletskeyfindings"/>
      </w:pPr>
      <w:r w:rsidRPr="002F5934">
        <w:rPr>
          <w:b/>
        </w:rPr>
        <w:t>timeliness</w:t>
      </w:r>
      <w:r w:rsidRPr="002F5934">
        <w:t xml:space="preserve"> – the implications for equalities of new policies and practices should be considered before they are introduced</w:t>
      </w:r>
    </w:p>
    <w:p w:rsidR="00562362" w:rsidRPr="002F5934" w:rsidRDefault="00562362" w:rsidP="00562362">
      <w:pPr>
        <w:pStyle w:val="Bulletskeyfindings"/>
      </w:pPr>
      <w:r w:rsidRPr="002F5934">
        <w:rPr>
          <w:b/>
        </w:rPr>
        <w:t>rigour</w:t>
      </w:r>
      <w:r w:rsidRPr="002F5934">
        <w:t xml:space="preserve"> – there should be rigorous and open-minded analysis of statistical evidence, and careful attention to the views of staff, and the views of pupils and their parents</w:t>
      </w:r>
    </w:p>
    <w:p w:rsidR="00562362" w:rsidRPr="002F5934" w:rsidRDefault="00562362" w:rsidP="00562362">
      <w:pPr>
        <w:pStyle w:val="Bulletskeyfindings"/>
      </w:pPr>
      <w:r w:rsidRPr="002F5934">
        <w:rPr>
          <w:b/>
        </w:rPr>
        <w:t>non-delegation</w:t>
      </w:r>
      <w:r w:rsidRPr="002F5934">
        <w:t xml:space="preserve"> – compliance with the PSED cannot be delegated</w:t>
      </w:r>
    </w:p>
    <w:p w:rsidR="00562362" w:rsidRPr="002F5934" w:rsidRDefault="00562362" w:rsidP="00562362">
      <w:pPr>
        <w:pStyle w:val="Bulletskeyfindings"/>
      </w:pPr>
      <w:r w:rsidRPr="002F5934">
        <w:rPr>
          <w:b/>
        </w:rPr>
        <w:t>continuous</w:t>
      </w:r>
      <w:r w:rsidRPr="002F5934">
        <w:t xml:space="preserve"> – due regard for equalities should be happening all the time</w:t>
      </w:r>
    </w:p>
    <w:p w:rsidR="00562362" w:rsidRPr="002F5934" w:rsidRDefault="00562362" w:rsidP="00562362">
      <w:pPr>
        <w:pStyle w:val="Bulletskeyfindings-lastbullet"/>
      </w:pPr>
      <w:r w:rsidRPr="002F5934">
        <w:rPr>
          <w:b/>
        </w:rPr>
        <w:t>record-keeping</w:t>
      </w:r>
      <w:r w:rsidRPr="002F5934">
        <w:t xml:space="preserve"> – it is good practice to keep documentary records, for example in the minutes of staff meetings and governor meetings.</w:t>
      </w:r>
    </w:p>
    <w:p w:rsidR="00562362" w:rsidRDefault="009E4F34" w:rsidP="00562362">
      <w:pPr>
        <w:pStyle w:val="Heading1"/>
      </w:pPr>
      <w:r>
        <w:br w:type="page"/>
      </w:r>
      <w:bookmarkStart w:id="17" w:name="_Toc343507717"/>
      <w:r w:rsidR="00562362" w:rsidRPr="00BE0AFB">
        <w:lastRenderedPageBreak/>
        <w:t>Annex 2</w:t>
      </w:r>
      <w:r>
        <w:t xml:space="preserve"> – Examples of national projects and award schemes</w:t>
      </w:r>
      <w:bookmarkEnd w:id="17"/>
    </w:p>
    <w:p w:rsidR="00562362" w:rsidRDefault="00562362" w:rsidP="00562362">
      <w:pPr>
        <w:pStyle w:val="Unnumberedparagraph"/>
      </w:pPr>
      <w:r>
        <w:t>Examples of national projects and award schemes in which schools can participate</w:t>
      </w:r>
      <w:r w:rsidR="005E6722">
        <w:t>:</w:t>
      </w:r>
    </w:p>
    <w:p w:rsidR="00562362" w:rsidRDefault="00562362" w:rsidP="00562362">
      <w:pPr>
        <w:pStyle w:val="Bulletskeyfindings"/>
      </w:pPr>
      <w:r>
        <w:t>T</w:t>
      </w:r>
      <w:r w:rsidRPr="003C7A54">
        <w:t>he Accord Coalition Inclusivity Award</w:t>
      </w:r>
    </w:p>
    <w:p w:rsidR="00562362" w:rsidRDefault="00562362" w:rsidP="00562362">
      <w:pPr>
        <w:pStyle w:val="Bulletskeyfindings"/>
      </w:pPr>
      <w:r w:rsidRPr="003C7A54">
        <w:t xml:space="preserve">Black History Month </w:t>
      </w:r>
    </w:p>
    <w:p w:rsidR="00562362" w:rsidRDefault="00562362" w:rsidP="00562362">
      <w:pPr>
        <w:pStyle w:val="Bulletskeyfindings"/>
      </w:pPr>
      <w:r w:rsidRPr="003C7A54">
        <w:t xml:space="preserve">Bullying Intervention Group </w:t>
      </w:r>
    </w:p>
    <w:p w:rsidR="00562362" w:rsidRDefault="00562362" w:rsidP="00562362">
      <w:pPr>
        <w:pStyle w:val="Bulletskeyfindings"/>
      </w:pPr>
      <w:r w:rsidRPr="003C7A54">
        <w:t>Disability History Month</w:t>
      </w:r>
    </w:p>
    <w:p w:rsidR="00562362" w:rsidRDefault="00562362" w:rsidP="00562362">
      <w:pPr>
        <w:pStyle w:val="Bulletskeyfindings"/>
      </w:pPr>
      <w:r w:rsidRPr="003C7A54">
        <w:t>EQualities Award</w:t>
      </w:r>
    </w:p>
    <w:p w:rsidR="00562362" w:rsidRDefault="00562362" w:rsidP="00562362">
      <w:pPr>
        <w:pStyle w:val="Bulletskeyfindings"/>
      </w:pPr>
      <w:r>
        <w:t xml:space="preserve">Gypsy, Roma and </w:t>
      </w:r>
      <w:r w:rsidRPr="003C7A54">
        <w:t>Traveller History Month</w:t>
      </w:r>
    </w:p>
    <w:p w:rsidR="00562362" w:rsidRDefault="00562362" w:rsidP="00562362">
      <w:pPr>
        <w:pStyle w:val="Bulletskeyfindings"/>
      </w:pPr>
      <w:r w:rsidRPr="003C7A54">
        <w:t xml:space="preserve">LGBT History Month; Refugee Week </w:t>
      </w:r>
    </w:p>
    <w:p w:rsidR="00562362" w:rsidRDefault="00562362" w:rsidP="00562362">
      <w:pPr>
        <w:pStyle w:val="Bulletskeyfindings"/>
      </w:pPr>
      <w:r w:rsidRPr="003C7A54">
        <w:t xml:space="preserve">Rights Respecting Schools Award </w:t>
      </w:r>
    </w:p>
    <w:p w:rsidR="00562362" w:rsidRDefault="00562362" w:rsidP="00562362">
      <w:pPr>
        <w:pStyle w:val="Bulletskeyfindings"/>
      </w:pPr>
      <w:r w:rsidRPr="003C7A54">
        <w:t>Stephe</w:t>
      </w:r>
      <w:r>
        <w:t xml:space="preserve">n Lawrence Education Standard </w:t>
      </w:r>
    </w:p>
    <w:p w:rsidR="00562362" w:rsidRPr="003C7A54" w:rsidRDefault="00562362" w:rsidP="00562362">
      <w:pPr>
        <w:pStyle w:val="Bulletskeyfindings"/>
      </w:pPr>
      <w:r>
        <w:t>Stonewall School Champions.</w:t>
      </w:r>
    </w:p>
    <w:p w:rsidR="00562362" w:rsidRDefault="009E4F34" w:rsidP="00562362">
      <w:pPr>
        <w:pStyle w:val="Heading1"/>
      </w:pPr>
      <w:r>
        <w:br w:type="page"/>
      </w:r>
      <w:bookmarkStart w:id="18" w:name="_Toc343507718"/>
      <w:r w:rsidR="00562362" w:rsidRPr="0077385B">
        <w:lastRenderedPageBreak/>
        <w:t>Annex 3</w:t>
      </w:r>
      <w:r>
        <w:t xml:space="preserve"> – Survey reports for further reference</w:t>
      </w:r>
      <w:bookmarkEnd w:id="18"/>
    </w:p>
    <w:p w:rsidR="00562362" w:rsidRDefault="00562362" w:rsidP="00562362">
      <w:pPr>
        <w:pStyle w:val="Unnumberedparagraph"/>
      </w:pPr>
      <w:r>
        <w:t xml:space="preserve">Ofsted’s survey reports have detailed information about how equality and diversity have been successfully put into practice and examples of good practice. The list below is not exhaustive but gives an example of </w:t>
      </w:r>
      <w:r w:rsidR="003E5FEC">
        <w:t xml:space="preserve">the </w:t>
      </w:r>
      <w:r>
        <w:t xml:space="preserve">range of reports </w:t>
      </w:r>
      <w:r w:rsidR="003E5FEC">
        <w:t xml:space="preserve">available </w:t>
      </w:r>
      <w:r>
        <w:t>for further reference.</w:t>
      </w:r>
    </w:p>
    <w:p w:rsidR="004E6C1C" w:rsidRDefault="004E6C1C" w:rsidP="00A91307">
      <w:pPr>
        <w:pStyle w:val="Bulletsspaced"/>
        <w:numPr>
          <w:ilvl w:val="0"/>
          <w:numId w:val="0"/>
        </w:numPr>
        <w:ind w:left="927" w:hanging="360"/>
      </w:pPr>
    </w:p>
    <w:p w:rsidR="004E6C1C" w:rsidRDefault="004E6C1C" w:rsidP="000F5A0F">
      <w:pPr>
        <w:pStyle w:val="Bulletsspaced"/>
      </w:pPr>
      <w:r>
        <w:t>No place for bullying, reference no: 110179. June 2012</w:t>
      </w:r>
    </w:p>
    <w:p w:rsidR="00562362" w:rsidRDefault="00562362" w:rsidP="000F5A0F">
      <w:pPr>
        <w:pStyle w:val="Bulletsspaced"/>
      </w:pPr>
      <w:r>
        <w:t>Alternative provision, reference no:</w:t>
      </w:r>
      <w:r w:rsidRPr="003E35D1">
        <w:t xml:space="preserve"> 100233</w:t>
      </w:r>
      <w:r>
        <w:t>. June 2011</w:t>
      </w:r>
    </w:p>
    <w:p w:rsidR="00562362" w:rsidRPr="003E35D1" w:rsidRDefault="00562362" w:rsidP="000F5A0F">
      <w:pPr>
        <w:pStyle w:val="Bulletsspaced"/>
      </w:pPr>
      <w:r w:rsidRPr="00FB224D">
        <w:t>Excellence in English</w:t>
      </w:r>
      <w:r>
        <w:t>, reference no:</w:t>
      </w:r>
      <w:r w:rsidRPr="00FB224D">
        <w:t xml:space="preserve"> 100229</w:t>
      </w:r>
      <w:r>
        <w:t>.</w:t>
      </w:r>
      <w:r w:rsidRPr="00FB224D">
        <w:t xml:space="preserve"> May 2011</w:t>
      </w:r>
    </w:p>
    <w:p w:rsidR="00562362" w:rsidRPr="00FB224D" w:rsidRDefault="00562362" w:rsidP="000F5A0F">
      <w:pPr>
        <w:pStyle w:val="Bulletsspaced"/>
      </w:pPr>
      <w:r w:rsidRPr="00FB224D">
        <w:t>Girls’ career aspiration</w:t>
      </w:r>
      <w:r>
        <w:t xml:space="preserve">s, </w:t>
      </w:r>
      <w:r>
        <w:rPr>
          <w:rFonts w:cs="Tahoma"/>
        </w:rPr>
        <w:t>r</w:t>
      </w:r>
      <w:r w:rsidRPr="00FB224D">
        <w:rPr>
          <w:rFonts w:cs="Tahoma"/>
        </w:rPr>
        <w:t>eference no: 090239</w:t>
      </w:r>
      <w:r>
        <w:rPr>
          <w:rFonts w:cs="Tahoma"/>
        </w:rPr>
        <w:t>. April 2011</w:t>
      </w:r>
    </w:p>
    <w:p w:rsidR="00562362" w:rsidRPr="00FB224D" w:rsidRDefault="00562362" w:rsidP="000F5A0F">
      <w:pPr>
        <w:pStyle w:val="Bulletsspaced"/>
      </w:pPr>
      <w:r w:rsidRPr="00415BA4">
        <w:rPr>
          <w:lang/>
        </w:rPr>
        <w:t xml:space="preserve">Tackling the challenge of poor numeracy skills - why some teaching and learning adds up while other provision falls short, </w:t>
      </w:r>
      <w:r>
        <w:rPr>
          <w:lang/>
        </w:rPr>
        <w:t>r</w:t>
      </w:r>
      <w:r w:rsidRPr="00415BA4">
        <w:rPr>
          <w:lang/>
        </w:rPr>
        <w:t>eference</w:t>
      </w:r>
      <w:r w:rsidRPr="00415BA4">
        <w:rPr>
          <w:b/>
          <w:lang/>
        </w:rPr>
        <w:t xml:space="preserve">: </w:t>
      </w:r>
      <w:r w:rsidRPr="00415BA4">
        <w:rPr>
          <w:lang/>
        </w:rPr>
        <w:t>NR- 2011-15</w:t>
      </w:r>
      <w:r>
        <w:rPr>
          <w:lang/>
        </w:rPr>
        <w:t>.</w:t>
      </w:r>
      <w:r w:rsidRPr="00415BA4">
        <w:rPr>
          <w:lang/>
        </w:rPr>
        <w:t xml:space="preserve"> April 2011.</w:t>
      </w:r>
    </w:p>
    <w:p w:rsidR="00562362" w:rsidRPr="007018BB" w:rsidRDefault="00562362" w:rsidP="000F5A0F">
      <w:pPr>
        <w:pStyle w:val="Bulletsspaced"/>
      </w:pPr>
      <w:r w:rsidRPr="007018BB">
        <w:t>Removing barriers to literacy</w:t>
      </w:r>
      <w:r>
        <w:t>, reference no: 090237. January 2011</w:t>
      </w:r>
      <w:r w:rsidRPr="007018BB">
        <w:t xml:space="preserve"> </w:t>
      </w:r>
    </w:p>
    <w:p w:rsidR="00562362" w:rsidRPr="004C6639" w:rsidRDefault="00562362" w:rsidP="000F5A0F">
      <w:pPr>
        <w:pStyle w:val="Bulletsspaced"/>
      </w:pPr>
      <w:r w:rsidRPr="007018BB">
        <w:t>The special educational needs and disability revi</w:t>
      </w:r>
      <w:r>
        <w:t>ew. A statement is not enough, r</w:t>
      </w:r>
      <w:r w:rsidRPr="007018BB">
        <w:t>eference no</w:t>
      </w:r>
      <w:r w:rsidRPr="007018BB">
        <w:rPr>
          <w:b/>
        </w:rPr>
        <w:t xml:space="preserve">: </w:t>
      </w:r>
      <w:r>
        <w:t>090221</w:t>
      </w:r>
      <w:r w:rsidRPr="007018BB">
        <w:t xml:space="preserve"> 2010</w:t>
      </w:r>
      <w:r>
        <w:t>. September 2010</w:t>
      </w:r>
    </w:p>
    <w:p w:rsidR="00562362" w:rsidRPr="00261478" w:rsidRDefault="00562362" w:rsidP="000F5A0F">
      <w:pPr>
        <w:pStyle w:val="Bulletsspaced"/>
      </w:pPr>
      <w:r>
        <w:t>Equalities in action, r</w:t>
      </w:r>
      <w:r w:rsidRPr="00EA3CFB">
        <w:t>ef</w:t>
      </w:r>
      <w:r>
        <w:t>erence</w:t>
      </w:r>
      <w:r w:rsidRPr="00EA3CFB">
        <w:t xml:space="preserve"> no:</w:t>
      </w:r>
      <w:r w:rsidRPr="00EA3CFB">
        <w:rPr>
          <w:b/>
        </w:rPr>
        <w:t xml:space="preserve"> </w:t>
      </w:r>
      <w:r>
        <w:t>080272 March 2010</w:t>
      </w:r>
    </w:p>
    <w:p w:rsidR="00562362" w:rsidRPr="00EA3CFB" w:rsidRDefault="00562362" w:rsidP="000F5A0F">
      <w:pPr>
        <w:pStyle w:val="Bulletsspaced"/>
      </w:pPr>
      <w:r w:rsidRPr="00261478">
        <w:t>Reducing the numbers of young people not in education, employment or training: what works</w:t>
      </w:r>
      <w:r>
        <w:t xml:space="preserve"> and why, reference no 090236</w:t>
      </w:r>
      <w:r w:rsidRPr="00261478">
        <w:t xml:space="preserve"> 2010</w:t>
      </w:r>
    </w:p>
    <w:p w:rsidR="00562362" w:rsidRDefault="00562362" w:rsidP="000F5A0F">
      <w:pPr>
        <w:pStyle w:val="Bulletsspaced"/>
      </w:pPr>
      <w:r w:rsidRPr="00647667">
        <w:t>Characteristics of outstanding secondary schools in challenging circumstances: Ofsted 2009</w:t>
      </w:r>
    </w:p>
    <w:p w:rsidR="00562362" w:rsidRDefault="00562362" w:rsidP="000F5A0F">
      <w:pPr>
        <w:pStyle w:val="Bulletsspaced"/>
      </w:pPr>
      <w:r w:rsidRPr="00647667">
        <w:t>Twelve outstanding special schools</w:t>
      </w:r>
      <w:r>
        <w:t xml:space="preserve">. </w:t>
      </w:r>
      <w:r w:rsidRPr="00647667">
        <w:t>Excelling through inclusion</w:t>
      </w:r>
      <w:r>
        <w:t>: Ofsted 2009</w:t>
      </w:r>
    </w:p>
    <w:p w:rsidR="00562362" w:rsidRDefault="00562362" w:rsidP="000F5A0F">
      <w:pPr>
        <w:pStyle w:val="Bulletsspaced"/>
      </w:pPr>
      <w:r w:rsidRPr="00806776">
        <w:t>White boys f</w:t>
      </w:r>
      <w:r>
        <w:t>r</w:t>
      </w:r>
      <w:r w:rsidRPr="00806776">
        <w:t>om low-income backgrounds: good practi</w:t>
      </w:r>
      <w:r>
        <w:t>ce in schools, reference no 070220. July 2008</w:t>
      </w:r>
    </w:p>
    <w:p w:rsidR="00562362" w:rsidRDefault="00562362" w:rsidP="000F5A0F">
      <w:pPr>
        <w:pStyle w:val="Bulletsspaced"/>
      </w:pPr>
      <w:r w:rsidRPr="00806776">
        <w:t>Twelve outstanding secondary school</w:t>
      </w:r>
      <w:r>
        <w:t>s – excelling against the odds, reference 080240</w:t>
      </w:r>
      <w:r w:rsidRPr="00806776">
        <w:t>, Ofsted, 2009</w:t>
      </w:r>
    </w:p>
    <w:p w:rsidR="00562362" w:rsidRDefault="00562362" w:rsidP="000F5A0F">
      <w:pPr>
        <w:pStyle w:val="Bulletsspaced"/>
      </w:pPr>
      <w:r w:rsidRPr="00806776">
        <w:t>Twenty outstanding p</w:t>
      </w:r>
      <w:r>
        <w:t>r</w:t>
      </w:r>
      <w:r w:rsidRPr="00806776">
        <w:t xml:space="preserve">imary schools – excelling against </w:t>
      </w:r>
      <w:r>
        <w:t>the odds, reference 090170, Ofsted, 2009</w:t>
      </w:r>
      <w:r w:rsidRPr="00806776">
        <w:t>.</w:t>
      </w:r>
    </w:p>
    <w:p w:rsidR="00562362" w:rsidRDefault="00562362" w:rsidP="000F5A0F">
      <w:pPr>
        <w:pStyle w:val="Bulletsspaced"/>
      </w:pPr>
      <w:r w:rsidRPr="00EA3CFB">
        <w:t>Learning outside the classroom How far</w:t>
      </w:r>
      <w:r>
        <w:t xml:space="preserve"> should you go? Reference no: 070219. October 2008</w:t>
      </w:r>
    </w:p>
    <w:p w:rsidR="00562362" w:rsidRPr="00EA3CFB" w:rsidRDefault="00562362" w:rsidP="000F5A0F">
      <w:pPr>
        <w:pStyle w:val="Bulletsspaced"/>
      </w:pPr>
      <w:r>
        <w:t>Parents, carers and school, r</w:t>
      </w:r>
      <w:r w:rsidRPr="000A5B61">
        <w:t>ef</w:t>
      </w:r>
      <w:r>
        <w:t>erence</w:t>
      </w:r>
      <w:r w:rsidRPr="000A5B61">
        <w:t xml:space="preserve"> no</w:t>
      </w:r>
      <w:r w:rsidRPr="00070EF6">
        <w:rPr>
          <w:b/>
        </w:rPr>
        <w:t xml:space="preserve">: </w:t>
      </w:r>
      <w:r w:rsidRPr="00070EF6">
        <w:t>070018</w:t>
      </w:r>
      <w:r>
        <w:t xml:space="preserve">. Ofsted </w:t>
      </w:r>
      <w:r w:rsidRPr="00070EF6">
        <w:t>July 2007.</w:t>
      </w:r>
    </w:p>
    <w:p w:rsidR="009D7479" w:rsidRDefault="00562362" w:rsidP="000F5A0F">
      <w:pPr>
        <w:pStyle w:val="Bulletsspaced-lastbullet"/>
      </w:pPr>
      <w:r w:rsidRPr="00EA3CFB">
        <w:t>Inclusion: does it matter where pupils are taught? Provision and outcomes in different settings for pupils with learning di</w:t>
      </w:r>
      <w:r>
        <w:t>fficulties and disabilities. Reference no: 2535 J</w:t>
      </w:r>
      <w:r w:rsidRPr="00EA3CFB">
        <w:t>uly 2006</w:t>
      </w:r>
    </w:p>
    <w:p w:rsidR="00F428D6" w:rsidRPr="00F428D6" w:rsidRDefault="00994F19" w:rsidP="008A7BC1">
      <w:pPr>
        <w:pStyle w:val="Heading1"/>
      </w:pPr>
      <w:r>
        <w:rPr>
          <w:lang w:eastAsia="en-US"/>
        </w:rPr>
        <w:br w:type="page"/>
      </w:r>
      <w:bookmarkStart w:id="19" w:name="_Toc343507719"/>
      <w:r w:rsidR="00F428D6" w:rsidRPr="00F428D6">
        <w:lastRenderedPageBreak/>
        <w:t xml:space="preserve">Annex 4 </w:t>
      </w:r>
      <w:r w:rsidR="001E6FDA">
        <w:t xml:space="preserve">– </w:t>
      </w:r>
      <w:r w:rsidR="00F428D6" w:rsidRPr="00F428D6">
        <w:t>Reporting on equality characteristics and groups</w:t>
      </w:r>
      <w:bookmarkEnd w:id="19"/>
    </w:p>
    <w:p w:rsidR="00F428D6" w:rsidRPr="00F428D6" w:rsidRDefault="00F428D6" w:rsidP="008A7BC1">
      <w:pPr>
        <w:pStyle w:val="Heading3"/>
      </w:pPr>
      <w:bookmarkStart w:id="20" w:name="_Toc343507720"/>
      <w:r w:rsidRPr="00F428D6">
        <w:t>Context</w:t>
      </w:r>
      <w:bookmarkEnd w:id="20"/>
    </w:p>
    <w:p w:rsidR="00F428D6" w:rsidRPr="00F428D6" w:rsidRDefault="00F428D6" w:rsidP="008A7BC1">
      <w:pPr>
        <w:pStyle w:val="Unnumberedparagraph"/>
        <w:rPr>
          <w:lang w:eastAsia="en-GB"/>
        </w:rPr>
      </w:pPr>
      <w:r w:rsidRPr="00F428D6">
        <w:rPr>
          <w:lang w:eastAsia="en-GB"/>
        </w:rPr>
        <w:t xml:space="preserve">The reviewing of reports by the equalities and human rights team, </w:t>
      </w:r>
      <w:r w:rsidR="00AC11D2">
        <w:rPr>
          <w:lang w:eastAsia="en-GB"/>
        </w:rPr>
        <w:t xml:space="preserve">and </w:t>
      </w:r>
      <w:r w:rsidRPr="00F428D6">
        <w:rPr>
          <w:lang w:eastAsia="en-GB"/>
        </w:rPr>
        <w:t>the quality assurance and complaints teams</w:t>
      </w:r>
      <w:r w:rsidR="00AC11D2">
        <w:rPr>
          <w:lang w:eastAsia="en-GB"/>
        </w:rPr>
        <w:t>,</w:t>
      </w:r>
      <w:r w:rsidRPr="00F428D6">
        <w:rPr>
          <w:lang w:eastAsia="en-GB"/>
        </w:rPr>
        <w:t xml:space="preserve"> has highlighted two issues relating to the reporting of groups and characteristics, including the protected characteristics as defined in the Equality Act 2010. </w:t>
      </w:r>
    </w:p>
    <w:p w:rsidR="00F428D6" w:rsidRPr="00F428D6" w:rsidRDefault="00F428D6" w:rsidP="008A7BC1">
      <w:pPr>
        <w:pStyle w:val="Heading3"/>
      </w:pPr>
      <w:bookmarkStart w:id="21" w:name="_Toc343507721"/>
      <w:r w:rsidRPr="00F428D6">
        <w:t>Issue</w:t>
      </w:r>
      <w:bookmarkEnd w:id="21"/>
    </w:p>
    <w:p w:rsidR="00F428D6" w:rsidRPr="00F428D6" w:rsidRDefault="00F428D6" w:rsidP="008A7BC1">
      <w:pPr>
        <w:pStyle w:val="Unnumberedparagraph"/>
        <w:rPr>
          <w:lang w:eastAsia="en-GB"/>
        </w:rPr>
      </w:pPr>
      <w:r w:rsidRPr="00F428D6">
        <w:rPr>
          <w:lang w:eastAsia="en-GB"/>
        </w:rPr>
        <w:t>The two issues are:</w:t>
      </w:r>
    </w:p>
    <w:p w:rsidR="00F428D6" w:rsidRPr="00F428D6" w:rsidRDefault="00F428D6" w:rsidP="008A7BC1">
      <w:pPr>
        <w:pStyle w:val="Bulletsspaced"/>
        <w:rPr>
          <w:lang w:eastAsia="en-GB"/>
        </w:rPr>
      </w:pPr>
      <w:r w:rsidRPr="00F428D6">
        <w:rPr>
          <w:lang w:eastAsia="en-GB"/>
        </w:rPr>
        <w:t xml:space="preserve">How to protect the identity of an individual or individuals where numbers are low. </w:t>
      </w:r>
    </w:p>
    <w:p w:rsidR="00F428D6" w:rsidRPr="00F428D6" w:rsidRDefault="00F428D6" w:rsidP="008A7BC1">
      <w:pPr>
        <w:pStyle w:val="Bulletsspaced-lastbullet"/>
        <w:rPr>
          <w:lang w:eastAsia="en-GB"/>
        </w:rPr>
      </w:pPr>
      <w:r w:rsidRPr="00F428D6">
        <w:rPr>
          <w:lang w:eastAsia="en-GB"/>
        </w:rPr>
        <w:t>How to report on the groups and/or characteristics in a sensitive and clear way that identifies issues facing the individuals</w:t>
      </w:r>
      <w:r w:rsidR="00552CDA">
        <w:rPr>
          <w:lang w:eastAsia="en-GB"/>
        </w:rPr>
        <w:t>,</w:t>
      </w:r>
      <w:r w:rsidRPr="00F428D6">
        <w:rPr>
          <w:lang w:eastAsia="en-GB"/>
        </w:rPr>
        <w:t xml:space="preserve"> and avoids possible reinforcement of stereotyping that it is intended to highlight for action</w:t>
      </w:r>
      <w:r w:rsidR="00030C6A">
        <w:rPr>
          <w:rStyle w:val="FootnoteReference"/>
          <w:lang w:eastAsia="en-GB"/>
        </w:rPr>
        <w:footnoteReference w:id="12"/>
      </w:r>
      <w:r w:rsidRPr="00F428D6">
        <w:rPr>
          <w:lang w:eastAsia="en-GB"/>
        </w:rPr>
        <w:t>.</w:t>
      </w:r>
    </w:p>
    <w:p w:rsidR="00F428D6" w:rsidRPr="00FE4380" w:rsidRDefault="00F428D6" w:rsidP="00FE4380">
      <w:pPr>
        <w:pStyle w:val="Heading3"/>
      </w:pPr>
      <w:bookmarkStart w:id="22" w:name="_Toc343507723"/>
      <w:r w:rsidRPr="00FE4380">
        <w:t>Guidance</w:t>
      </w:r>
      <w:bookmarkEnd w:id="22"/>
    </w:p>
    <w:p w:rsidR="00F428D6" w:rsidRPr="00F428D6" w:rsidRDefault="00F428D6" w:rsidP="008A7BC1">
      <w:pPr>
        <w:pStyle w:val="Unnumberedparagraph"/>
        <w:rPr>
          <w:lang w:eastAsia="en-GB"/>
        </w:rPr>
      </w:pPr>
      <w:r w:rsidRPr="00F428D6">
        <w:rPr>
          <w:lang w:eastAsia="en-GB"/>
        </w:rPr>
        <w:t>Inspection guidance, training and updates should continue to emphasise that care must be taken by inspectors when reporting on equality for individuals and/or very small groups to safeguard the</w:t>
      </w:r>
      <w:r w:rsidR="00137863">
        <w:rPr>
          <w:lang w:eastAsia="en-GB"/>
        </w:rPr>
        <w:t>ir</w:t>
      </w:r>
      <w:r w:rsidRPr="00F428D6">
        <w:rPr>
          <w:lang w:eastAsia="en-GB"/>
        </w:rPr>
        <w:t xml:space="preserve"> identity. This applies to the description or background information of a provider and the reporting of outcomes. The writing guidance on reporting has advice on how to report on proportions.</w:t>
      </w:r>
    </w:p>
    <w:p w:rsidR="00F428D6" w:rsidRPr="00F428D6" w:rsidRDefault="00F428D6" w:rsidP="008A7BC1">
      <w:pPr>
        <w:pStyle w:val="Unnumberedparagraph"/>
        <w:rPr>
          <w:lang w:eastAsia="en-GB"/>
        </w:rPr>
      </w:pPr>
      <w:r w:rsidRPr="00F428D6">
        <w:rPr>
          <w:lang w:eastAsia="en-GB"/>
        </w:rPr>
        <w:t>For example</w:t>
      </w:r>
      <w:r w:rsidR="003D39B7">
        <w:rPr>
          <w:lang w:eastAsia="en-GB"/>
        </w:rPr>
        <w:t>,</w:t>
      </w:r>
      <w:r w:rsidRPr="00F428D6">
        <w:rPr>
          <w:lang w:eastAsia="en-GB"/>
        </w:rPr>
        <w:t xml:space="preserve"> omitting numbers if they are small such as ‘</w:t>
      </w:r>
      <w:r w:rsidRPr="00F428D6">
        <w:rPr>
          <w:i/>
          <w:lang w:eastAsia="en-GB"/>
        </w:rPr>
        <w:t>the home caters very well for the [three] disabled children it looks after’</w:t>
      </w:r>
      <w:r w:rsidRPr="00F428D6">
        <w:rPr>
          <w:lang w:eastAsia="en-GB"/>
        </w:rPr>
        <w:t>, as long as the meaning is not lost and it does not give a misleading impression.</w:t>
      </w:r>
    </w:p>
    <w:p w:rsidR="00F428D6" w:rsidRPr="00F428D6" w:rsidRDefault="00F428D6" w:rsidP="008A7BC1">
      <w:pPr>
        <w:pStyle w:val="Unnumberedparagraph"/>
        <w:rPr>
          <w:lang w:eastAsia="en-GB"/>
        </w:rPr>
      </w:pPr>
      <w:r w:rsidRPr="00F428D6">
        <w:rPr>
          <w:lang w:eastAsia="en-GB"/>
        </w:rPr>
        <w:t xml:space="preserve">The section in Ofsted’s style guide on </w:t>
      </w:r>
      <w:r w:rsidRPr="00F428D6">
        <w:rPr>
          <w:i/>
          <w:lang w:eastAsia="en-GB"/>
        </w:rPr>
        <w:t>Inclusive language</w:t>
      </w:r>
      <w:r w:rsidRPr="00F428D6">
        <w:rPr>
          <w:lang w:eastAsia="en-GB"/>
        </w:rPr>
        <w:t>, paragraphs 57 to 68, and the glossary provide clear guidance on this</w:t>
      </w:r>
      <w:r w:rsidR="00994F19">
        <w:rPr>
          <w:lang w:eastAsia="en-GB"/>
        </w:rPr>
        <w:t>:</w:t>
      </w:r>
    </w:p>
    <w:p w:rsidR="00F428D6" w:rsidRDefault="00F428D6" w:rsidP="008A7BC1">
      <w:pPr>
        <w:pStyle w:val="Quote"/>
        <w:ind w:left="720"/>
        <w:rPr>
          <w:lang w:eastAsia="en-GB"/>
        </w:rPr>
      </w:pPr>
      <w:r w:rsidRPr="00F428D6">
        <w:rPr>
          <w:lang w:eastAsia="en-GB"/>
        </w:rPr>
        <w:t xml:space="preserve">Language can play an important role in promoting (or undermining) social equalities. Using inclusive language avoids inadvertent bias. There continues to be debate among interested groups about the most appropriate vocabulary, and we recognise that some people will prefer terms other than those approved by Ofsted and recommended in this guide. The terminology used here reflects the language used in relevant legislation and associated codes of practice. This guide was prepared following consultation involving Age Concern England, the Equality and Human Rights Commission (EHRC), Mencap, Participation Works, the Royal National Institute of Blind People </w:t>
      </w:r>
      <w:r w:rsidRPr="00F428D6">
        <w:rPr>
          <w:lang w:eastAsia="en-GB"/>
        </w:rPr>
        <w:lastRenderedPageBreak/>
        <w:t xml:space="preserve">(RNIB), the Royal National Institute for Deaf People (RNID) and Stonewall. It also reflects Ofsted’s equality </w:t>
      </w:r>
      <w:r w:rsidR="005808DE">
        <w:rPr>
          <w:lang w:eastAsia="en-GB"/>
        </w:rPr>
        <w:t>objectives</w:t>
      </w:r>
      <w:r w:rsidRPr="00F428D6">
        <w:rPr>
          <w:lang w:eastAsia="en-GB"/>
        </w:rPr>
        <w:t>, which were subject to extensive consultation. Please see the Glossary at the end of the guide for information on specific terms not mentioned in the following paragraphs.</w:t>
      </w:r>
    </w:p>
    <w:p w:rsidR="00F428D6" w:rsidRPr="00F428D6" w:rsidRDefault="00F428D6" w:rsidP="008A7BC1">
      <w:pPr>
        <w:pStyle w:val="Quote"/>
        <w:ind w:left="720"/>
        <w:rPr>
          <w:u w:val="single"/>
          <w:lang w:eastAsia="en-GB"/>
        </w:rPr>
      </w:pPr>
      <w:r w:rsidRPr="00F428D6">
        <w:rPr>
          <w:lang w:eastAsia="en-GB"/>
        </w:rPr>
        <w:t>Treat people as individuals; no race, class, gender, sexual orientation, age group or religion should be stereotyped or arbitrarily given a leading or subordinate role.</w:t>
      </w:r>
    </w:p>
    <w:p w:rsidR="00F428D6" w:rsidRPr="00F428D6" w:rsidRDefault="00F428D6" w:rsidP="008A7BC1">
      <w:pPr>
        <w:pStyle w:val="Quote"/>
        <w:ind w:left="720"/>
        <w:rPr>
          <w:lang w:eastAsia="en-GB"/>
        </w:rPr>
      </w:pPr>
      <w:r w:rsidRPr="00F428D6">
        <w:rPr>
          <w:lang w:eastAsia="en-GB"/>
        </w:rPr>
        <w:t>If writing about adults, refer to ‘men’ and ‘women’. Use ‘male’ and ‘female’ only where the age range referred to includes adults, young people and children.</w:t>
      </w:r>
    </w:p>
    <w:p w:rsidR="00F428D6" w:rsidRDefault="00F428D6" w:rsidP="008A7BC1">
      <w:pPr>
        <w:pStyle w:val="Quote"/>
        <w:ind w:left="720"/>
        <w:rPr>
          <w:lang w:eastAsia="en-GB"/>
        </w:rPr>
      </w:pPr>
      <w:r w:rsidRPr="00F428D6">
        <w:rPr>
          <w:lang w:eastAsia="en-GB"/>
        </w:rPr>
        <w:t>Ofsted prefers to use the terms ‘disabled person’ and ‘disabled people’ rather than ‘person with a disability’ and ‘people with disabilities’. The social model of disability explains that impairment does not have to lead to disability. Disability occurs when people are excluded, because of their impairment, from something that other people in society take for granted, such as the opportunity to attend an event or take part in an activity, to be kept informed or make use of a service, to live independently or earn a living, or just to make choices for themselves.</w:t>
      </w:r>
    </w:p>
    <w:p w:rsidR="00F428D6" w:rsidRDefault="00F428D6" w:rsidP="008A7BC1">
      <w:pPr>
        <w:pStyle w:val="Quote"/>
        <w:ind w:left="720"/>
        <w:rPr>
          <w:lang w:eastAsia="en-GB"/>
        </w:rPr>
      </w:pPr>
      <w:r w:rsidRPr="00F428D6">
        <w:rPr>
          <w:lang w:eastAsia="en-GB"/>
        </w:rPr>
        <w:t xml:space="preserve">Ofsted’s current position is that the term ‘minority ethnic’ is preferable to ‘black and minority ethnic’ as a collective term for ethnic groups that are minorities in </w:t>
      </w:r>
      <w:smartTag w:uri="urn:schemas-microsoft-com:office:smarttags" w:element="country-region">
        <w:smartTag w:uri="urn:schemas-microsoft-com:office:smarttags" w:element="place">
          <w:r w:rsidRPr="00F428D6">
            <w:rPr>
              <w:lang w:eastAsia="en-GB"/>
            </w:rPr>
            <w:t>Britain</w:t>
          </w:r>
        </w:smartTag>
      </w:smartTag>
      <w:r w:rsidRPr="00F428D6">
        <w:rPr>
          <w:lang w:eastAsia="en-GB"/>
        </w:rPr>
        <w:t>. When referring to black people or groups, it is appropriate to use ‘Black’, with an initial capital, as this form has become a signifier of social, cultural and political identity.</w:t>
      </w:r>
    </w:p>
    <w:p w:rsidR="005A2A82" w:rsidRDefault="00F428D6" w:rsidP="008A7BC1">
      <w:pPr>
        <w:pStyle w:val="Quote"/>
        <w:ind w:left="720"/>
        <w:rPr>
          <w:lang w:eastAsia="en-GB"/>
        </w:rPr>
      </w:pPr>
      <w:r w:rsidRPr="00F428D6">
        <w:rPr>
          <w:lang w:eastAsia="en-GB"/>
        </w:rPr>
        <w:t>‘Black’ and ‘White’ should both have initial capitals when they form part of a specific census category, such as ‘Black Caribbean’ or ‘Any other White background’. These categories may appear in questionnaires and survey results.</w:t>
      </w:r>
    </w:p>
    <w:p w:rsidR="00F428D6" w:rsidRDefault="00F428D6" w:rsidP="008A7BC1">
      <w:pPr>
        <w:pStyle w:val="Quote"/>
        <w:ind w:left="720"/>
        <w:rPr>
          <w:lang w:eastAsia="en-GB"/>
        </w:rPr>
      </w:pPr>
      <w:r w:rsidRPr="00F428D6">
        <w:rPr>
          <w:lang w:eastAsia="en-GB"/>
        </w:rPr>
        <w:t>Gypsy and Traveller should have initial capitals.</w:t>
      </w:r>
    </w:p>
    <w:p w:rsidR="00F428D6" w:rsidRDefault="00F428D6" w:rsidP="008A7BC1">
      <w:pPr>
        <w:pStyle w:val="Quote"/>
        <w:ind w:left="720"/>
        <w:rPr>
          <w:lang w:eastAsia="en-GB"/>
        </w:rPr>
      </w:pPr>
      <w:bookmarkStart w:id="23" w:name="OLE_LINK5"/>
      <w:bookmarkStart w:id="24" w:name="OLE_LINK6"/>
      <w:r w:rsidRPr="00F428D6">
        <w:rPr>
          <w:lang w:eastAsia="en-GB"/>
        </w:rPr>
        <w:t>When referring to a person’s sexual orientation, it is appropriate to describe someone as heterosexual, lesbian, gay or bisexual. The term ‘homosexual’ is not used. Stonewall recommends that the word ‘lesbian’ should be used as a noun (for example, ‘she is a lesbian’), and that the words ‘gay’ and ‘bisexual’ should only be used as adjectives. When referring to a group or community of people who are not heterosexual, it is appropriate to use the collective term ‘lesbian, gay and bisexual people’. This is often abbreviated to LGB people, but Ofsted style prefers to avoid abbreviations where possible.</w:t>
      </w:r>
    </w:p>
    <w:p w:rsidR="00F428D6" w:rsidRDefault="00F428D6" w:rsidP="008A7BC1">
      <w:pPr>
        <w:pStyle w:val="Quote"/>
        <w:ind w:left="720"/>
        <w:rPr>
          <w:lang w:eastAsia="en-GB"/>
        </w:rPr>
      </w:pPr>
      <w:r w:rsidRPr="00F428D6">
        <w:rPr>
          <w:lang w:eastAsia="en-GB"/>
        </w:rPr>
        <w:t>‘Transgender’ is an inclusive term used to reflect the diversity of gender identity and expression. Because of a related history of inequality, it has sometimes been added to ‘lesbian, gay and bisexual’ (see above) to produce ‘lesbian, gay, bisexual and transgendered people’. However, this is best avoided, as gender and sexual orientation are different categories. In equalities monitoring questionnaires, they should appear in separate sections.</w:t>
      </w:r>
    </w:p>
    <w:bookmarkEnd w:id="23"/>
    <w:bookmarkEnd w:id="24"/>
    <w:p w:rsidR="00F428D6" w:rsidRDefault="00F428D6" w:rsidP="008A7BC1">
      <w:pPr>
        <w:pStyle w:val="Quote"/>
        <w:ind w:left="720"/>
        <w:rPr>
          <w:lang w:eastAsia="en-GB"/>
        </w:rPr>
      </w:pPr>
      <w:r w:rsidRPr="00F428D6">
        <w:rPr>
          <w:lang w:eastAsia="en-GB"/>
        </w:rPr>
        <w:lastRenderedPageBreak/>
        <w:t>Refer to ‘older people’, not ‘old people’ or ‘the elderly’.</w:t>
      </w:r>
    </w:p>
    <w:p w:rsidR="00F428D6" w:rsidRDefault="00F428D6" w:rsidP="008A7BC1">
      <w:pPr>
        <w:pStyle w:val="Quote"/>
        <w:ind w:left="720"/>
        <w:rPr>
          <w:lang w:eastAsia="en-GB"/>
        </w:rPr>
      </w:pPr>
      <w:r w:rsidRPr="00F428D6">
        <w:rPr>
          <w:lang w:eastAsia="en-GB"/>
        </w:rPr>
        <w:t>From age 14, refer to ‘young people’, not ‘children’.</w:t>
      </w:r>
    </w:p>
    <w:p w:rsidR="00F428D6" w:rsidRPr="00F428D6" w:rsidRDefault="00F428D6" w:rsidP="008A7BC1">
      <w:pPr>
        <w:pStyle w:val="Quote"/>
        <w:ind w:left="720"/>
        <w:rPr>
          <w:lang w:eastAsia="en-GB"/>
        </w:rPr>
      </w:pPr>
      <w:bookmarkStart w:id="25" w:name="OLE_LINK9"/>
      <w:bookmarkStart w:id="26" w:name="OLE_LINK10"/>
      <w:r w:rsidRPr="00F428D6">
        <w:rPr>
          <w:lang w:eastAsia="en-GB"/>
        </w:rPr>
        <w:t>Referring to ‘vulnerable young people’ or ‘hard-to-reach groups’ may give the impression that these are innate characteristics. At the first mention, it is better to refer instead to ‘young people whose circumstances have made them vulnerable’ or ‘groups whose circumstances have made them hard to reach’.</w:t>
      </w:r>
    </w:p>
    <w:bookmarkEnd w:id="25"/>
    <w:bookmarkEnd w:id="26"/>
    <w:p w:rsidR="00F428D6" w:rsidRPr="00F428D6" w:rsidRDefault="00F428D6" w:rsidP="008A7BC1">
      <w:pPr>
        <w:pStyle w:val="Unnumberedparagraph"/>
        <w:rPr>
          <w:lang w:eastAsia="en-GB"/>
        </w:rPr>
      </w:pPr>
      <w:r w:rsidRPr="00F428D6">
        <w:rPr>
          <w:lang w:eastAsia="en-GB"/>
        </w:rPr>
        <w:t>To avoid giving offence and possible idea of stereotyping, use of ‘The’ in relation to people or groups of people requires forethought and care about the meaning conveyed, even though this may be a nuance. For example ‘</w:t>
      </w:r>
      <w:r w:rsidRPr="00F428D6">
        <w:rPr>
          <w:i/>
          <w:lang w:eastAsia="en-GB"/>
        </w:rPr>
        <w:t xml:space="preserve">the Poles represent a large section of the community’ </w:t>
      </w:r>
      <w:r w:rsidRPr="00F428D6">
        <w:rPr>
          <w:lang w:eastAsia="en-GB"/>
        </w:rPr>
        <w:t>might be more sensitively expressed as ‘</w:t>
      </w:r>
      <w:r w:rsidRPr="00F428D6">
        <w:rPr>
          <w:i/>
          <w:lang w:eastAsia="en-GB"/>
        </w:rPr>
        <w:t>The town/area has a large Polish community’</w:t>
      </w:r>
      <w:r w:rsidRPr="00F428D6">
        <w:rPr>
          <w:lang w:eastAsia="en-GB"/>
        </w:rPr>
        <w:t>.</w:t>
      </w:r>
    </w:p>
    <w:p w:rsidR="00F428D6" w:rsidRPr="00F428D6" w:rsidRDefault="00F428D6" w:rsidP="008A7BC1">
      <w:pPr>
        <w:pStyle w:val="Heading3"/>
      </w:pPr>
      <w:bookmarkStart w:id="27" w:name="_Toc343507724"/>
      <w:r w:rsidRPr="00F428D6">
        <w:t xml:space="preserve">Protected </w:t>
      </w:r>
      <w:r w:rsidR="00994F19">
        <w:t>c</w:t>
      </w:r>
      <w:r w:rsidR="00994F19" w:rsidRPr="00F428D6">
        <w:t>haracteristics</w:t>
      </w:r>
      <w:bookmarkEnd w:id="27"/>
    </w:p>
    <w:p w:rsidR="00F428D6" w:rsidRPr="00F428D6" w:rsidRDefault="00F428D6" w:rsidP="008A7BC1">
      <w:pPr>
        <w:pStyle w:val="Unnumberedparagraph"/>
        <w:rPr>
          <w:lang w:eastAsia="en-GB"/>
        </w:rPr>
      </w:pPr>
      <w:r w:rsidRPr="00F428D6">
        <w:rPr>
          <w:lang w:eastAsia="en-GB"/>
        </w:rPr>
        <w:t>The following are the protected characteristics under the Equality Act 2010:</w:t>
      </w:r>
    </w:p>
    <w:p w:rsidR="00F428D6" w:rsidRPr="00F428D6" w:rsidRDefault="00F428D6" w:rsidP="008A7BC1">
      <w:pPr>
        <w:pStyle w:val="Bulletsspaced"/>
        <w:rPr>
          <w:lang w:eastAsia="en-GB"/>
        </w:rPr>
      </w:pPr>
      <w:r w:rsidRPr="00F428D6">
        <w:rPr>
          <w:lang w:eastAsia="en-GB"/>
        </w:rPr>
        <w:t>age</w:t>
      </w:r>
    </w:p>
    <w:p w:rsidR="00F428D6" w:rsidRPr="00F428D6" w:rsidRDefault="00F428D6" w:rsidP="008A7BC1">
      <w:pPr>
        <w:pStyle w:val="Bulletsspaced"/>
        <w:rPr>
          <w:lang w:eastAsia="en-GB"/>
        </w:rPr>
      </w:pPr>
      <w:r w:rsidRPr="00F428D6">
        <w:rPr>
          <w:lang w:eastAsia="en-GB"/>
        </w:rPr>
        <w:t>disability</w:t>
      </w:r>
    </w:p>
    <w:p w:rsidR="00F428D6" w:rsidRPr="00F428D6" w:rsidRDefault="00F428D6" w:rsidP="008A7BC1">
      <w:pPr>
        <w:pStyle w:val="Bulletsspaced"/>
        <w:rPr>
          <w:lang w:eastAsia="en-GB"/>
        </w:rPr>
      </w:pPr>
      <w:r w:rsidRPr="00F428D6">
        <w:rPr>
          <w:lang w:eastAsia="en-GB"/>
        </w:rPr>
        <w:t>gender reassignment</w:t>
      </w:r>
    </w:p>
    <w:p w:rsidR="00F428D6" w:rsidRPr="00F428D6" w:rsidRDefault="00F428D6" w:rsidP="008A7BC1">
      <w:pPr>
        <w:pStyle w:val="Bulletsspaced"/>
        <w:rPr>
          <w:lang w:eastAsia="en-GB"/>
        </w:rPr>
      </w:pPr>
      <w:r w:rsidRPr="00F428D6">
        <w:rPr>
          <w:lang w:eastAsia="en-GB"/>
        </w:rPr>
        <w:t>marriage and civil partnership</w:t>
      </w:r>
    </w:p>
    <w:p w:rsidR="00F428D6" w:rsidRPr="00F428D6" w:rsidRDefault="00F428D6" w:rsidP="008A7BC1">
      <w:pPr>
        <w:pStyle w:val="Bulletsspaced"/>
        <w:rPr>
          <w:lang w:eastAsia="en-GB"/>
        </w:rPr>
      </w:pPr>
      <w:r w:rsidRPr="00F428D6">
        <w:rPr>
          <w:lang w:eastAsia="en-GB"/>
        </w:rPr>
        <w:t>pregnancy and maternity</w:t>
      </w:r>
    </w:p>
    <w:p w:rsidR="00F428D6" w:rsidRPr="00F428D6" w:rsidRDefault="00F428D6" w:rsidP="008A7BC1">
      <w:pPr>
        <w:pStyle w:val="Bulletsspaced"/>
        <w:rPr>
          <w:lang w:eastAsia="en-GB"/>
        </w:rPr>
      </w:pPr>
      <w:r w:rsidRPr="00F428D6">
        <w:rPr>
          <w:lang w:eastAsia="en-GB"/>
        </w:rPr>
        <w:t>race</w:t>
      </w:r>
      <w:r w:rsidRPr="00F428D6">
        <w:rPr>
          <w:vertAlign w:val="superscript"/>
          <w:lang w:eastAsia="en-GB"/>
        </w:rPr>
        <w:footnoteReference w:id="13"/>
      </w:r>
    </w:p>
    <w:p w:rsidR="00F428D6" w:rsidRPr="00F428D6" w:rsidRDefault="00F428D6" w:rsidP="008A7BC1">
      <w:pPr>
        <w:pStyle w:val="Bulletsspaced"/>
        <w:rPr>
          <w:lang w:eastAsia="en-GB"/>
        </w:rPr>
      </w:pPr>
      <w:r w:rsidRPr="00F428D6">
        <w:rPr>
          <w:lang w:eastAsia="en-GB"/>
        </w:rPr>
        <w:t>religion or belief</w:t>
      </w:r>
    </w:p>
    <w:p w:rsidR="00F428D6" w:rsidRPr="00F428D6" w:rsidRDefault="00F428D6" w:rsidP="008A7BC1">
      <w:pPr>
        <w:pStyle w:val="Bulletsspaced"/>
        <w:rPr>
          <w:lang w:eastAsia="en-GB"/>
        </w:rPr>
      </w:pPr>
      <w:r w:rsidRPr="00F428D6">
        <w:rPr>
          <w:lang w:eastAsia="en-GB"/>
        </w:rPr>
        <w:t>sex</w:t>
      </w:r>
    </w:p>
    <w:p w:rsidR="00F428D6" w:rsidRPr="00F428D6" w:rsidRDefault="00F428D6" w:rsidP="008A7BC1">
      <w:pPr>
        <w:pStyle w:val="Bulletsspaced-lastbullet"/>
        <w:rPr>
          <w:lang w:eastAsia="en-GB"/>
        </w:rPr>
      </w:pPr>
      <w:r w:rsidRPr="00F428D6">
        <w:rPr>
          <w:lang w:eastAsia="en-GB"/>
        </w:rPr>
        <w:t>sexual orientation.</w:t>
      </w:r>
    </w:p>
    <w:p w:rsidR="00F428D6" w:rsidRPr="00F428D6" w:rsidRDefault="00F428D6" w:rsidP="008A7BC1">
      <w:pPr>
        <w:pStyle w:val="Unnumberedparagraph"/>
      </w:pPr>
      <w:r w:rsidRPr="00F428D6">
        <w:rPr>
          <w:lang w:eastAsia="en-GB"/>
        </w:rPr>
        <w:t>The protected characteristics of ‘age’ and ‘marriage and civil partnerships’ do not apply to schools.</w:t>
      </w:r>
    </w:p>
    <w:sectPr w:rsidR="00F428D6" w:rsidRPr="00F428D6" w:rsidSect="008A7BC1">
      <w:headerReference w:type="even" r:id="rId23"/>
      <w:headerReference w:type="default" r:id="rId24"/>
      <w:footerReference w:type="even" r:id="rId25"/>
      <w:footerReference w:type="default" r:id="rId26"/>
      <w:headerReference w:type="first" r:id="rId27"/>
      <w:pgSz w:w="11899" w:h="16838"/>
      <w:pgMar w:top="1560" w:right="1418" w:bottom="1134"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179" w:rsidRDefault="008F1179">
      <w:pPr>
        <w:pStyle w:val="Tabletext-left"/>
      </w:pPr>
      <w:r>
        <w:separator/>
      </w:r>
    </w:p>
    <w:p w:rsidR="008F1179" w:rsidRDefault="008F1179"/>
    <w:p w:rsidR="008F1179" w:rsidRDefault="008F1179"/>
  </w:endnote>
  <w:endnote w:type="continuationSeparator" w:id="0">
    <w:p w:rsidR="008F1179" w:rsidRDefault="008F1179">
      <w:pPr>
        <w:pStyle w:val="Tabletext-left"/>
      </w:pPr>
      <w:r>
        <w:continuationSeparator/>
      </w:r>
    </w:p>
    <w:p w:rsidR="008F1179" w:rsidRDefault="008F1179"/>
    <w:p w:rsidR="008F1179" w:rsidRDefault="008F117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7" w:rsidRDefault="00A913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0F" w:rsidRDefault="00B40E0F" w:rsidP="00A32CE2">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5.25pt">
          <v:imagedata r:id="rId1" o:title="361 ofsted"/>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7" w:rsidRDefault="00A9130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B40E0F" w:rsidTr="006B1F60">
      <w:tblPrEx>
        <w:tblCellMar>
          <w:top w:w="0" w:type="dxa"/>
          <w:bottom w:w="0" w:type="dxa"/>
        </w:tblCellMar>
      </w:tblPrEx>
      <w:trPr>
        <w:cantSplit/>
        <w:trHeight w:val="2970"/>
      </w:trPr>
      <w:tc>
        <w:tcPr>
          <w:tcW w:w="9279" w:type="dxa"/>
          <w:gridSpan w:val="2"/>
        </w:tcPr>
        <w:p w:rsidR="00B40E0F" w:rsidRPr="00AB2A72" w:rsidRDefault="00B40E0F" w:rsidP="008F1607">
          <w:pPr>
            <w:pStyle w:val="Copyright"/>
            <w:rPr>
              <w:color w:val="auto"/>
            </w:rPr>
          </w:pPr>
          <w:r w:rsidRPr="00AB2A72">
            <w:rPr>
              <w:color w:val="auto"/>
            </w:rPr>
            <w:t xml:space="preserve">The Office for Standards in Education, Children's Services and Skills (Ofsted) regulates and inspects </w:t>
          </w:r>
          <w:r w:rsidRPr="00AB2A72">
            <w:rPr>
              <w:rFonts w:cs="Tahoma"/>
              <w:color w:val="auto"/>
              <w:lang/>
            </w:rPr>
            <w:t>to achieve excellence in the care of children and young people, and in education and skills for learners of all ages. It regulates and inspects</w:t>
          </w:r>
          <w:r w:rsidRPr="00AB2A72">
            <w:rPr>
              <w:color w:val="auto"/>
            </w:rPr>
            <w:t xml:space="preserve"> childcare and children's social care, and inspects </w:t>
          </w:r>
          <w:r w:rsidRPr="00AB2A72">
            <w:rPr>
              <w:rFonts w:cs="Tahoma"/>
            </w:rPr>
            <w:t xml:space="preserve">the </w:t>
          </w:r>
          <w:r w:rsidRPr="00AB2A72">
            <w:t>Children and Family Court Advisory Support Service (</w:t>
          </w:r>
          <w:r w:rsidRPr="00AB2A72">
            <w:rPr>
              <w:color w:val="auto"/>
            </w:rPr>
            <w:t xml:space="preserve">Cafcass), schools, colleges, initial teacher training, work-based learning and skills training, adult and community learning, and education and training in prisons and other secure establishments. It </w:t>
          </w:r>
          <w:r>
            <w:rPr>
              <w:color w:val="auto"/>
            </w:rPr>
            <w:t>assesses</w:t>
          </w:r>
          <w:r w:rsidRPr="00AB2A72">
            <w:rPr>
              <w:color w:val="auto"/>
            </w:rPr>
            <w:t xml:space="preserve"> council children’s services, and inspects services for looked after children, safeguarding and child protection.</w:t>
          </w:r>
        </w:p>
        <w:p w:rsidR="00B40E0F" w:rsidRDefault="00B40E0F" w:rsidP="008F1607">
          <w:pPr>
            <w:pStyle w:val="Copyrigh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B40E0F" w:rsidRPr="00F05402" w:rsidRDefault="00B40E0F" w:rsidP="008F1607">
          <w:pPr>
            <w:pStyle w:val="Copyrigh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B40E0F" w:rsidRDefault="00B40E0F" w:rsidP="008F1607">
          <w:pPr>
            <w:pStyle w:val="Copyright"/>
          </w:pPr>
          <w:r w:rsidRPr="00F05402">
            <w:t xml:space="preserve">This publication is available at </w:t>
          </w:r>
          <w:hyperlink r:id="rId3" w:history="1">
            <w:r w:rsidRPr="00B32469">
              <w:rPr>
                <w:rStyle w:val="Hyperlink"/>
              </w:rPr>
              <w:t>www.ofsted.gov.uk/resources/091097</w:t>
            </w:r>
          </w:hyperlink>
          <w:r>
            <w:t>.</w:t>
          </w:r>
        </w:p>
        <w:p w:rsidR="00B40E0F" w:rsidRDefault="00B40E0F" w:rsidP="008F1607">
          <w:pPr>
            <w:pStyle w:val="Copyright"/>
            <w:rPr>
              <w:noProof/>
            </w:rPr>
          </w:pPr>
          <w:r>
            <w:rPr>
              <w:rFonts w:cs="Tahoma"/>
              <w:color w:val="auto"/>
              <w:lang w:eastAsia="en-GB"/>
            </w:rPr>
            <w:t xml:space="preserve">Interested in our work? You can subscribe to our website for news, information and updates at </w:t>
          </w:r>
          <w:hyperlink r:id="rId4" w:history="1">
            <w:r w:rsidRPr="008F1607">
              <w:rPr>
                <w:rFonts w:cs="Tahoma"/>
                <w:color w:val="0000FF"/>
                <w:lang w:eastAsia="en-GB"/>
              </w:rPr>
              <w:t>www.ofsted.gov.uk/user</w:t>
            </w:r>
          </w:hyperlink>
          <w:r w:rsidRPr="008F1607">
            <w:rPr>
              <w:rFonts w:cs="Tahoma"/>
              <w:color w:val="auto"/>
              <w:lang w:eastAsia="en-GB"/>
            </w:rPr>
            <w:t>.</w:t>
          </w:r>
        </w:p>
      </w:tc>
    </w:tr>
    <w:tr w:rsidR="00B40E0F" w:rsidTr="000036F4">
      <w:tblPrEx>
        <w:tblCellMar>
          <w:top w:w="0" w:type="dxa"/>
          <w:bottom w:w="0" w:type="dxa"/>
        </w:tblCellMar>
      </w:tblPrEx>
      <w:trPr>
        <w:cantSplit/>
      </w:trPr>
      <w:tc>
        <w:tcPr>
          <w:tcW w:w="4882" w:type="dxa"/>
        </w:tcPr>
        <w:p w:rsidR="00B40E0F" w:rsidRDefault="00B40E0F" w:rsidP="002A7C8E">
          <w:pPr>
            <w:pStyle w:val="Copyright"/>
            <w:spacing w:after="0"/>
          </w:pPr>
          <w:r>
            <w:t>Piccadilly Gate</w:t>
          </w:r>
        </w:p>
        <w:p w:rsidR="00B40E0F" w:rsidRDefault="00B40E0F" w:rsidP="002A7C8E">
          <w:pPr>
            <w:pStyle w:val="Copyright"/>
            <w:spacing w:after="0"/>
          </w:pPr>
          <w:r>
            <w:t>Store Street</w:t>
          </w:r>
        </w:p>
        <w:p w:rsidR="00B40E0F" w:rsidRDefault="00B40E0F" w:rsidP="002A7C8E">
          <w:pPr>
            <w:pStyle w:val="Copyright"/>
            <w:spacing w:after="0"/>
          </w:pPr>
          <w:smartTag w:uri="urn:schemas-microsoft-com:office:smarttags" w:element="PlaceName">
            <w:smartTag w:uri="urn:schemas-microsoft-com:office:smarttags" w:element="place">
              <w:smartTag w:uri="urn:schemas-microsoft-com:office:smarttags" w:element="PostalCode">
                <w:smartTag w:uri="urn:schemas-microsoft-com:office:smarttags" w:element="PlaceType">
                  <w:r w:rsidRPr="00921EE3">
                    <w:t>Manchester</w:t>
                  </w:r>
                </w:smartTag>
              </w:smartTag>
            </w:smartTag>
          </w:smartTag>
        </w:p>
        <w:p w:rsidR="00B40E0F" w:rsidRPr="00921EE3" w:rsidRDefault="00B40E0F" w:rsidP="002A7C8E">
          <w:pPr>
            <w:pStyle w:val="Copyright"/>
            <w:spacing w:after="0"/>
          </w:pPr>
          <w:r w:rsidRPr="00921EE3">
            <w:t>M</w:t>
          </w:r>
          <w:r>
            <w:t>1 2WD</w:t>
          </w:r>
        </w:p>
        <w:p w:rsidR="00B40E0F" w:rsidRDefault="00B40E0F" w:rsidP="009C0EC6">
          <w:pPr>
            <w:pStyle w:val="Copyright"/>
            <w:spacing w:after="0"/>
          </w:pPr>
        </w:p>
        <w:p w:rsidR="00B40E0F" w:rsidRDefault="00B40E0F" w:rsidP="009C0EC6">
          <w:pPr>
            <w:pStyle w:val="Copyright"/>
            <w:spacing w:after="0"/>
          </w:pPr>
          <w:r>
            <w:t>T: 0300 123 1231</w:t>
          </w:r>
        </w:p>
        <w:p w:rsidR="00B40E0F" w:rsidRDefault="00B40E0F" w:rsidP="009C0EC6">
          <w:pPr>
            <w:pStyle w:val="Copyright"/>
            <w:spacing w:after="0"/>
          </w:pPr>
          <w:r>
            <w:t>Textphone: 0161 618 8524</w:t>
          </w:r>
        </w:p>
        <w:p w:rsidR="00B40E0F" w:rsidRPr="00512378" w:rsidRDefault="00B40E0F" w:rsidP="00BD3139">
          <w:pPr>
            <w:pStyle w:val="Copyright"/>
            <w:spacing w:after="0"/>
          </w:pPr>
          <w:r>
            <w:t xml:space="preserve">E: </w:t>
          </w:r>
          <w:r w:rsidRPr="00826710">
            <w:rPr>
              <w:rStyle w:val="Hyperlink"/>
            </w:rPr>
            <w:t>enquiries@ofsted.gov.uk</w:t>
          </w:r>
        </w:p>
        <w:p w:rsidR="00B40E0F" w:rsidRPr="00512378" w:rsidRDefault="00B40E0F" w:rsidP="009C0EC6">
          <w:pPr>
            <w:pStyle w:val="Copyright"/>
          </w:pPr>
          <w:r w:rsidRPr="00512378">
            <w:t>W:</w:t>
          </w:r>
          <w:r w:rsidRPr="009C0EC6">
            <w:t xml:space="preserve"> </w:t>
          </w:r>
          <w:hyperlink r:id="rId5" w:history="1">
            <w:r w:rsidRPr="009C0EC6">
              <w:rPr>
                <w:rStyle w:val="Hyperlink"/>
              </w:rPr>
              <w:t>www.ofsted.gov.uk</w:t>
            </w:r>
          </w:hyperlink>
        </w:p>
        <w:p w:rsidR="00B40E0F" w:rsidRPr="009C44C9" w:rsidRDefault="00B40E0F" w:rsidP="000036F4">
          <w:pPr>
            <w:pStyle w:val="Copyright"/>
          </w:pPr>
          <w:r>
            <w:t>No. 090197</w:t>
          </w:r>
        </w:p>
      </w:tc>
      <w:tc>
        <w:tcPr>
          <w:tcW w:w="4397" w:type="dxa"/>
        </w:tcPr>
        <w:p w:rsidR="00B40E0F" w:rsidRDefault="00B40E0F" w:rsidP="000036F4">
          <w:pPr>
            <w:pStyle w:val="Footer"/>
            <w:spacing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9" type="#_x0000_t75" style="position:absolute;margin-left:459.25pt;margin-top:700.25pt;width:102.05pt;height:51.35pt;z-index:1;mso-wrap-edited:f;mso-position-horizontal-relative:page;mso-position-vertical-relative:page" wrapcoords="-158 0 -158 21282 21600 21282 21600 0 -158 0" o:allowincell="f" o:allowoverlap="f">
                <v:imagedata r:id="rId6" o:title="Ofsted_Logo_Black_RGB"/>
                <w10:wrap anchorx="page" anchory="page"/>
                <w10:anchorlock/>
              </v:shape>
            </w:pict>
          </w:r>
        </w:p>
      </w:tc>
    </w:tr>
    <w:tr w:rsidR="00B40E0F" w:rsidTr="000036F4">
      <w:tblPrEx>
        <w:tblCellMar>
          <w:top w:w="0" w:type="dxa"/>
          <w:bottom w:w="0" w:type="dxa"/>
        </w:tblCellMar>
      </w:tblPrEx>
      <w:trPr>
        <w:cantSplit/>
      </w:trPr>
      <w:tc>
        <w:tcPr>
          <w:tcW w:w="4882" w:type="dxa"/>
        </w:tcPr>
        <w:p w:rsidR="00B40E0F" w:rsidRDefault="00B40E0F" w:rsidP="00CD22A9">
          <w:pPr>
            <w:pStyle w:val="Copyright"/>
          </w:pPr>
          <w:r>
            <w:t>© Crown copyright 2013</w:t>
          </w:r>
        </w:p>
      </w:tc>
      <w:tc>
        <w:tcPr>
          <w:tcW w:w="4397" w:type="dxa"/>
        </w:tcPr>
        <w:p w:rsidR="00B40E0F" w:rsidRDefault="00B40E0F" w:rsidP="000036F4">
          <w:pPr>
            <w:pStyle w:val="Footer"/>
            <w:spacing w:after="120"/>
          </w:pPr>
        </w:p>
      </w:tc>
    </w:tr>
  </w:tbl>
  <w:p w:rsidR="00B40E0F" w:rsidRDefault="00B40E0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0F" w:rsidRDefault="00B40E0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0F" w:rsidRDefault="00B40E0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FF2CE9">
      <w:rPr>
        <w:rStyle w:val="PageNumber"/>
        <w:b w:val="0"/>
        <w:noProof/>
      </w:rPr>
      <w:t>18</w:t>
    </w:r>
    <w:r>
      <w:rPr>
        <w:rStyle w:val="PageNumber"/>
        <w:b w:val="0"/>
      </w:rPr>
      <w:fldChar w:fldCharType="end"/>
    </w:r>
  </w:p>
  <w:p w:rsidR="00B40E0F" w:rsidRDefault="00B40E0F" w:rsidP="00101DFC">
    <w:pPr>
      <w:pStyle w:val="Footer-LHSEven"/>
      <w:jc w:val="right"/>
    </w:pPr>
    <w:r>
      <w:tab/>
      <w:t>Inspecting equalities: briefing for section 5 inspection</w:t>
    </w:r>
  </w:p>
  <w:p w:rsidR="00B40E0F" w:rsidRDefault="00B40E0F" w:rsidP="00101DFC">
    <w:pPr>
      <w:pStyle w:val="Footer-LHSEven"/>
      <w:jc w:val="right"/>
    </w:pPr>
    <w:r>
      <w:t>September 2013, No. 090197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0F" w:rsidRDefault="00B40E0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FF2CE9">
      <w:rPr>
        <w:rStyle w:val="PageNumber"/>
        <w:b w:val="0"/>
        <w:noProof/>
      </w:rPr>
      <w:t>17</w:t>
    </w:r>
    <w:r>
      <w:rPr>
        <w:rStyle w:val="PageNumber"/>
        <w:b w:val="0"/>
      </w:rPr>
      <w:fldChar w:fldCharType="end"/>
    </w:r>
  </w:p>
  <w:p w:rsidR="00B40E0F" w:rsidRPr="00A07D48" w:rsidRDefault="00B40E0F" w:rsidP="00281EA9">
    <w:pPr>
      <w:pStyle w:val="Footer-RHSOdd"/>
      <w:tabs>
        <w:tab w:val="right" w:pos="8460"/>
      </w:tabs>
    </w:pPr>
    <w:r>
      <w:t>Inspecting equalities: briefing for section 5 inspection</w:t>
    </w:r>
  </w:p>
  <w:p w:rsidR="00B40E0F" w:rsidRDefault="00B40E0F" w:rsidP="00101DFC">
    <w:pPr>
      <w:pStyle w:val="Footer-RHSOdd"/>
      <w:pBdr>
        <w:top w:val="none" w:sz="0" w:space="0" w:color="auto"/>
      </w:pBdr>
      <w:tabs>
        <w:tab w:val="left" w:pos="7695"/>
      </w:tabs>
    </w:pPr>
    <w:r>
      <w:t>September 2013, No. 090197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179" w:rsidRDefault="008F1179">
      <w:pPr>
        <w:pStyle w:val="Tabletext-left"/>
      </w:pPr>
      <w:r>
        <w:separator/>
      </w:r>
    </w:p>
    <w:p w:rsidR="008F1179" w:rsidRDefault="008F1179"/>
  </w:footnote>
  <w:footnote w:type="continuationSeparator" w:id="0">
    <w:p w:rsidR="008F1179" w:rsidRDefault="008F1179">
      <w:pPr>
        <w:pStyle w:val="Tabletext-left"/>
      </w:pPr>
      <w:r>
        <w:continuationSeparator/>
      </w:r>
    </w:p>
    <w:p w:rsidR="008F1179" w:rsidRDefault="008F1179"/>
    <w:p w:rsidR="008F1179" w:rsidRDefault="008F1179"/>
  </w:footnote>
  <w:footnote w:id="1">
    <w:p w:rsidR="00B40E0F" w:rsidRDefault="00B40E0F" w:rsidP="000B54A7">
      <w:pPr>
        <w:pStyle w:val="FootnoteText"/>
      </w:pPr>
      <w:r>
        <w:rPr>
          <w:rStyle w:val="FootnoteReference"/>
        </w:rPr>
        <w:footnoteRef/>
      </w:r>
      <w:r>
        <w:t xml:space="preserve"> </w:t>
      </w:r>
      <w:r w:rsidRPr="00F4163B">
        <w:t>Parents’ refers to mothers, fathers and/or carers.</w:t>
      </w:r>
    </w:p>
  </w:footnote>
  <w:footnote w:id="2">
    <w:p w:rsidR="00B40E0F" w:rsidRDefault="00B40E0F" w:rsidP="000B54A7">
      <w:pPr>
        <w:pStyle w:val="FootnoteText"/>
      </w:pPr>
      <w:r>
        <w:rPr>
          <w:rStyle w:val="FootnoteReference"/>
        </w:rPr>
        <w:footnoteRef/>
      </w:r>
      <w:r>
        <w:t xml:space="preserve"> </w:t>
      </w:r>
      <w:r w:rsidRPr="003E74C7">
        <w:rPr>
          <w:i/>
          <w:lang/>
        </w:rPr>
        <w:t>Equality Act Guidance</w:t>
      </w:r>
      <w:r>
        <w:rPr>
          <w:i/>
          <w:lang/>
        </w:rPr>
        <w:t>,</w:t>
      </w:r>
      <w:r w:rsidRPr="003E74C7">
        <w:rPr>
          <w:i/>
          <w:lang/>
        </w:rPr>
        <w:t xml:space="preserve"> </w:t>
      </w:r>
      <w:r w:rsidRPr="00F15E17">
        <w:rPr>
          <w:lang/>
        </w:rPr>
        <w:t>Department for Education, October 2012;</w:t>
      </w:r>
      <w:r w:rsidRPr="00935CAA">
        <w:rPr>
          <w:lang/>
        </w:rPr>
        <w:t xml:space="preserve"> </w:t>
      </w:r>
      <w:hyperlink r:id="rId1" w:history="1">
        <w:r w:rsidRPr="00AA1C8B">
          <w:rPr>
            <w:rStyle w:val="Hyperlink"/>
            <w:lang/>
          </w:rPr>
          <w:t>http://www.education.gov.uk/aboutdfe/policiesandprocedures/equalityanddiversity/f00215460/equality-act-2010-departmental-</w:t>
        </w:r>
        <w:r w:rsidRPr="00AA1C8B">
          <w:rPr>
            <w:rStyle w:val="Hyperlink"/>
            <w:lang/>
          </w:rPr>
          <w:t>a</w:t>
        </w:r>
        <w:r w:rsidRPr="00AA1C8B">
          <w:rPr>
            <w:rStyle w:val="Hyperlink"/>
            <w:lang/>
          </w:rPr>
          <w:t>dvice</w:t>
        </w:r>
      </w:hyperlink>
      <w:r>
        <w:rPr>
          <w:lang/>
        </w:rPr>
        <w:t xml:space="preserve">. </w:t>
      </w:r>
    </w:p>
  </w:footnote>
  <w:footnote w:id="3">
    <w:p w:rsidR="00B40E0F" w:rsidRDefault="00B40E0F">
      <w:pPr>
        <w:pStyle w:val="FootnoteText"/>
      </w:pPr>
      <w:r>
        <w:rPr>
          <w:rStyle w:val="FootnoteReference"/>
        </w:rPr>
        <w:footnoteRef/>
      </w:r>
      <w:r>
        <w:t xml:space="preserve"> Full details of the PSED with regard to schools </w:t>
      </w:r>
      <w:r w:rsidR="00C06036">
        <w:t>are</w:t>
      </w:r>
      <w:r>
        <w:t xml:space="preserve"> set out in DfE guidance </w:t>
      </w:r>
      <w:r w:rsidRPr="000F5A0F">
        <w:rPr>
          <w:i/>
        </w:rPr>
        <w:t>Equality Act Guidance October 2012</w:t>
      </w:r>
      <w:r>
        <w:t xml:space="preserve"> which can be found at: </w:t>
      </w:r>
      <w:hyperlink r:id="rId2" w:history="1">
        <w:r w:rsidRPr="00CB528E">
          <w:rPr>
            <w:rStyle w:val="Hyperlink"/>
          </w:rPr>
          <w:t>http://www.education.gov.uk/abo</w:t>
        </w:r>
        <w:r w:rsidRPr="00CB528E">
          <w:rPr>
            <w:rStyle w:val="Hyperlink"/>
          </w:rPr>
          <w:t>u</w:t>
        </w:r>
        <w:r w:rsidRPr="00CB528E">
          <w:rPr>
            <w:rStyle w:val="Hyperlink"/>
          </w:rPr>
          <w:t>t</w:t>
        </w:r>
        <w:r w:rsidRPr="00CB528E">
          <w:rPr>
            <w:rStyle w:val="Hyperlink"/>
          </w:rPr>
          <w:t>d</w:t>
        </w:r>
        <w:r w:rsidRPr="00CB528E">
          <w:rPr>
            <w:rStyle w:val="Hyperlink"/>
          </w:rPr>
          <w:t>fe/advice/f00215460/equality-act-2010-departmental-advice</w:t>
        </w:r>
      </w:hyperlink>
      <w:r>
        <w:t>.</w:t>
      </w:r>
    </w:p>
    <w:p w:rsidR="00B40E0F" w:rsidRDefault="00B40E0F">
      <w:pPr>
        <w:pStyle w:val="FootnoteText"/>
      </w:pPr>
    </w:p>
  </w:footnote>
  <w:footnote w:id="4">
    <w:p w:rsidR="00B40E0F" w:rsidRDefault="00B40E0F" w:rsidP="00562362">
      <w:pPr>
        <w:pStyle w:val="FootnoteText"/>
      </w:pPr>
      <w:r>
        <w:rPr>
          <w:rStyle w:val="FootnoteReference"/>
        </w:rPr>
        <w:footnoteRef/>
      </w:r>
      <w:r>
        <w:t xml:space="preserve"> This is an explanation of human rights in practice for pupils.</w:t>
      </w:r>
    </w:p>
  </w:footnote>
  <w:footnote w:id="5">
    <w:p w:rsidR="00B40E0F" w:rsidRDefault="00B40E0F" w:rsidP="00562362">
      <w:pPr>
        <w:pStyle w:val="FootnoteText"/>
      </w:pPr>
      <w:r>
        <w:rPr>
          <w:rStyle w:val="FootnoteReference"/>
        </w:rPr>
        <w:footnoteRef/>
      </w:r>
      <w:r>
        <w:t xml:space="preserve"> </w:t>
      </w:r>
      <w:r w:rsidRPr="00C60069">
        <w:rPr>
          <w:i/>
        </w:rPr>
        <w:t>Girls’ career aspirations</w:t>
      </w:r>
      <w:r>
        <w:t xml:space="preserve"> </w:t>
      </w:r>
      <w:r w:rsidRPr="00993C83">
        <w:rPr>
          <w:bCs/>
        </w:rPr>
        <w:t>(</w:t>
      </w:r>
      <w:r w:rsidRPr="00C60069">
        <w:t>090239</w:t>
      </w:r>
      <w:r>
        <w:t xml:space="preserve">), Ofsted, 2011; </w:t>
      </w:r>
      <w:hyperlink r:id="rId3" w:history="1">
        <w:r w:rsidRPr="006F493D">
          <w:rPr>
            <w:rStyle w:val="Hyperlink"/>
          </w:rPr>
          <w:t>ww</w:t>
        </w:r>
        <w:r w:rsidRPr="006F493D">
          <w:rPr>
            <w:rStyle w:val="Hyperlink"/>
          </w:rPr>
          <w:t>w</w:t>
        </w:r>
        <w:r w:rsidRPr="006F493D">
          <w:rPr>
            <w:rStyle w:val="Hyperlink"/>
          </w:rPr>
          <w:t>.ofsted.gov.uk/resources/090239</w:t>
        </w:r>
      </w:hyperlink>
      <w:r>
        <w:t>.</w:t>
      </w:r>
    </w:p>
  </w:footnote>
  <w:footnote w:id="6">
    <w:p w:rsidR="00B40E0F" w:rsidRDefault="00B40E0F" w:rsidP="00562362">
      <w:pPr>
        <w:pStyle w:val="FootnoteText"/>
      </w:pPr>
      <w:r>
        <w:rPr>
          <w:rStyle w:val="FootnoteReference"/>
        </w:rPr>
        <w:footnoteRef/>
      </w:r>
      <w:r>
        <w:t xml:space="preserve"> </w:t>
      </w:r>
      <w:r w:rsidRPr="00C60069">
        <w:rPr>
          <w:i/>
        </w:rPr>
        <w:t>Excellence in English</w:t>
      </w:r>
      <w:r>
        <w:t xml:space="preserve"> (</w:t>
      </w:r>
      <w:r>
        <w:rPr>
          <w:rFonts w:cs="Tahoma"/>
        </w:rPr>
        <w:t xml:space="preserve">100229), Ofsted, 2011; </w:t>
      </w:r>
      <w:hyperlink r:id="rId4" w:history="1">
        <w:r w:rsidRPr="006F493D">
          <w:rPr>
            <w:rStyle w:val="Hyperlink"/>
            <w:rFonts w:cs="Tahoma"/>
          </w:rPr>
          <w:t>www.</w:t>
        </w:r>
        <w:r w:rsidRPr="006F493D">
          <w:rPr>
            <w:rStyle w:val="Hyperlink"/>
            <w:rFonts w:cs="Tahoma"/>
          </w:rPr>
          <w:t>o</w:t>
        </w:r>
        <w:r w:rsidRPr="006F493D">
          <w:rPr>
            <w:rStyle w:val="Hyperlink"/>
            <w:rFonts w:cs="Tahoma"/>
          </w:rPr>
          <w:t>fsted.gov.uk/resources/100229</w:t>
        </w:r>
      </w:hyperlink>
      <w:r>
        <w:rPr>
          <w:rFonts w:cs="Tahoma"/>
        </w:rPr>
        <w:t>.</w:t>
      </w:r>
    </w:p>
  </w:footnote>
  <w:footnote w:id="7">
    <w:p w:rsidR="00B40E0F" w:rsidRDefault="00B40E0F">
      <w:pPr>
        <w:pStyle w:val="FootnoteText"/>
      </w:pPr>
      <w:r>
        <w:rPr>
          <w:rStyle w:val="FootnoteReference"/>
        </w:rPr>
        <w:footnoteRef/>
      </w:r>
      <w:r>
        <w:t xml:space="preserve"> </w:t>
      </w:r>
      <w:r w:rsidRPr="00993C83">
        <w:rPr>
          <w:i/>
        </w:rPr>
        <w:t xml:space="preserve">School inspection handbook </w:t>
      </w:r>
      <w:r>
        <w:t xml:space="preserve">(120101), Ofsted, 2013; </w:t>
      </w:r>
      <w:hyperlink r:id="rId5" w:history="1">
        <w:r w:rsidRPr="006F493D">
          <w:rPr>
            <w:rStyle w:val="Hyperlink"/>
          </w:rPr>
          <w:t>www</w:t>
        </w:r>
        <w:r w:rsidRPr="006F493D">
          <w:rPr>
            <w:rStyle w:val="Hyperlink"/>
          </w:rPr>
          <w:t>.</w:t>
        </w:r>
        <w:r w:rsidRPr="006F493D">
          <w:rPr>
            <w:rStyle w:val="Hyperlink"/>
          </w:rPr>
          <w:t>ofsted.gov.uk/resources/120101</w:t>
        </w:r>
      </w:hyperlink>
      <w:r>
        <w:t xml:space="preserve">. </w:t>
      </w:r>
    </w:p>
  </w:footnote>
  <w:footnote w:id="8">
    <w:p w:rsidR="00B40E0F" w:rsidRDefault="00B40E0F" w:rsidP="00993C83">
      <w:r>
        <w:rPr>
          <w:rStyle w:val="FootnoteReference"/>
        </w:rPr>
        <w:footnoteRef/>
      </w:r>
      <w:r>
        <w:t xml:space="preserve"> </w:t>
      </w:r>
      <w:r w:rsidRPr="003F0256">
        <w:rPr>
          <w:rFonts w:cs="Tahoma"/>
          <w:color w:val="auto"/>
          <w:sz w:val="20"/>
          <w:szCs w:val="20"/>
          <w:lang w:eastAsia="en-GB"/>
        </w:rPr>
        <w:t>While inspectors will not look at comparisons by specific disability nationally, it is important for schools to know if any groups of disabled pupils within their school achieve bet</w:t>
      </w:r>
      <w:r>
        <w:rPr>
          <w:rFonts w:cs="Tahoma"/>
          <w:color w:val="auto"/>
          <w:sz w:val="20"/>
          <w:szCs w:val="20"/>
          <w:lang w:eastAsia="en-GB"/>
        </w:rPr>
        <w:t>ter or worse than other groups.</w:t>
      </w:r>
    </w:p>
  </w:footnote>
  <w:footnote w:id="9">
    <w:p w:rsidR="00B40E0F" w:rsidRDefault="00B40E0F" w:rsidP="00562362">
      <w:pPr>
        <w:pStyle w:val="FootnoteText"/>
      </w:pPr>
      <w:r>
        <w:rPr>
          <w:rStyle w:val="FootnoteReference"/>
        </w:rPr>
        <w:footnoteRef/>
      </w:r>
      <w:r>
        <w:t xml:space="preserve"> </w:t>
      </w:r>
      <w:r w:rsidRPr="00C70343">
        <w:t xml:space="preserve">See reports: </w:t>
      </w:r>
      <w:r w:rsidRPr="00C70343">
        <w:rPr>
          <w:bCs/>
          <w:i/>
        </w:rPr>
        <w:t>Removing barriers to literacy</w:t>
      </w:r>
      <w:r w:rsidRPr="00C70343">
        <w:rPr>
          <w:bCs/>
        </w:rPr>
        <w:t xml:space="preserve"> </w:t>
      </w:r>
      <w:r>
        <w:rPr>
          <w:bCs/>
        </w:rPr>
        <w:t>(</w:t>
      </w:r>
      <w:r w:rsidRPr="00C70343">
        <w:rPr>
          <w:bCs/>
        </w:rPr>
        <w:t>090237</w:t>
      </w:r>
      <w:r>
        <w:rPr>
          <w:bCs/>
        </w:rPr>
        <w:t>), Ofsted,</w:t>
      </w:r>
      <w:r w:rsidRPr="00C70343">
        <w:rPr>
          <w:bCs/>
        </w:rPr>
        <w:t xml:space="preserve"> 2011</w:t>
      </w:r>
      <w:r>
        <w:rPr>
          <w:bCs/>
        </w:rPr>
        <w:t xml:space="preserve">; </w:t>
      </w:r>
      <w:hyperlink r:id="rId6" w:history="1">
        <w:r w:rsidRPr="006F493D">
          <w:rPr>
            <w:rStyle w:val="Hyperlink"/>
            <w:bCs/>
          </w:rPr>
          <w:t>www.ofsted.gov.uk</w:t>
        </w:r>
        <w:r w:rsidRPr="006F493D">
          <w:rPr>
            <w:rStyle w:val="Hyperlink"/>
            <w:bCs/>
          </w:rPr>
          <w:t>/</w:t>
        </w:r>
        <w:r w:rsidRPr="006F493D">
          <w:rPr>
            <w:rStyle w:val="Hyperlink"/>
            <w:bCs/>
          </w:rPr>
          <w:t>resources/090237</w:t>
        </w:r>
      </w:hyperlink>
      <w:r>
        <w:rPr>
          <w:bCs/>
        </w:rPr>
        <w:t>;</w:t>
      </w:r>
      <w:r w:rsidRPr="00C70343">
        <w:rPr>
          <w:bCs/>
        </w:rPr>
        <w:t xml:space="preserve"> and </w:t>
      </w:r>
      <w:r w:rsidRPr="00C70343">
        <w:rPr>
          <w:bCs/>
          <w:i/>
          <w:lang/>
        </w:rPr>
        <w:t xml:space="preserve">Tackling the challenge of poor numeracy skills </w:t>
      </w:r>
      <w:r>
        <w:rPr>
          <w:bCs/>
          <w:i/>
          <w:lang/>
        </w:rPr>
        <w:t>–</w:t>
      </w:r>
      <w:r w:rsidRPr="00C70343">
        <w:rPr>
          <w:bCs/>
          <w:i/>
          <w:lang/>
        </w:rPr>
        <w:t xml:space="preserve"> why some teaching and learning adds up while other provision falls short</w:t>
      </w:r>
      <w:r w:rsidRPr="00C70343">
        <w:rPr>
          <w:bCs/>
          <w:lang/>
        </w:rPr>
        <w:t xml:space="preserve">, </w:t>
      </w:r>
      <w:r>
        <w:rPr>
          <w:bCs/>
          <w:lang/>
        </w:rPr>
        <w:t>Ofsted,</w:t>
      </w:r>
      <w:r w:rsidRPr="00C70343">
        <w:rPr>
          <w:bCs/>
          <w:lang/>
        </w:rPr>
        <w:t xml:space="preserve"> 2011</w:t>
      </w:r>
      <w:r>
        <w:rPr>
          <w:bCs/>
          <w:lang/>
        </w:rPr>
        <w:t xml:space="preserve">; </w:t>
      </w:r>
      <w:hyperlink r:id="rId7" w:history="1">
        <w:r w:rsidRPr="006F493D">
          <w:rPr>
            <w:rStyle w:val="Hyperlink"/>
            <w:bCs/>
            <w:lang/>
          </w:rPr>
          <w:t>www.ofsted.gov.uk/news/tackling-challenge-of-poor-numeracy-skills-why-some-teaching-and-learning-adds-while-ot</w:t>
        </w:r>
        <w:r w:rsidRPr="006F493D">
          <w:rPr>
            <w:rStyle w:val="Hyperlink"/>
            <w:bCs/>
            <w:lang/>
          </w:rPr>
          <w:t>h</w:t>
        </w:r>
        <w:r w:rsidRPr="006F493D">
          <w:rPr>
            <w:rStyle w:val="Hyperlink"/>
            <w:bCs/>
            <w:lang/>
          </w:rPr>
          <w:t>er-provision?news=14981</w:t>
        </w:r>
      </w:hyperlink>
      <w:r w:rsidRPr="00C70343">
        <w:rPr>
          <w:bCs/>
          <w:lang/>
        </w:rPr>
        <w:t>.</w:t>
      </w:r>
    </w:p>
  </w:footnote>
  <w:footnote w:id="10">
    <w:p w:rsidR="00B40E0F" w:rsidRDefault="00B40E0F" w:rsidP="00562362">
      <w:pPr>
        <w:pStyle w:val="FootnoteText"/>
      </w:pPr>
      <w:r>
        <w:rPr>
          <w:rStyle w:val="FootnoteReference"/>
        </w:rPr>
        <w:footnoteRef/>
      </w:r>
      <w:r>
        <w:t xml:space="preserve"> </w:t>
      </w:r>
      <w:r w:rsidRPr="003E35D1">
        <w:rPr>
          <w:i/>
        </w:rPr>
        <w:t>For examples of effective practices see Ofsted</w:t>
      </w:r>
      <w:r>
        <w:rPr>
          <w:i/>
        </w:rPr>
        <w:t>’s</w:t>
      </w:r>
      <w:r w:rsidRPr="003E35D1">
        <w:rPr>
          <w:i/>
        </w:rPr>
        <w:t xml:space="preserve"> report: Equalities in action</w:t>
      </w:r>
      <w:r w:rsidRPr="00993C83">
        <w:t xml:space="preserve"> </w:t>
      </w:r>
      <w:r>
        <w:rPr>
          <w:bCs/>
        </w:rPr>
        <w:t>(</w:t>
      </w:r>
      <w:r w:rsidRPr="00993C83">
        <w:t>080272</w:t>
      </w:r>
      <w:r>
        <w:t>)</w:t>
      </w:r>
      <w:r w:rsidRPr="00993C83">
        <w:t xml:space="preserve">, </w:t>
      </w:r>
      <w:r>
        <w:t xml:space="preserve">Ofsted, </w:t>
      </w:r>
      <w:r w:rsidRPr="00993C83">
        <w:t>2010</w:t>
      </w:r>
      <w:r>
        <w:t xml:space="preserve">; </w:t>
      </w:r>
      <w:hyperlink r:id="rId8" w:history="1">
        <w:r w:rsidRPr="006F493D">
          <w:rPr>
            <w:rStyle w:val="Hyperlink"/>
          </w:rPr>
          <w:t>www.ofsted.gov.uk/r</w:t>
        </w:r>
        <w:r w:rsidRPr="006F493D">
          <w:rPr>
            <w:rStyle w:val="Hyperlink"/>
          </w:rPr>
          <w:t>e</w:t>
        </w:r>
        <w:r w:rsidRPr="006F493D">
          <w:rPr>
            <w:rStyle w:val="Hyperlink"/>
          </w:rPr>
          <w:t>sources/080272</w:t>
        </w:r>
      </w:hyperlink>
      <w:r w:rsidRPr="00993C83">
        <w:t>.</w:t>
      </w:r>
    </w:p>
  </w:footnote>
  <w:footnote w:id="11">
    <w:p w:rsidR="00B40E0F" w:rsidRDefault="00B40E0F" w:rsidP="00562362">
      <w:pPr>
        <w:pStyle w:val="FootnoteText"/>
      </w:pPr>
      <w:r>
        <w:rPr>
          <w:rStyle w:val="FootnoteReference"/>
        </w:rPr>
        <w:footnoteRef/>
      </w:r>
      <w:r>
        <w:t xml:space="preserve"> </w:t>
      </w:r>
      <w:r w:rsidRPr="003E35D1">
        <w:rPr>
          <w:bCs/>
          <w:i/>
        </w:rPr>
        <w:t>Parents, carers and schools</w:t>
      </w:r>
      <w:r w:rsidRPr="003E35D1">
        <w:rPr>
          <w:bCs/>
        </w:rPr>
        <w:t xml:space="preserve"> </w:t>
      </w:r>
      <w:r w:rsidRPr="00993C83">
        <w:rPr>
          <w:bCs/>
        </w:rPr>
        <w:t>(</w:t>
      </w:r>
      <w:r w:rsidRPr="003E35D1">
        <w:rPr>
          <w:bCs/>
        </w:rPr>
        <w:t>070018</w:t>
      </w:r>
      <w:r>
        <w:rPr>
          <w:bCs/>
        </w:rPr>
        <w:t>),</w:t>
      </w:r>
      <w:r w:rsidRPr="003E35D1">
        <w:rPr>
          <w:bCs/>
        </w:rPr>
        <w:t xml:space="preserve"> Ofsted</w:t>
      </w:r>
      <w:r>
        <w:rPr>
          <w:bCs/>
        </w:rPr>
        <w:t>,</w:t>
      </w:r>
      <w:r w:rsidRPr="003E35D1">
        <w:rPr>
          <w:bCs/>
        </w:rPr>
        <w:t xml:space="preserve"> 2007</w:t>
      </w:r>
      <w:r>
        <w:rPr>
          <w:bCs/>
        </w:rPr>
        <w:t xml:space="preserve">; </w:t>
      </w:r>
      <w:hyperlink r:id="rId9" w:history="1">
        <w:r w:rsidRPr="006F493D">
          <w:rPr>
            <w:rStyle w:val="Hyperlink"/>
            <w:bCs/>
          </w:rPr>
          <w:t>www.o</w:t>
        </w:r>
        <w:r w:rsidRPr="006F493D">
          <w:rPr>
            <w:rStyle w:val="Hyperlink"/>
            <w:bCs/>
          </w:rPr>
          <w:t>f</w:t>
        </w:r>
        <w:r w:rsidRPr="006F493D">
          <w:rPr>
            <w:rStyle w:val="Hyperlink"/>
            <w:bCs/>
          </w:rPr>
          <w:t>s</w:t>
        </w:r>
        <w:r w:rsidRPr="006F493D">
          <w:rPr>
            <w:rStyle w:val="Hyperlink"/>
            <w:bCs/>
          </w:rPr>
          <w:t>ted.gov.uk/resources/070018</w:t>
        </w:r>
      </w:hyperlink>
      <w:r w:rsidRPr="003E35D1">
        <w:rPr>
          <w:bCs/>
        </w:rPr>
        <w:t>.</w:t>
      </w:r>
    </w:p>
  </w:footnote>
  <w:footnote w:id="12">
    <w:p w:rsidR="00B40E0F" w:rsidRDefault="00B40E0F">
      <w:pPr>
        <w:pStyle w:val="FootnoteText"/>
      </w:pPr>
      <w:r>
        <w:rPr>
          <w:rStyle w:val="FootnoteReference"/>
        </w:rPr>
        <w:footnoteRef/>
      </w:r>
      <w:r>
        <w:t xml:space="preserve"> </w:t>
      </w:r>
      <w:r w:rsidRPr="00030C6A">
        <w:t>As an aspect of achievement, inspectors are required to evaluate how well gaps are narrowing between the performance of different groups of pupils in the school</w:t>
      </w:r>
      <w:r>
        <w:t xml:space="preserve">, </w:t>
      </w:r>
      <w:r w:rsidRPr="00030C6A">
        <w:t>and compared to all pupils nationally.</w:t>
      </w:r>
    </w:p>
  </w:footnote>
  <w:footnote w:id="13">
    <w:p w:rsidR="00B40E0F" w:rsidRDefault="00B40E0F" w:rsidP="00F428D6">
      <w:pPr>
        <w:pStyle w:val="FootnoteText"/>
      </w:pPr>
      <w:r>
        <w:rPr>
          <w:rStyle w:val="FootnoteReference"/>
        </w:rPr>
        <w:footnoteRef/>
      </w:r>
      <w:r>
        <w:t xml:space="preserve"> Though the act refers to ‘race’, alternative expressions that refer more accurately to ethnic origin or heritage or background are more appropriate, taking care to also distinguish between ethnicity and culture where this is the case.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7" w:rsidRDefault="00A913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0F" w:rsidRPr="004D7E32" w:rsidRDefault="00B40E0F" w:rsidP="004D7E32">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0" type="#_x0000_t75" style="position:absolute;margin-left:459.25pt;margin-top:25.5pt;width:102pt;height:86.5pt;z-index:-3;mso-position-horizontal-relative:page;mso-position-vertical-relative:page">
          <v:imagedata r:id="rId1" o:title="Ofsted_LOGO_BLK_W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07" w:rsidRDefault="00A9130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0F" w:rsidRPr="00C36FCE" w:rsidRDefault="00B40E0F" w:rsidP="00C36FC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0F" w:rsidRPr="00C36FCE" w:rsidRDefault="00B40E0F" w:rsidP="00C36FC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0F" w:rsidRDefault="00B40E0F" w:rsidP="008A7BC1">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3" type="#_x0000_t75" style="position:absolute;margin-left:481.95pt;margin-top:25.5pt;width:79.35pt;height:39.85pt;z-index:-1;mso-position-horizontal-relative:page;mso-position-vertical-relative:page" o:allowincell="f" o:allowoverlap="f">
          <v:imagedata r:id="rId1" o:title="Ofsted_Logo_Black_RGB"/>
          <w10:wrap anchorx="page" anchory="page"/>
          <w10:anchorlock/>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0F" w:rsidRDefault="00B40E0F" w:rsidP="008A7BC1">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2" type="#_x0000_t75" style="position:absolute;margin-left:481.95pt;margin-top:25.5pt;width:79.35pt;height:39.85pt;z-index:-2;mso-position-horizontal-relative:page;mso-position-vertical-relative:page" o:allowincell="f" o:allowoverlap="f">
          <v:imagedata r:id="rId1" o:title="Ofsted_Logo_Black_RGB"/>
          <w10:wrap anchorx="page" anchory="page"/>
          <w10:anchorlock/>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0F" w:rsidRDefault="00B40E0F">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A91307">
      <w:rPr>
        <w:rStyle w:val="PageNumber"/>
        <w:noProof/>
      </w:rPr>
      <w:t>3</w:t>
    </w:r>
    <w:r>
      <w:rPr>
        <w:rStyle w:val="PageNumber"/>
      </w:rPr>
      <w:fldChar w:fldCharType="end"/>
    </w:r>
  </w:p>
  <w:p w:rsidR="00B40E0F" w:rsidRDefault="00B40E0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477670F"/>
    <w:multiLevelType w:val="hybridMultilevel"/>
    <w:tmpl w:val="D81A027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69F396D"/>
    <w:multiLevelType w:val="hybridMultilevel"/>
    <w:tmpl w:val="7A84B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7AF6BF7"/>
    <w:multiLevelType w:val="hybridMultilevel"/>
    <w:tmpl w:val="44FE4A4C"/>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0CB5200A"/>
    <w:multiLevelType w:val="hybridMultilevel"/>
    <w:tmpl w:val="2E749924"/>
    <w:lvl w:ilvl="0" w:tplc="74E4AEC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36627F"/>
    <w:multiLevelType w:val="hybridMultilevel"/>
    <w:tmpl w:val="F30EE24A"/>
    <w:lvl w:ilvl="0" w:tplc="74E4AEC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1692963"/>
    <w:multiLevelType w:val="hybridMultilevel"/>
    <w:tmpl w:val="0E509214"/>
    <w:lvl w:ilvl="0" w:tplc="08090001">
      <w:start w:val="1"/>
      <w:numFmt w:val="bullet"/>
      <w:lvlText w:val=""/>
      <w:lvlJc w:val="left"/>
      <w:pPr>
        <w:tabs>
          <w:tab w:val="num" w:pos="567"/>
        </w:tabs>
        <w:ind w:left="0" w:firstLine="0"/>
      </w:pPr>
      <w:rPr>
        <w:rFonts w:ascii="Symbol" w:hAnsi="Symbo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2A338D0"/>
    <w:multiLevelType w:val="hybridMultilevel"/>
    <w:tmpl w:val="BC1C37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140C502A"/>
    <w:multiLevelType w:val="hybridMultilevel"/>
    <w:tmpl w:val="9362C122"/>
    <w:lvl w:ilvl="0" w:tplc="DE8881DA">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8076ED1"/>
    <w:multiLevelType w:val="hybridMultilevel"/>
    <w:tmpl w:val="2C9497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CF2342A"/>
    <w:multiLevelType w:val="hybridMultilevel"/>
    <w:tmpl w:val="DC7C1B3A"/>
    <w:lvl w:ilvl="0" w:tplc="4FD65598">
      <w:start w:val="1"/>
      <w:numFmt w:val="bullet"/>
      <w:lvlText w:val=""/>
      <w:lvlJc w:val="left"/>
      <w:pPr>
        <w:tabs>
          <w:tab w:val="num" w:pos="720"/>
        </w:tabs>
        <w:ind w:left="720" w:hanging="360"/>
      </w:pPr>
      <w:rPr>
        <w:rFonts w:ascii="Wingdings" w:hAnsi="Wingdings" w:hint="default"/>
      </w:rPr>
    </w:lvl>
    <w:lvl w:ilvl="1" w:tplc="74E4AEC4">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EE86F20"/>
    <w:multiLevelType w:val="hybridMultilevel"/>
    <w:tmpl w:val="6640F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8BA347B"/>
    <w:multiLevelType w:val="hybridMultilevel"/>
    <w:tmpl w:val="FD868982"/>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2B4B08B3"/>
    <w:multiLevelType w:val="hybridMultilevel"/>
    <w:tmpl w:val="BB727A8C"/>
    <w:lvl w:ilvl="0" w:tplc="74E4AEC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30F564FA"/>
    <w:multiLevelType w:val="multilevel"/>
    <w:tmpl w:val="B7B65C08"/>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7">
    <w:nsid w:val="34777749"/>
    <w:multiLevelType w:val="hybridMultilevel"/>
    <w:tmpl w:val="CF860270"/>
    <w:lvl w:ilvl="0" w:tplc="74E4AEC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AB7345A"/>
    <w:multiLevelType w:val="hybridMultilevel"/>
    <w:tmpl w:val="D46847DA"/>
    <w:lvl w:ilvl="0" w:tplc="8548816C">
      <w:start w:val="1"/>
      <w:numFmt w:val="bullet"/>
      <w:lvlText w:val=""/>
      <w:lvlJc w:val="left"/>
      <w:pPr>
        <w:ind w:left="1080" w:hanging="360"/>
      </w:pPr>
      <w:rPr>
        <w:rFonts w:ascii="Wingdings" w:hAnsi="Wingdings"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D74528B"/>
    <w:multiLevelType w:val="hybridMultilevel"/>
    <w:tmpl w:val="285CACE4"/>
    <w:lvl w:ilvl="0" w:tplc="1AE4EF8E">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0814839"/>
    <w:multiLevelType w:val="hybridMultilevel"/>
    <w:tmpl w:val="5E9CFE24"/>
    <w:lvl w:ilvl="0" w:tplc="E5F8EAC0">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1DE1A3E"/>
    <w:multiLevelType w:val="hybridMultilevel"/>
    <w:tmpl w:val="03CAC656"/>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281144D"/>
    <w:multiLevelType w:val="hybridMultilevel"/>
    <w:tmpl w:val="FB2AFFF6"/>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37B0FD4"/>
    <w:multiLevelType w:val="hybridMultilevel"/>
    <w:tmpl w:val="E0104146"/>
    <w:lvl w:ilvl="0" w:tplc="74E4AEC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7A6724"/>
    <w:multiLevelType w:val="hybridMultilevel"/>
    <w:tmpl w:val="87D6A60E"/>
    <w:lvl w:ilvl="0" w:tplc="0809000F">
      <w:start w:val="1"/>
      <w:numFmt w:val="bullet"/>
      <w:lvlText w:val=""/>
      <w:lvlJc w:val="left"/>
      <w:pPr>
        <w:tabs>
          <w:tab w:val="num" w:pos="900"/>
        </w:tabs>
        <w:ind w:left="900" w:hanging="360"/>
      </w:pPr>
      <w:rPr>
        <w:rFonts w:ascii="Wingdings" w:hAnsi="Wingdings" w:hint="default"/>
      </w:rPr>
    </w:lvl>
    <w:lvl w:ilvl="1" w:tplc="08090019">
      <w:start w:val="1"/>
      <w:numFmt w:val="bullet"/>
      <w:lvlText w:val=""/>
      <w:lvlJc w:val="left"/>
      <w:pPr>
        <w:tabs>
          <w:tab w:val="num" w:pos="1080"/>
        </w:tabs>
        <w:ind w:left="1080" w:hanging="360"/>
      </w:pPr>
      <w:rPr>
        <w:rFonts w:ascii="Wingdings" w:hAnsi="Wingdings" w:hint="default"/>
      </w:rPr>
    </w:lvl>
    <w:lvl w:ilvl="2" w:tplc="0809001B">
      <w:start w:val="1"/>
      <w:numFmt w:val="decimal"/>
      <w:lvlText w:val="%3."/>
      <w:lvlJc w:val="left"/>
      <w:pPr>
        <w:tabs>
          <w:tab w:val="num" w:pos="1800"/>
        </w:tabs>
        <w:ind w:left="1800" w:hanging="360"/>
      </w:pPr>
      <w:rPr>
        <w:rFonts w:cs="Times New Roman"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26">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7">
    <w:nsid w:val="4A347C9B"/>
    <w:multiLevelType w:val="hybridMultilevel"/>
    <w:tmpl w:val="4A5E89BA"/>
    <w:lvl w:ilvl="0" w:tplc="74E4AEC4">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4BA00DA9"/>
    <w:multiLevelType w:val="hybridMultilevel"/>
    <w:tmpl w:val="7DDCFB72"/>
    <w:lvl w:ilvl="0" w:tplc="08090001">
      <w:start w:val="1"/>
      <w:numFmt w:val="bullet"/>
      <w:lvlText w:val=""/>
      <w:lvlJc w:val="left"/>
      <w:pPr>
        <w:tabs>
          <w:tab w:val="num" w:pos="1134"/>
        </w:tabs>
        <w:ind w:left="567" w:firstLine="0"/>
      </w:pPr>
      <w:rPr>
        <w:rFonts w:ascii="Symbol" w:hAnsi="Symbol" w:hint="default"/>
        <w:b w:val="0"/>
        <w:i w:val="0"/>
        <w:sz w:val="24"/>
        <w:szCs w:val="24"/>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nsid w:val="4F292173"/>
    <w:multiLevelType w:val="hybridMultilevel"/>
    <w:tmpl w:val="CA8E511C"/>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nsid w:val="544059C7"/>
    <w:multiLevelType w:val="hybridMultilevel"/>
    <w:tmpl w:val="D25216C2"/>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nsid w:val="57FA5A00"/>
    <w:multiLevelType w:val="hybridMultilevel"/>
    <w:tmpl w:val="D66ED63A"/>
    <w:lvl w:ilvl="0" w:tplc="74E4AEC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8D8195E"/>
    <w:multiLevelType w:val="hybridMultilevel"/>
    <w:tmpl w:val="C1DA3A4C"/>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nsid w:val="58EE715C"/>
    <w:multiLevelType w:val="hybridMultilevel"/>
    <w:tmpl w:val="4B4E4C22"/>
    <w:lvl w:ilvl="0" w:tplc="08090005">
      <w:start w:val="1"/>
      <w:numFmt w:val="bullet"/>
      <w:lvlText w:val=""/>
      <w:lvlJc w:val="left"/>
      <w:pPr>
        <w:tabs>
          <w:tab w:val="num" w:pos="1080"/>
        </w:tabs>
        <w:ind w:left="1080" w:hanging="360"/>
      </w:pPr>
      <w:rPr>
        <w:rFonts w:ascii="Wingdings" w:hAnsi="Wingding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nsid w:val="5E760D1F"/>
    <w:multiLevelType w:val="hybridMultilevel"/>
    <w:tmpl w:val="2F7E3A6A"/>
    <w:lvl w:ilvl="0" w:tplc="74E4AEC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FDE0F86"/>
    <w:multiLevelType w:val="hybridMultilevel"/>
    <w:tmpl w:val="8FC85336"/>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6">
    <w:nsid w:val="604A3715"/>
    <w:multiLevelType w:val="hybridMultilevel"/>
    <w:tmpl w:val="C3BC93DC"/>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nsid w:val="611B1B26"/>
    <w:multiLevelType w:val="hybridMultilevel"/>
    <w:tmpl w:val="7A24272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43C14E5"/>
    <w:multiLevelType w:val="hybridMultilevel"/>
    <w:tmpl w:val="6F8CA9EE"/>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0">
    <w:nsid w:val="666F0D4C"/>
    <w:multiLevelType w:val="hybridMultilevel"/>
    <w:tmpl w:val="A024EEEE"/>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41">
    <w:nsid w:val="670A3508"/>
    <w:multiLevelType w:val="hybridMultilevel"/>
    <w:tmpl w:val="85BE5F18"/>
    <w:lvl w:ilvl="0" w:tplc="08090001">
      <w:start w:val="1"/>
      <w:numFmt w:val="bullet"/>
      <w:lvlText w:val=""/>
      <w:lvlJc w:val="left"/>
      <w:pPr>
        <w:tabs>
          <w:tab w:val="num" w:pos="567"/>
        </w:tabs>
        <w:ind w:left="0" w:firstLine="0"/>
      </w:pPr>
      <w:rPr>
        <w:rFonts w:ascii="Symbol" w:hAnsi="Symbo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699C4E3D"/>
    <w:multiLevelType w:val="hybridMultilevel"/>
    <w:tmpl w:val="67D84732"/>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nsid w:val="6D885904"/>
    <w:multiLevelType w:val="hybridMultilevel"/>
    <w:tmpl w:val="32045334"/>
    <w:lvl w:ilvl="0" w:tplc="C8F88F4A">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5">
    <w:nsid w:val="752318F8"/>
    <w:multiLevelType w:val="hybridMultilevel"/>
    <w:tmpl w:val="12B63D8C"/>
    <w:lvl w:ilvl="0" w:tplc="74E4AEC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7891593"/>
    <w:multiLevelType w:val="hybridMultilevel"/>
    <w:tmpl w:val="9614F7B0"/>
    <w:lvl w:ilvl="0" w:tplc="08090005">
      <w:start w:val="1"/>
      <w:numFmt w:val="bullet"/>
      <w:lvlText w:val=""/>
      <w:lvlJc w:val="left"/>
      <w:pPr>
        <w:tabs>
          <w:tab w:val="num" w:pos="1080"/>
        </w:tabs>
        <w:ind w:left="1080" w:hanging="360"/>
      </w:pPr>
      <w:rPr>
        <w:rFonts w:ascii="Wingdings" w:hAnsi="Wingding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nsid w:val="79BF7244"/>
    <w:multiLevelType w:val="hybridMultilevel"/>
    <w:tmpl w:val="7EF874CC"/>
    <w:lvl w:ilvl="0" w:tplc="0409000F">
      <w:start w:val="1"/>
      <w:numFmt w:val="decimal"/>
      <w:lvlText w:val="%1."/>
      <w:lvlJc w:val="left"/>
      <w:pPr>
        <w:tabs>
          <w:tab w:val="num" w:pos="360"/>
        </w:tabs>
        <w:ind w:left="360" w:hanging="360"/>
      </w:pPr>
    </w:lvl>
    <w:lvl w:ilvl="1" w:tplc="0809000F">
      <w:start w:val="1"/>
      <w:numFmt w:val="decimal"/>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8"/>
  </w:num>
  <w:num w:numId="2">
    <w:abstractNumId w:val="10"/>
  </w:num>
  <w:num w:numId="3">
    <w:abstractNumId w:val="43"/>
  </w:num>
  <w:num w:numId="4">
    <w:abstractNumId w:val="26"/>
  </w:num>
  <w:num w:numId="5">
    <w:abstractNumId w:val="0"/>
  </w:num>
  <w:num w:numId="6">
    <w:abstractNumId w:val="44"/>
  </w:num>
  <w:num w:numId="7">
    <w:abstractNumId w:val="9"/>
  </w:num>
  <w:num w:numId="8">
    <w:abstractNumId w:val="3"/>
  </w:num>
  <w:num w:numId="9">
    <w:abstractNumId w:val="43"/>
  </w:num>
  <w:num w:numId="10">
    <w:abstractNumId w:val="44"/>
  </w:num>
  <w:num w:numId="11">
    <w:abstractNumId w:val="44"/>
  </w:num>
  <w:num w:numId="12">
    <w:abstractNumId w:val="16"/>
  </w:num>
  <w:num w:numId="13">
    <w:abstractNumId w:val="39"/>
  </w:num>
  <w:num w:numId="14">
    <w:abstractNumId w:val="20"/>
  </w:num>
  <w:num w:numId="15">
    <w:abstractNumId w:val="33"/>
  </w:num>
  <w:num w:numId="16">
    <w:abstractNumId w:val="1"/>
  </w:num>
  <w:num w:numId="17">
    <w:abstractNumId w:val="22"/>
  </w:num>
  <w:num w:numId="18">
    <w:abstractNumId w:val="23"/>
  </w:num>
  <w:num w:numId="19">
    <w:abstractNumId w:val="4"/>
  </w:num>
  <w:num w:numId="20">
    <w:abstractNumId w:val="32"/>
  </w:num>
  <w:num w:numId="21">
    <w:abstractNumId w:val="46"/>
  </w:num>
  <w:num w:numId="22">
    <w:abstractNumId w:val="35"/>
  </w:num>
  <w:num w:numId="23">
    <w:abstractNumId w:val="42"/>
  </w:num>
  <w:num w:numId="24">
    <w:abstractNumId w:val="36"/>
  </w:num>
  <w:num w:numId="25">
    <w:abstractNumId w:val="29"/>
  </w:num>
  <w:num w:numId="26">
    <w:abstractNumId w:val="14"/>
  </w:num>
  <w:num w:numId="27">
    <w:abstractNumId w:val="38"/>
  </w:num>
  <w:num w:numId="28">
    <w:abstractNumId w:val="30"/>
  </w:num>
  <w:num w:numId="29">
    <w:abstractNumId w:val="24"/>
  </w:num>
  <w:num w:numId="30">
    <w:abstractNumId w:val="17"/>
  </w:num>
  <w:num w:numId="31">
    <w:abstractNumId w:val="21"/>
  </w:num>
  <w:num w:numId="32">
    <w:abstractNumId w:val="37"/>
  </w:num>
  <w:num w:numId="33">
    <w:abstractNumId w:val="45"/>
  </w:num>
  <w:num w:numId="34">
    <w:abstractNumId w:val="6"/>
  </w:num>
  <w:num w:numId="35">
    <w:abstractNumId w:val="31"/>
  </w:num>
  <w:num w:numId="36">
    <w:abstractNumId w:val="47"/>
  </w:num>
  <w:num w:numId="37">
    <w:abstractNumId w:val="5"/>
  </w:num>
  <w:num w:numId="38">
    <w:abstractNumId w:val="12"/>
  </w:num>
  <w:num w:numId="39">
    <w:abstractNumId w:val="15"/>
  </w:num>
  <w:num w:numId="40">
    <w:abstractNumId w:val="34"/>
  </w:num>
  <w:num w:numId="41">
    <w:abstractNumId w:val="27"/>
  </w:num>
  <w:num w:numId="42">
    <w:abstractNumId w:val="40"/>
  </w:num>
  <w:num w:numId="43">
    <w:abstractNumId w:val="8"/>
  </w:num>
  <w:num w:numId="44">
    <w:abstractNumId w:val="41"/>
  </w:num>
  <w:num w:numId="45">
    <w:abstractNumId w:val="3"/>
  </w:num>
  <w:num w:numId="46">
    <w:abstractNumId w:val="28"/>
  </w:num>
  <w:num w:numId="47">
    <w:abstractNumId w:val="3"/>
  </w:num>
  <w:num w:numId="48">
    <w:abstractNumId w:val="7"/>
  </w:num>
  <w:num w:numId="49">
    <w:abstractNumId w:val="3"/>
  </w:num>
  <w:num w:numId="50">
    <w:abstractNumId w:val="11"/>
  </w:num>
  <w:num w:numId="51">
    <w:abstractNumId w:val="9"/>
  </w:num>
  <w:num w:numId="52">
    <w:abstractNumId w:val="13"/>
  </w:num>
  <w:num w:numId="53">
    <w:abstractNumId w:val="2"/>
  </w:num>
  <w:num w:numId="54">
    <w:abstractNumId w:val="9"/>
  </w:num>
  <w:num w:numId="55">
    <w:abstractNumId w:val="9"/>
  </w:num>
  <w:num w:numId="56">
    <w:abstractNumId w:val="9"/>
  </w:num>
  <w:num w:numId="57">
    <w:abstractNumId w:val="25"/>
  </w:num>
  <w:num w:numId="58">
    <w:abstractNumId w:val="1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ocumentProtection w:formatting="1" w:enforcement="0"/>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191F"/>
    <w:rsid w:val="0000217D"/>
    <w:rsid w:val="000036F4"/>
    <w:rsid w:val="00007461"/>
    <w:rsid w:val="0001349B"/>
    <w:rsid w:val="00013AC4"/>
    <w:rsid w:val="000169C5"/>
    <w:rsid w:val="00017F71"/>
    <w:rsid w:val="000228A9"/>
    <w:rsid w:val="00026F00"/>
    <w:rsid w:val="0003086D"/>
    <w:rsid w:val="00030C6A"/>
    <w:rsid w:val="000314E9"/>
    <w:rsid w:val="00033081"/>
    <w:rsid w:val="00044837"/>
    <w:rsid w:val="00051CB0"/>
    <w:rsid w:val="00052485"/>
    <w:rsid w:val="000649DA"/>
    <w:rsid w:val="00074244"/>
    <w:rsid w:val="00080F6A"/>
    <w:rsid w:val="0008102D"/>
    <w:rsid w:val="00082655"/>
    <w:rsid w:val="00096DBA"/>
    <w:rsid w:val="00097A77"/>
    <w:rsid w:val="000A129A"/>
    <w:rsid w:val="000B4B2F"/>
    <w:rsid w:val="000B54A7"/>
    <w:rsid w:val="000B5C62"/>
    <w:rsid w:val="000B5FB6"/>
    <w:rsid w:val="000B77A2"/>
    <w:rsid w:val="000C6789"/>
    <w:rsid w:val="000D0750"/>
    <w:rsid w:val="000D6886"/>
    <w:rsid w:val="000E0353"/>
    <w:rsid w:val="000F5A0F"/>
    <w:rsid w:val="00101611"/>
    <w:rsid w:val="00101DFC"/>
    <w:rsid w:val="00103213"/>
    <w:rsid w:val="00107883"/>
    <w:rsid w:val="00107D33"/>
    <w:rsid w:val="0011151B"/>
    <w:rsid w:val="00113F47"/>
    <w:rsid w:val="0012126C"/>
    <w:rsid w:val="00122DF2"/>
    <w:rsid w:val="00131186"/>
    <w:rsid w:val="00137863"/>
    <w:rsid w:val="001418ED"/>
    <w:rsid w:val="0014479E"/>
    <w:rsid w:val="00152A04"/>
    <w:rsid w:val="00157594"/>
    <w:rsid w:val="00164EDA"/>
    <w:rsid w:val="00171AAB"/>
    <w:rsid w:val="00176A1E"/>
    <w:rsid w:val="0018342C"/>
    <w:rsid w:val="001840DE"/>
    <w:rsid w:val="00184B21"/>
    <w:rsid w:val="00190831"/>
    <w:rsid w:val="00190B7D"/>
    <w:rsid w:val="001915B4"/>
    <w:rsid w:val="00195358"/>
    <w:rsid w:val="00196534"/>
    <w:rsid w:val="001A6854"/>
    <w:rsid w:val="001A7C16"/>
    <w:rsid w:val="001B21F3"/>
    <w:rsid w:val="001B4F59"/>
    <w:rsid w:val="001B57E8"/>
    <w:rsid w:val="001B687D"/>
    <w:rsid w:val="001B6888"/>
    <w:rsid w:val="001B7048"/>
    <w:rsid w:val="001C147A"/>
    <w:rsid w:val="001D5616"/>
    <w:rsid w:val="001D686F"/>
    <w:rsid w:val="001D747C"/>
    <w:rsid w:val="001E0164"/>
    <w:rsid w:val="001E10F9"/>
    <w:rsid w:val="001E3CE5"/>
    <w:rsid w:val="001E6FDA"/>
    <w:rsid w:val="001F3D85"/>
    <w:rsid w:val="001F6DED"/>
    <w:rsid w:val="00200702"/>
    <w:rsid w:val="00204D6A"/>
    <w:rsid w:val="0021191F"/>
    <w:rsid w:val="002227D5"/>
    <w:rsid w:val="00234121"/>
    <w:rsid w:val="00237B4A"/>
    <w:rsid w:val="00240233"/>
    <w:rsid w:val="00250618"/>
    <w:rsid w:val="0025486B"/>
    <w:rsid w:val="0026011B"/>
    <w:rsid w:val="00260458"/>
    <w:rsid w:val="002607A5"/>
    <w:rsid w:val="00281EA9"/>
    <w:rsid w:val="002935B3"/>
    <w:rsid w:val="00297208"/>
    <w:rsid w:val="002A6188"/>
    <w:rsid w:val="002A7C8E"/>
    <w:rsid w:val="002B3474"/>
    <w:rsid w:val="002C42FC"/>
    <w:rsid w:val="002D052C"/>
    <w:rsid w:val="002D0859"/>
    <w:rsid w:val="002D4895"/>
    <w:rsid w:val="002E55A9"/>
    <w:rsid w:val="002F2B43"/>
    <w:rsid w:val="002F4B3A"/>
    <w:rsid w:val="002F67F2"/>
    <w:rsid w:val="00300DA8"/>
    <w:rsid w:val="00304048"/>
    <w:rsid w:val="0030517F"/>
    <w:rsid w:val="003117BA"/>
    <w:rsid w:val="00311BE1"/>
    <w:rsid w:val="00317361"/>
    <w:rsid w:val="0031768D"/>
    <w:rsid w:val="00321886"/>
    <w:rsid w:val="00324CB7"/>
    <w:rsid w:val="003312DB"/>
    <w:rsid w:val="0033607A"/>
    <w:rsid w:val="00341E82"/>
    <w:rsid w:val="00354FA8"/>
    <w:rsid w:val="00360C81"/>
    <w:rsid w:val="00370741"/>
    <w:rsid w:val="00375225"/>
    <w:rsid w:val="00377B36"/>
    <w:rsid w:val="00383833"/>
    <w:rsid w:val="003852DD"/>
    <w:rsid w:val="00387114"/>
    <w:rsid w:val="003879A3"/>
    <w:rsid w:val="003A0566"/>
    <w:rsid w:val="003A5B9E"/>
    <w:rsid w:val="003A5FA1"/>
    <w:rsid w:val="003B0AE1"/>
    <w:rsid w:val="003B53E5"/>
    <w:rsid w:val="003C5600"/>
    <w:rsid w:val="003D0BDE"/>
    <w:rsid w:val="003D2521"/>
    <w:rsid w:val="003D39B7"/>
    <w:rsid w:val="003D443E"/>
    <w:rsid w:val="003D64E5"/>
    <w:rsid w:val="003E5FEC"/>
    <w:rsid w:val="003E74C7"/>
    <w:rsid w:val="003F0256"/>
    <w:rsid w:val="003F1E06"/>
    <w:rsid w:val="003F4221"/>
    <w:rsid w:val="003F4A23"/>
    <w:rsid w:val="003F5FC8"/>
    <w:rsid w:val="00400881"/>
    <w:rsid w:val="004026B4"/>
    <w:rsid w:val="004059CA"/>
    <w:rsid w:val="004204DC"/>
    <w:rsid w:val="004205C9"/>
    <w:rsid w:val="004207BE"/>
    <w:rsid w:val="0042290D"/>
    <w:rsid w:val="00424221"/>
    <w:rsid w:val="00431B82"/>
    <w:rsid w:val="00436AA7"/>
    <w:rsid w:val="004411C0"/>
    <w:rsid w:val="00443DAE"/>
    <w:rsid w:val="00451781"/>
    <w:rsid w:val="00454D1A"/>
    <w:rsid w:val="00455E93"/>
    <w:rsid w:val="00463288"/>
    <w:rsid w:val="0046526B"/>
    <w:rsid w:val="004675DE"/>
    <w:rsid w:val="004708C5"/>
    <w:rsid w:val="00475C75"/>
    <w:rsid w:val="004766D8"/>
    <w:rsid w:val="004838A2"/>
    <w:rsid w:val="00487371"/>
    <w:rsid w:val="004A3088"/>
    <w:rsid w:val="004B019E"/>
    <w:rsid w:val="004C0ADD"/>
    <w:rsid w:val="004C4BEE"/>
    <w:rsid w:val="004C6B19"/>
    <w:rsid w:val="004C7B32"/>
    <w:rsid w:val="004D7E32"/>
    <w:rsid w:val="004E3BEE"/>
    <w:rsid w:val="004E4491"/>
    <w:rsid w:val="004E6C1C"/>
    <w:rsid w:val="00501B4F"/>
    <w:rsid w:val="005045AA"/>
    <w:rsid w:val="00504A68"/>
    <w:rsid w:val="005061FD"/>
    <w:rsid w:val="005073A0"/>
    <w:rsid w:val="005077CD"/>
    <w:rsid w:val="0051705A"/>
    <w:rsid w:val="00533481"/>
    <w:rsid w:val="005336CD"/>
    <w:rsid w:val="00550A85"/>
    <w:rsid w:val="00552CDA"/>
    <w:rsid w:val="00555D74"/>
    <w:rsid w:val="005604C0"/>
    <w:rsid w:val="00562362"/>
    <w:rsid w:val="00562761"/>
    <w:rsid w:val="00565AA9"/>
    <w:rsid w:val="005755BB"/>
    <w:rsid w:val="005808DE"/>
    <w:rsid w:val="00591BB5"/>
    <w:rsid w:val="00593705"/>
    <w:rsid w:val="00593A90"/>
    <w:rsid w:val="005A2A82"/>
    <w:rsid w:val="005A319E"/>
    <w:rsid w:val="005B1735"/>
    <w:rsid w:val="005B58AD"/>
    <w:rsid w:val="005C0820"/>
    <w:rsid w:val="005C0863"/>
    <w:rsid w:val="005C2FF3"/>
    <w:rsid w:val="005C44B1"/>
    <w:rsid w:val="005C5540"/>
    <w:rsid w:val="005D26CF"/>
    <w:rsid w:val="005E6722"/>
    <w:rsid w:val="005E7D60"/>
    <w:rsid w:val="005F0BDA"/>
    <w:rsid w:val="005F5E2A"/>
    <w:rsid w:val="005F720E"/>
    <w:rsid w:val="006054DD"/>
    <w:rsid w:val="00605D7E"/>
    <w:rsid w:val="00606F81"/>
    <w:rsid w:val="00615061"/>
    <w:rsid w:val="0061510C"/>
    <w:rsid w:val="00623364"/>
    <w:rsid w:val="006264D7"/>
    <w:rsid w:val="0062730F"/>
    <w:rsid w:val="0062759E"/>
    <w:rsid w:val="0063297D"/>
    <w:rsid w:val="00640ADD"/>
    <w:rsid w:val="00646A08"/>
    <w:rsid w:val="00646BD3"/>
    <w:rsid w:val="0066420E"/>
    <w:rsid w:val="006653BE"/>
    <w:rsid w:val="006720E4"/>
    <w:rsid w:val="0068057C"/>
    <w:rsid w:val="0068656B"/>
    <w:rsid w:val="006875EA"/>
    <w:rsid w:val="00694F5D"/>
    <w:rsid w:val="006A2859"/>
    <w:rsid w:val="006A484F"/>
    <w:rsid w:val="006B02EC"/>
    <w:rsid w:val="006B1F60"/>
    <w:rsid w:val="006B4219"/>
    <w:rsid w:val="006B62A8"/>
    <w:rsid w:val="006B76EF"/>
    <w:rsid w:val="006C5437"/>
    <w:rsid w:val="006C6935"/>
    <w:rsid w:val="006D2BA0"/>
    <w:rsid w:val="006D39DE"/>
    <w:rsid w:val="006D5C29"/>
    <w:rsid w:val="006E42A7"/>
    <w:rsid w:val="006E538B"/>
    <w:rsid w:val="006E641F"/>
    <w:rsid w:val="0071679F"/>
    <w:rsid w:val="00724EE7"/>
    <w:rsid w:val="007261D8"/>
    <w:rsid w:val="007330CD"/>
    <w:rsid w:val="007351EA"/>
    <w:rsid w:val="00744D61"/>
    <w:rsid w:val="007465E8"/>
    <w:rsid w:val="00753AA3"/>
    <w:rsid w:val="007615C9"/>
    <w:rsid w:val="00761D10"/>
    <w:rsid w:val="00766391"/>
    <w:rsid w:val="007717A9"/>
    <w:rsid w:val="00773D5C"/>
    <w:rsid w:val="00783320"/>
    <w:rsid w:val="00784D24"/>
    <w:rsid w:val="007852E8"/>
    <w:rsid w:val="00791BCA"/>
    <w:rsid w:val="007922CB"/>
    <w:rsid w:val="00793254"/>
    <w:rsid w:val="007938BB"/>
    <w:rsid w:val="007A1ADD"/>
    <w:rsid w:val="007B185A"/>
    <w:rsid w:val="007B1C23"/>
    <w:rsid w:val="007B340C"/>
    <w:rsid w:val="007B625B"/>
    <w:rsid w:val="007C1716"/>
    <w:rsid w:val="007C394C"/>
    <w:rsid w:val="007C756F"/>
    <w:rsid w:val="007D52D8"/>
    <w:rsid w:val="007D7C4D"/>
    <w:rsid w:val="007E27AD"/>
    <w:rsid w:val="007E34BB"/>
    <w:rsid w:val="007E4259"/>
    <w:rsid w:val="007F17F1"/>
    <w:rsid w:val="007F346A"/>
    <w:rsid w:val="00805A3D"/>
    <w:rsid w:val="00811C8A"/>
    <w:rsid w:val="00823670"/>
    <w:rsid w:val="008241D4"/>
    <w:rsid w:val="00826710"/>
    <w:rsid w:val="00837650"/>
    <w:rsid w:val="008412A3"/>
    <w:rsid w:val="00843F38"/>
    <w:rsid w:val="0084547F"/>
    <w:rsid w:val="00850181"/>
    <w:rsid w:val="00860320"/>
    <w:rsid w:val="00863D1F"/>
    <w:rsid w:val="0087160C"/>
    <w:rsid w:val="008719A8"/>
    <w:rsid w:val="00874C45"/>
    <w:rsid w:val="008750E5"/>
    <w:rsid w:val="00877364"/>
    <w:rsid w:val="00886B82"/>
    <w:rsid w:val="00887A07"/>
    <w:rsid w:val="00890B6D"/>
    <w:rsid w:val="00894B58"/>
    <w:rsid w:val="008A1657"/>
    <w:rsid w:val="008A1E77"/>
    <w:rsid w:val="008A2398"/>
    <w:rsid w:val="008A2ECC"/>
    <w:rsid w:val="008A6682"/>
    <w:rsid w:val="008A7BC1"/>
    <w:rsid w:val="008B085B"/>
    <w:rsid w:val="008B1B04"/>
    <w:rsid w:val="008B2BF4"/>
    <w:rsid w:val="008C1B63"/>
    <w:rsid w:val="008D0DD8"/>
    <w:rsid w:val="008E19DE"/>
    <w:rsid w:val="008E75AA"/>
    <w:rsid w:val="008F1179"/>
    <w:rsid w:val="008F1607"/>
    <w:rsid w:val="008F1A40"/>
    <w:rsid w:val="008F2AC8"/>
    <w:rsid w:val="008F3D2E"/>
    <w:rsid w:val="008F5DF8"/>
    <w:rsid w:val="008F5FAF"/>
    <w:rsid w:val="008F7338"/>
    <w:rsid w:val="00900E41"/>
    <w:rsid w:val="00921FC2"/>
    <w:rsid w:val="00922CAA"/>
    <w:rsid w:val="0092387C"/>
    <w:rsid w:val="009256C5"/>
    <w:rsid w:val="00925A89"/>
    <w:rsid w:val="00927209"/>
    <w:rsid w:val="00933419"/>
    <w:rsid w:val="0093538D"/>
    <w:rsid w:val="00935CAA"/>
    <w:rsid w:val="00940C01"/>
    <w:rsid w:val="00941BCA"/>
    <w:rsid w:val="0095009A"/>
    <w:rsid w:val="00955CDA"/>
    <w:rsid w:val="009564DD"/>
    <w:rsid w:val="009621BA"/>
    <w:rsid w:val="00962D08"/>
    <w:rsid w:val="0096659F"/>
    <w:rsid w:val="0097062D"/>
    <w:rsid w:val="009747E4"/>
    <w:rsid w:val="00976362"/>
    <w:rsid w:val="00977CB0"/>
    <w:rsid w:val="0099005D"/>
    <w:rsid w:val="00993C83"/>
    <w:rsid w:val="00994F19"/>
    <w:rsid w:val="00995AB2"/>
    <w:rsid w:val="009A1863"/>
    <w:rsid w:val="009A3B3F"/>
    <w:rsid w:val="009B1DB8"/>
    <w:rsid w:val="009C021D"/>
    <w:rsid w:val="009C0EC6"/>
    <w:rsid w:val="009C22D2"/>
    <w:rsid w:val="009C44C9"/>
    <w:rsid w:val="009C5412"/>
    <w:rsid w:val="009C6931"/>
    <w:rsid w:val="009D3333"/>
    <w:rsid w:val="009D55B2"/>
    <w:rsid w:val="009D7479"/>
    <w:rsid w:val="009D74C0"/>
    <w:rsid w:val="009E145B"/>
    <w:rsid w:val="009E19B6"/>
    <w:rsid w:val="009E3CEA"/>
    <w:rsid w:val="009E4F34"/>
    <w:rsid w:val="009E5A4E"/>
    <w:rsid w:val="009F464F"/>
    <w:rsid w:val="009F5239"/>
    <w:rsid w:val="00A07D48"/>
    <w:rsid w:val="00A10679"/>
    <w:rsid w:val="00A11143"/>
    <w:rsid w:val="00A22AE7"/>
    <w:rsid w:val="00A249DE"/>
    <w:rsid w:val="00A30B6D"/>
    <w:rsid w:val="00A32CE2"/>
    <w:rsid w:val="00A330B8"/>
    <w:rsid w:val="00A37CA4"/>
    <w:rsid w:val="00A37EE6"/>
    <w:rsid w:val="00A41F0B"/>
    <w:rsid w:val="00A436FB"/>
    <w:rsid w:val="00A72D37"/>
    <w:rsid w:val="00A90FC6"/>
    <w:rsid w:val="00A91307"/>
    <w:rsid w:val="00AA68FB"/>
    <w:rsid w:val="00AB22BC"/>
    <w:rsid w:val="00AB58F1"/>
    <w:rsid w:val="00AC11D2"/>
    <w:rsid w:val="00AC74FE"/>
    <w:rsid w:val="00AD0C85"/>
    <w:rsid w:val="00AD2420"/>
    <w:rsid w:val="00AD48D0"/>
    <w:rsid w:val="00AD5F6F"/>
    <w:rsid w:val="00AD7C60"/>
    <w:rsid w:val="00AE0F18"/>
    <w:rsid w:val="00AE24BE"/>
    <w:rsid w:val="00AE318F"/>
    <w:rsid w:val="00AE4C39"/>
    <w:rsid w:val="00AE7861"/>
    <w:rsid w:val="00AF62AC"/>
    <w:rsid w:val="00B028BD"/>
    <w:rsid w:val="00B0458D"/>
    <w:rsid w:val="00B16823"/>
    <w:rsid w:val="00B17690"/>
    <w:rsid w:val="00B26CA6"/>
    <w:rsid w:val="00B34776"/>
    <w:rsid w:val="00B34E20"/>
    <w:rsid w:val="00B3567D"/>
    <w:rsid w:val="00B36E39"/>
    <w:rsid w:val="00B40E0F"/>
    <w:rsid w:val="00B4127E"/>
    <w:rsid w:val="00B413F2"/>
    <w:rsid w:val="00B4157A"/>
    <w:rsid w:val="00B41871"/>
    <w:rsid w:val="00B42B51"/>
    <w:rsid w:val="00B430B6"/>
    <w:rsid w:val="00B46A18"/>
    <w:rsid w:val="00B46F8E"/>
    <w:rsid w:val="00B52F99"/>
    <w:rsid w:val="00B55820"/>
    <w:rsid w:val="00B55F2A"/>
    <w:rsid w:val="00B57400"/>
    <w:rsid w:val="00B62816"/>
    <w:rsid w:val="00B71F55"/>
    <w:rsid w:val="00B74E0C"/>
    <w:rsid w:val="00B75AD9"/>
    <w:rsid w:val="00B777FC"/>
    <w:rsid w:val="00B9013B"/>
    <w:rsid w:val="00B91C4F"/>
    <w:rsid w:val="00B92520"/>
    <w:rsid w:val="00B942FB"/>
    <w:rsid w:val="00BA11DF"/>
    <w:rsid w:val="00BB0712"/>
    <w:rsid w:val="00BB1F64"/>
    <w:rsid w:val="00BB4268"/>
    <w:rsid w:val="00BB54A8"/>
    <w:rsid w:val="00BB5F05"/>
    <w:rsid w:val="00BC52F5"/>
    <w:rsid w:val="00BC57A0"/>
    <w:rsid w:val="00BC59B5"/>
    <w:rsid w:val="00BD3139"/>
    <w:rsid w:val="00BD4B79"/>
    <w:rsid w:val="00BE3112"/>
    <w:rsid w:val="00BF1181"/>
    <w:rsid w:val="00BF30AF"/>
    <w:rsid w:val="00BF6849"/>
    <w:rsid w:val="00C02433"/>
    <w:rsid w:val="00C02A85"/>
    <w:rsid w:val="00C06036"/>
    <w:rsid w:val="00C06800"/>
    <w:rsid w:val="00C07382"/>
    <w:rsid w:val="00C132DD"/>
    <w:rsid w:val="00C31AF8"/>
    <w:rsid w:val="00C34AE5"/>
    <w:rsid w:val="00C36FCE"/>
    <w:rsid w:val="00C42FF2"/>
    <w:rsid w:val="00C5025C"/>
    <w:rsid w:val="00C50DBB"/>
    <w:rsid w:val="00C52FD5"/>
    <w:rsid w:val="00C7204C"/>
    <w:rsid w:val="00C7220B"/>
    <w:rsid w:val="00C72BB4"/>
    <w:rsid w:val="00C73DAC"/>
    <w:rsid w:val="00C764BE"/>
    <w:rsid w:val="00C76C59"/>
    <w:rsid w:val="00C83504"/>
    <w:rsid w:val="00C94493"/>
    <w:rsid w:val="00C9460F"/>
    <w:rsid w:val="00C9662F"/>
    <w:rsid w:val="00CB483E"/>
    <w:rsid w:val="00CB5176"/>
    <w:rsid w:val="00CC3487"/>
    <w:rsid w:val="00CD22A9"/>
    <w:rsid w:val="00CD727C"/>
    <w:rsid w:val="00CE1F84"/>
    <w:rsid w:val="00CE5102"/>
    <w:rsid w:val="00CF0F0B"/>
    <w:rsid w:val="00CF67BF"/>
    <w:rsid w:val="00D00302"/>
    <w:rsid w:val="00D07DE6"/>
    <w:rsid w:val="00D10854"/>
    <w:rsid w:val="00D12B7F"/>
    <w:rsid w:val="00D1355D"/>
    <w:rsid w:val="00D1411E"/>
    <w:rsid w:val="00D16CA3"/>
    <w:rsid w:val="00D22576"/>
    <w:rsid w:val="00D22EA7"/>
    <w:rsid w:val="00D414BF"/>
    <w:rsid w:val="00D42A25"/>
    <w:rsid w:val="00D43DE1"/>
    <w:rsid w:val="00D4662B"/>
    <w:rsid w:val="00D47C19"/>
    <w:rsid w:val="00D52AF6"/>
    <w:rsid w:val="00D53419"/>
    <w:rsid w:val="00D572CF"/>
    <w:rsid w:val="00D62759"/>
    <w:rsid w:val="00D62FB0"/>
    <w:rsid w:val="00D638BC"/>
    <w:rsid w:val="00D66711"/>
    <w:rsid w:val="00D67491"/>
    <w:rsid w:val="00D76F1C"/>
    <w:rsid w:val="00D82121"/>
    <w:rsid w:val="00D82924"/>
    <w:rsid w:val="00D83472"/>
    <w:rsid w:val="00D938E4"/>
    <w:rsid w:val="00DA45A8"/>
    <w:rsid w:val="00DA6E82"/>
    <w:rsid w:val="00DB6362"/>
    <w:rsid w:val="00DC06D8"/>
    <w:rsid w:val="00DD350B"/>
    <w:rsid w:val="00DD6CE6"/>
    <w:rsid w:val="00DE10FB"/>
    <w:rsid w:val="00DF3F68"/>
    <w:rsid w:val="00E0562D"/>
    <w:rsid w:val="00E1058E"/>
    <w:rsid w:val="00E1083E"/>
    <w:rsid w:val="00E1518D"/>
    <w:rsid w:val="00E23820"/>
    <w:rsid w:val="00E2606C"/>
    <w:rsid w:val="00E26F1B"/>
    <w:rsid w:val="00E3052A"/>
    <w:rsid w:val="00E314BE"/>
    <w:rsid w:val="00E32EC1"/>
    <w:rsid w:val="00E40D01"/>
    <w:rsid w:val="00E42B2C"/>
    <w:rsid w:val="00E457D2"/>
    <w:rsid w:val="00E46E46"/>
    <w:rsid w:val="00E4725F"/>
    <w:rsid w:val="00E641FB"/>
    <w:rsid w:val="00E64CE9"/>
    <w:rsid w:val="00E67E9A"/>
    <w:rsid w:val="00E73191"/>
    <w:rsid w:val="00E7751B"/>
    <w:rsid w:val="00E812A4"/>
    <w:rsid w:val="00E826FB"/>
    <w:rsid w:val="00E97961"/>
    <w:rsid w:val="00EA705D"/>
    <w:rsid w:val="00EB2E3E"/>
    <w:rsid w:val="00EC656E"/>
    <w:rsid w:val="00EC6932"/>
    <w:rsid w:val="00ED18F7"/>
    <w:rsid w:val="00ED3D21"/>
    <w:rsid w:val="00ED70D1"/>
    <w:rsid w:val="00EE3342"/>
    <w:rsid w:val="00EE5B13"/>
    <w:rsid w:val="00EF2331"/>
    <w:rsid w:val="00F00F28"/>
    <w:rsid w:val="00F03DF1"/>
    <w:rsid w:val="00F056D2"/>
    <w:rsid w:val="00F13543"/>
    <w:rsid w:val="00F1492E"/>
    <w:rsid w:val="00F2629C"/>
    <w:rsid w:val="00F40DE6"/>
    <w:rsid w:val="00F428D6"/>
    <w:rsid w:val="00F53961"/>
    <w:rsid w:val="00F53BF3"/>
    <w:rsid w:val="00F5675F"/>
    <w:rsid w:val="00F56A6C"/>
    <w:rsid w:val="00F57B59"/>
    <w:rsid w:val="00F61887"/>
    <w:rsid w:val="00F731F6"/>
    <w:rsid w:val="00F808A7"/>
    <w:rsid w:val="00F85136"/>
    <w:rsid w:val="00F87583"/>
    <w:rsid w:val="00F87C4D"/>
    <w:rsid w:val="00F91ABB"/>
    <w:rsid w:val="00F95358"/>
    <w:rsid w:val="00F974F5"/>
    <w:rsid w:val="00F977B5"/>
    <w:rsid w:val="00FA3ABD"/>
    <w:rsid w:val="00FA3B08"/>
    <w:rsid w:val="00FB4BFC"/>
    <w:rsid w:val="00FB72E1"/>
    <w:rsid w:val="00FE05A6"/>
    <w:rsid w:val="00FE4380"/>
    <w:rsid w:val="00FF2CE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locked="1" w:semiHidden="1" w:unhideWhenUsed="1" w:qFormat="1"/>
    <w:lsdException w:name="envelope address" w:locked="1"/>
    <w:lsdException w:name="envelope return"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uiPriority="99"/>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321886"/>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321886"/>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321886"/>
    <w:pPr>
      <w:keepNext/>
      <w:tabs>
        <w:tab w:val="left" w:pos="737"/>
      </w:tabs>
      <w:spacing w:after="240"/>
      <w:outlineLvl w:val="2"/>
    </w:pPr>
    <w:rPr>
      <w:b/>
      <w:color w:val="auto"/>
      <w:lang w:eastAsia="en-GB"/>
    </w:rPr>
  </w:style>
  <w:style w:type="paragraph" w:styleId="Heading4">
    <w:name w:val="heading 4"/>
    <w:basedOn w:val="Normal"/>
    <w:next w:val="Normal"/>
    <w:qFormat/>
    <w:rsid w:val="00321886"/>
    <w:pPr>
      <w:keepNext/>
      <w:tabs>
        <w:tab w:val="left" w:pos="737"/>
      </w:tabs>
      <w:spacing w:after="240"/>
      <w:outlineLvl w:val="3"/>
    </w:pPr>
    <w:rPr>
      <w:i/>
      <w:color w:val="auto"/>
      <w:lang w:eastAsia="en-GB"/>
    </w:rPr>
  </w:style>
  <w:style w:type="paragraph" w:styleId="Heading5">
    <w:name w:val="heading 5"/>
    <w:basedOn w:val="Normal"/>
    <w:next w:val="Normal"/>
    <w:qFormat/>
    <w:locked/>
    <w:pPr>
      <w:keepNext/>
      <w:spacing w:after="240"/>
      <w:ind w:left="567"/>
      <w:outlineLvl w:val="4"/>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skeyfindings">
    <w:name w:val="Bullets (key findings)"/>
    <w:basedOn w:val="Normal"/>
    <w:rsid w:val="0001349B"/>
    <w:pPr>
      <w:numPr>
        <w:numId w:val="1"/>
      </w:numPr>
      <w:spacing w:after="120"/>
    </w:pPr>
  </w:style>
  <w:style w:type="character" w:customStyle="1" w:styleId="UnnumberedparagraphChar">
    <w:name w:val="Unnumbered paragraph Char"/>
    <w:link w:val="Unnumberedparagraph"/>
    <w:rsid w:val="006720E4"/>
    <w:rPr>
      <w:rFonts w:ascii="Tahoma" w:hAnsi="Tahoma"/>
      <w:color w:val="000000"/>
      <w:sz w:val="24"/>
      <w:szCs w:val="24"/>
      <w:lang w:val="en-GB" w:eastAsia="en-US" w:bidi="ar-SA"/>
    </w:rPr>
  </w:style>
  <w:style w:type="paragraph" w:styleId="Footer">
    <w:name w:val="footer"/>
    <w:basedOn w:val="Normal"/>
    <w:pPr>
      <w:tabs>
        <w:tab w:val="center" w:pos="4320"/>
        <w:tab w:val="right" w:pos="8640"/>
      </w:tabs>
    </w:pPr>
    <w:rPr>
      <w:sz w:val="20"/>
    </w:rPr>
  </w:style>
  <w:style w:type="paragraph" w:styleId="Header">
    <w:name w:val="header"/>
    <w:basedOn w:val="Normal"/>
    <w:locked/>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link w:val="BulletsspacedChar"/>
    <w:uiPriority w:val="99"/>
    <w:rsid w:val="00A10679"/>
    <w:pPr>
      <w:numPr>
        <w:numId w:val="8"/>
      </w:numPr>
      <w:spacing w:before="120"/>
    </w:pPr>
    <w:rPr>
      <w:lang/>
    </w:r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locked/>
    <w:pPr>
      <w:spacing w:line="160" w:lineRule="exact"/>
    </w:pPr>
    <w:rPr>
      <w:b/>
      <w:sz w:val="14"/>
    </w:rPr>
  </w:style>
  <w:style w:type="paragraph" w:customStyle="1" w:styleId="Publicationboxtext">
    <w:name w:val="Publication box text"/>
    <w:basedOn w:val="Normal"/>
    <w:locked/>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locked/>
    <w:rsid w:val="001E10F9"/>
    <w:pPr>
      <w:tabs>
        <w:tab w:val="num" w:pos="680"/>
      </w:tabs>
      <w:ind w:left="680" w:hanging="340"/>
    </w:pPr>
  </w:style>
  <w:style w:type="paragraph" w:customStyle="1" w:styleId="Bulletsspaced-lastbullet">
    <w:name w:val="Bullets (spaced) - last bullet"/>
    <w:basedOn w:val="Bulletsspaced"/>
    <w:next w:val="Numberedparagraph"/>
    <w:link w:val="Bulletsspaced-lastbulletChar"/>
    <w:rsid w:val="00927209"/>
    <w:pPr>
      <w:spacing w:after="240"/>
    </w:pPr>
  </w:style>
  <w:style w:type="paragraph" w:customStyle="1" w:styleId="Numberedparagraph">
    <w:name w:val="Numbered paragraph"/>
    <w:basedOn w:val="Unnumberedparagraph"/>
    <w:link w:val="NumberedparagraphChar"/>
    <w:rsid w:val="00CD727C"/>
    <w:pPr>
      <w:numPr>
        <w:numId w:val="7"/>
      </w:numPr>
    </w:pPr>
  </w:style>
  <w:style w:type="paragraph" w:customStyle="1" w:styleId="Unnumberedparagraph">
    <w:name w:val="Unnumbered paragraph"/>
    <w:basedOn w:val="Normal"/>
    <w:link w:val="UnnumberedparagraphChar"/>
    <w:pPr>
      <w:spacing w:after="240"/>
    </w:pPr>
  </w:style>
  <w:style w:type="paragraph" w:customStyle="1" w:styleId="Summary">
    <w:name w:val="Summary"/>
    <w:basedOn w:val="Normal"/>
    <w:rsid w:val="00455E93"/>
  </w:style>
  <w:style w:type="character" w:styleId="CommentReference">
    <w:name w:val="annotation reference"/>
    <w:semiHidden/>
    <w:locked/>
    <w:rPr>
      <w:sz w:val="16"/>
      <w:szCs w:val="16"/>
    </w:rPr>
  </w:style>
  <w:style w:type="paragraph" w:styleId="CommentText">
    <w:name w:val="annotation text"/>
    <w:basedOn w:val="Normal"/>
    <w:semiHidden/>
    <w:locked/>
    <w:rPr>
      <w:sz w:val="20"/>
      <w:szCs w:val="20"/>
    </w:rPr>
  </w:style>
  <w:style w:type="paragraph" w:styleId="CommentSubject">
    <w:name w:val="annotation subject"/>
    <w:basedOn w:val="CommentText"/>
    <w:next w:val="CommentText"/>
    <w:semiHidden/>
    <w:locked/>
    <w:rPr>
      <w:b/>
      <w:bCs/>
    </w:rPr>
  </w:style>
  <w:style w:type="paragraph" w:styleId="BalloonText">
    <w:name w:val="Balloon Text"/>
    <w:basedOn w:val="Normal"/>
    <w:semiHidden/>
    <w:locked/>
    <w:rPr>
      <w:rFonts w:cs="Tahoma"/>
      <w:sz w:val="16"/>
      <w:szCs w:val="16"/>
    </w:rPr>
  </w:style>
  <w:style w:type="paragraph" w:styleId="FootnoteText">
    <w:name w:val="footnote text"/>
    <w:basedOn w:val="Normal"/>
    <w:semiHidden/>
    <w:rPr>
      <w:sz w:val="20"/>
      <w:szCs w:val="20"/>
    </w:rPr>
  </w:style>
  <w:style w:type="character" w:styleId="FootnoteReference">
    <w:name w:val="footnote reference"/>
    <w:semiHidden/>
    <w:locked/>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A10679"/>
    <w:pPr>
      <w:tabs>
        <w:tab w:val="left" w:pos="567"/>
        <w:tab w:val="num" w:pos="927"/>
      </w:tabs>
      <w:spacing w:before="60" w:after="60"/>
      <w:ind w:left="568" w:hanging="357"/>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locked/>
    <w:rsid w:val="00A10679"/>
    <w:pPr>
      <w:numPr>
        <w:numId w:val="11"/>
      </w:numPr>
      <w:tabs>
        <w:tab w:val="left" w:pos="1247"/>
      </w:tabs>
      <w:ind w:left="896" w:hanging="357"/>
    </w:pPr>
  </w:style>
  <w:style w:type="paragraph" w:customStyle="1" w:styleId="Bulletsdashes">
    <w:name w:val="Bullets (dashes)"/>
    <w:basedOn w:val="Bulletsspaced"/>
    <w:rsid w:val="007F17F1"/>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character" w:customStyle="1" w:styleId="BulletsspacedChar">
    <w:name w:val="Bullets (spaced) Char"/>
    <w:link w:val="Bulletsspaced"/>
    <w:uiPriority w:val="99"/>
    <w:rsid w:val="009D7479"/>
    <w:rPr>
      <w:rFonts w:ascii="Tahoma" w:hAnsi="Tahoma"/>
      <w:color w:val="000000"/>
      <w:sz w:val="24"/>
      <w:szCs w:val="24"/>
      <w:lang w:eastAsia="en-US"/>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7F17F1"/>
    <w:pPr>
      <w:spacing w:after="240"/>
    </w:pPr>
  </w:style>
  <w:style w:type="paragraph" w:customStyle="1" w:styleId="Numberedlist-lastnumber">
    <w:name w:val="Numbered list - last number"/>
    <w:basedOn w:val="Numberedlist"/>
    <w:next w:val="Numberedparagraph"/>
    <w:locked/>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locked/>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styleId="Hyperlink">
    <w:name w:val="Hyperlink"/>
    <w:uiPriority w:val="99"/>
    <w:locked/>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locked/>
    <w:rsid w:val="008A2ECC"/>
    <w:rPr>
      <w:color w:val="800080"/>
      <w:u w:val="single"/>
    </w:rPr>
  </w:style>
  <w:style w:type="character" w:customStyle="1" w:styleId="NumberedparagraphChar">
    <w:name w:val="Numbered paragraph Char"/>
    <w:basedOn w:val="UnnumberedparagraphChar"/>
    <w:link w:val="Numberedparagraph"/>
    <w:rsid w:val="009D7479"/>
  </w:style>
  <w:style w:type="paragraph" w:styleId="BodyText2">
    <w:name w:val="Body Text 2"/>
    <w:aliases w:val=" Char"/>
    <w:basedOn w:val="Normal"/>
    <w:link w:val="BodyText2Char"/>
    <w:locked/>
    <w:rsid w:val="001E10F9"/>
    <w:pPr>
      <w:spacing w:after="120" w:line="480" w:lineRule="auto"/>
      <w:jc w:val="both"/>
    </w:pPr>
    <w:rPr>
      <w:rFonts w:ascii="Arial" w:hAnsi="Arial"/>
      <w:color w:val="auto"/>
      <w:lang w:eastAsia="en-GB"/>
    </w:rPr>
  </w:style>
  <w:style w:type="character" w:customStyle="1" w:styleId="BodyText2Char">
    <w:name w:val="Body Text 2 Char"/>
    <w:aliases w:val=" Char Char1"/>
    <w:link w:val="BodyText2"/>
    <w:rsid w:val="001E10F9"/>
    <w:rPr>
      <w:rFonts w:ascii="Arial" w:hAnsi="Arial"/>
      <w:sz w:val="24"/>
      <w:szCs w:val="24"/>
      <w:lang w:val="en-GB" w:eastAsia="en-GB" w:bidi="ar-SA"/>
    </w:rPr>
  </w:style>
  <w:style w:type="character" w:styleId="Strong">
    <w:name w:val="Strong"/>
    <w:qFormat/>
    <w:locked/>
    <w:rsid w:val="001E10F9"/>
    <w:rPr>
      <w:b/>
      <w:bCs/>
    </w:rPr>
  </w:style>
  <w:style w:type="paragraph" w:styleId="BodyText">
    <w:name w:val="Body Text"/>
    <w:basedOn w:val="Normal"/>
    <w:link w:val="BodyTextChar"/>
    <w:locked/>
    <w:rsid w:val="001E10F9"/>
    <w:pPr>
      <w:spacing w:after="120"/>
    </w:pPr>
    <w:rPr>
      <w:rFonts w:ascii="Times New Roman" w:hAnsi="Times New Roman"/>
      <w:color w:val="auto"/>
      <w:lang w:eastAsia="en-GB"/>
    </w:rPr>
  </w:style>
  <w:style w:type="paragraph" w:styleId="ListBullet2">
    <w:name w:val="List Bullet 2"/>
    <w:basedOn w:val="Normal"/>
    <w:link w:val="ListBullet2Char"/>
    <w:locked/>
    <w:rsid w:val="001E10F9"/>
    <w:pPr>
      <w:numPr>
        <w:numId w:val="5"/>
      </w:numPr>
    </w:pPr>
    <w:rPr>
      <w:rFonts w:ascii="Times New Roman" w:hAnsi="Times New Roman"/>
      <w:color w:val="auto"/>
      <w:lang w:eastAsia="en-GB"/>
    </w:rPr>
  </w:style>
  <w:style w:type="character" w:customStyle="1" w:styleId="Heading2Char">
    <w:name w:val="Heading 2 Char"/>
    <w:link w:val="Heading2"/>
    <w:rsid w:val="00321886"/>
    <w:rPr>
      <w:rFonts w:ascii="Tahoma" w:hAnsi="Tahoma"/>
      <w:b/>
      <w:sz w:val="28"/>
      <w:szCs w:val="28"/>
      <w:lang w:val="en-GB" w:eastAsia="en-GB" w:bidi="ar-SA"/>
    </w:rPr>
  </w:style>
  <w:style w:type="character" w:customStyle="1" w:styleId="BodyTextChar">
    <w:name w:val="Body Text Char"/>
    <w:link w:val="BodyText"/>
    <w:rsid w:val="001E10F9"/>
    <w:rPr>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uiPriority w:val="39"/>
    <w:rsid w:val="00E97961"/>
    <w:pPr>
      <w:ind w:left="240"/>
    </w:pPr>
  </w:style>
  <w:style w:type="paragraph" w:styleId="TOC3">
    <w:name w:val="toc 3"/>
    <w:basedOn w:val="Normal"/>
    <w:next w:val="Normal"/>
    <w:autoRedefine/>
    <w:uiPriority w:val="39"/>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locked/>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character" w:customStyle="1" w:styleId="Bulletsspaced-lastbulletChar">
    <w:name w:val="Bullets (spaced) - last bullet Char"/>
    <w:basedOn w:val="BulletsspacedChar"/>
    <w:link w:val="Bulletsspaced-lastbullet"/>
    <w:rsid w:val="009747E4"/>
  </w:style>
  <w:style w:type="paragraph" w:customStyle="1" w:styleId="loose">
    <w:name w:val="loose"/>
    <w:basedOn w:val="Normal"/>
    <w:rsid w:val="003A5B9E"/>
    <w:pPr>
      <w:spacing w:before="210"/>
    </w:pPr>
    <w:rPr>
      <w:rFonts w:ascii="Times New Roman" w:hAnsi="Times New Roman"/>
      <w:color w:val="auto"/>
      <w:lang w:eastAsia="en-GB"/>
    </w:rPr>
  </w:style>
</w:styles>
</file>

<file path=word/webSettings.xml><?xml version="1.0" encoding="utf-8"?>
<w:webSettings xmlns:r="http://schemas.openxmlformats.org/officeDocument/2006/relationships" xmlns:w="http://schemas.openxmlformats.org/wordprocessingml/2006/main">
  <w:divs>
    <w:div w:id="666247783">
      <w:bodyDiv w:val="1"/>
      <w:marLeft w:val="0"/>
      <w:marRight w:val="0"/>
      <w:marTop w:val="0"/>
      <w:marBottom w:val="0"/>
      <w:divBdr>
        <w:top w:val="none" w:sz="0" w:space="0" w:color="auto"/>
        <w:left w:val="none" w:sz="0" w:space="0" w:color="auto"/>
        <w:bottom w:val="none" w:sz="0" w:space="0" w:color="auto"/>
        <w:right w:val="none" w:sz="0" w:space="0" w:color="auto"/>
      </w:divBdr>
      <w:divsChild>
        <w:div w:id="785807084">
          <w:marLeft w:val="75"/>
          <w:marRight w:val="75"/>
          <w:marTop w:val="0"/>
          <w:marBottom w:val="0"/>
          <w:divBdr>
            <w:top w:val="none" w:sz="0" w:space="0" w:color="auto"/>
            <w:left w:val="none" w:sz="0" w:space="0" w:color="auto"/>
            <w:bottom w:val="none" w:sz="0" w:space="0" w:color="auto"/>
            <w:right w:val="none" w:sz="0" w:space="0" w:color="auto"/>
          </w:divBdr>
          <w:divsChild>
            <w:div w:id="2007392464">
              <w:marLeft w:val="0"/>
              <w:marRight w:val="0"/>
              <w:marTop w:val="0"/>
              <w:marBottom w:val="0"/>
              <w:divBdr>
                <w:top w:val="none" w:sz="0" w:space="0" w:color="auto"/>
                <w:left w:val="none" w:sz="0" w:space="0" w:color="auto"/>
                <w:bottom w:val="none" w:sz="0" w:space="0" w:color="auto"/>
                <w:right w:val="none" w:sz="0" w:space="0" w:color="auto"/>
              </w:divBdr>
              <w:divsChild>
                <w:div w:id="1005933407">
                  <w:marLeft w:val="0"/>
                  <w:marRight w:val="0"/>
                  <w:marTop w:val="0"/>
                  <w:marBottom w:val="0"/>
                  <w:divBdr>
                    <w:top w:val="none" w:sz="0" w:space="0" w:color="auto"/>
                    <w:left w:val="none" w:sz="0" w:space="0" w:color="auto"/>
                    <w:bottom w:val="none" w:sz="0" w:space="0" w:color="auto"/>
                    <w:right w:val="none" w:sz="0" w:space="0" w:color="auto"/>
                  </w:divBdr>
                  <w:divsChild>
                    <w:div w:id="1956522208">
                      <w:marLeft w:val="0"/>
                      <w:marRight w:val="0"/>
                      <w:marTop w:val="210"/>
                      <w:marBottom w:val="0"/>
                      <w:divBdr>
                        <w:top w:val="none" w:sz="0" w:space="0" w:color="auto"/>
                        <w:left w:val="none" w:sz="0" w:space="0" w:color="auto"/>
                        <w:bottom w:val="none" w:sz="0" w:space="0" w:color="auto"/>
                        <w:right w:val="none" w:sz="0" w:space="0" w:color="auto"/>
                      </w:divBdr>
                      <w:divsChild>
                        <w:div w:id="1833329424">
                          <w:marLeft w:val="0"/>
                          <w:marRight w:val="0"/>
                          <w:marTop w:val="0"/>
                          <w:marBottom w:val="0"/>
                          <w:divBdr>
                            <w:top w:val="none" w:sz="0" w:space="0" w:color="auto"/>
                            <w:left w:val="none" w:sz="0" w:space="0" w:color="auto"/>
                            <w:bottom w:val="none" w:sz="0" w:space="0" w:color="auto"/>
                            <w:right w:val="none" w:sz="0" w:space="0" w:color="auto"/>
                          </w:divBdr>
                          <w:divsChild>
                            <w:div w:id="1136407855">
                              <w:marLeft w:val="105"/>
                              <w:marRight w:val="0"/>
                              <w:marTop w:val="0"/>
                              <w:marBottom w:val="0"/>
                              <w:divBdr>
                                <w:top w:val="none" w:sz="0" w:space="0" w:color="auto"/>
                                <w:left w:val="none" w:sz="0" w:space="0" w:color="auto"/>
                                <w:bottom w:val="none" w:sz="0" w:space="0" w:color="auto"/>
                                <w:right w:val="none" w:sz="0" w:space="0" w:color="auto"/>
                              </w:divBdr>
                              <w:divsChild>
                                <w:div w:id="2036998475">
                                  <w:marLeft w:val="105"/>
                                  <w:marRight w:val="0"/>
                                  <w:marTop w:val="0"/>
                                  <w:marBottom w:val="0"/>
                                  <w:divBdr>
                                    <w:top w:val="none" w:sz="0" w:space="0" w:color="auto"/>
                                    <w:left w:val="none" w:sz="0" w:space="0" w:color="auto"/>
                                    <w:bottom w:val="none" w:sz="0" w:space="0" w:color="auto"/>
                                    <w:right w:val="none" w:sz="0" w:space="0" w:color="auto"/>
                                  </w:divBdr>
                                  <w:divsChild>
                                    <w:div w:id="1736319375">
                                      <w:marLeft w:val="105"/>
                                      <w:marRight w:val="0"/>
                                      <w:marTop w:val="0"/>
                                      <w:marBottom w:val="0"/>
                                      <w:divBdr>
                                        <w:top w:val="none" w:sz="0" w:space="0" w:color="auto"/>
                                        <w:left w:val="none" w:sz="0" w:space="0" w:color="auto"/>
                                        <w:bottom w:val="none" w:sz="0" w:space="0" w:color="auto"/>
                                        <w:right w:val="none" w:sz="0" w:space="0" w:color="auto"/>
                                      </w:divBdr>
                                      <w:divsChild>
                                        <w:div w:id="549653207">
                                          <w:marLeft w:val="105"/>
                                          <w:marRight w:val="0"/>
                                          <w:marTop w:val="0"/>
                                          <w:marBottom w:val="0"/>
                                          <w:divBdr>
                                            <w:top w:val="none" w:sz="0" w:space="0" w:color="auto"/>
                                            <w:left w:val="none" w:sz="0" w:space="0" w:color="auto"/>
                                            <w:bottom w:val="none" w:sz="0" w:space="0" w:color="auto"/>
                                            <w:right w:val="none" w:sz="0" w:space="0" w:color="auto"/>
                                          </w:divBdr>
                                          <w:divsChild>
                                            <w:div w:id="143039147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95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qualityhumanrights.com/advice-and-guidance/education-providers-schools-guidance/" TargetMode="External"/><Relationship Id="rId27"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fsted.gov.uk/resources/091097"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6" Type="http://schemas.openxmlformats.org/officeDocument/2006/relationships/image" Target="media/image3.jpeg"/><Relationship Id="rId5" Type="http://schemas.openxmlformats.org/officeDocument/2006/relationships/hyperlink" Target="http://www.ofsted.gov.uk" TargetMode="External"/><Relationship Id="rId4" Type="http://schemas.openxmlformats.org/officeDocument/2006/relationships/hyperlink" Target="file:///C:\Users\mcarroll\AppData\Local\Microsoft\BIRG\Better%20Inspection%20and%20Regulation%20Meeting\Document%20Library\6\www.ofsted.gov.uk\us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ofsted.gov.uk/resources/080272" TargetMode="External"/><Relationship Id="rId3" Type="http://schemas.openxmlformats.org/officeDocument/2006/relationships/hyperlink" Target="http://www.ofsted.gov.uk/resources/090239" TargetMode="External"/><Relationship Id="rId7" Type="http://schemas.openxmlformats.org/officeDocument/2006/relationships/hyperlink" Target="http://www.ofsted.gov.uk/news/tackling-challenge-of-poor-numeracy-skills-why-some-teaching-and-learning-adds-while-other-provision?news=14981" TargetMode="External"/><Relationship Id="rId2" Type="http://schemas.openxmlformats.org/officeDocument/2006/relationships/hyperlink" Target="http://www.education.gov.uk/aboutdfe/advice/f00215460/equality-act-2010-departmental-advice" TargetMode="External"/><Relationship Id="rId1" Type="http://schemas.openxmlformats.org/officeDocument/2006/relationships/hyperlink" Target="http://www.education.gov.uk/aboutdfe/policiesandprocedures/equalityanddiversity/f00215460/equality-act-2010-departmental-advice" TargetMode="External"/><Relationship Id="rId6" Type="http://schemas.openxmlformats.org/officeDocument/2006/relationships/hyperlink" Target="http://www.ofsted.gov.uk/resources/090237" TargetMode="External"/><Relationship Id="rId5" Type="http://schemas.openxmlformats.org/officeDocument/2006/relationships/hyperlink" Target="http://www.ofsted.gov.uk/resources/120101" TargetMode="External"/><Relationship Id="rId4" Type="http://schemas.openxmlformats.org/officeDocument/2006/relationships/hyperlink" Target="http://www.ofsted.gov.uk/resources/100229" TargetMode="External"/><Relationship Id="rId9" Type="http://schemas.openxmlformats.org/officeDocument/2006/relationships/hyperlink" Target="http://www.ofsted.gov.uk/resources/070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2hq\Newfileplan$\Divisions%20And%20Offices\IIF\Templates\PublicationTemplates_Sept09\DOT%20Documents%20(DO%20NOT%20USE)\Template_summ_copy_cont_PROTEC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1F15D-09C4-4D2C-B76D-661A2D5B8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117B9A-BDFD-4360-A7BD-ACA5C59B2658}">
  <ds:schemaRefs>
    <ds:schemaRef ds:uri="http://schemas.microsoft.com/office/2006/metadata/longProperties"/>
  </ds:schemaRefs>
</ds:datastoreItem>
</file>

<file path=customXml/itemProps3.xml><?xml version="1.0" encoding="utf-8"?>
<ds:datastoreItem xmlns:ds="http://schemas.openxmlformats.org/officeDocument/2006/customXml" ds:itemID="{D5AC13A2-4941-42C2-8DFC-FC31449863B0}">
  <ds:schemaRefs>
    <ds:schemaRef ds:uri="http://schemas.microsoft.com/sharepoint/v3/contenttype/forms"/>
  </ds:schemaRefs>
</ds:datastoreItem>
</file>

<file path=customXml/itemProps4.xml><?xml version="1.0" encoding="utf-8"?>
<ds:datastoreItem xmlns:ds="http://schemas.openxmlformats.org/officeDocument/2006/customXml" ds:itemID="{A654EAA6-9A12-4BF3-8FF4-1C50B170D7AF}">
  <ds:schemaRefs>
    <ds:schemaRef ds:uri="http://schemas.microsoft.com/office/2006/metadata/properties"/>
  </ds:schemaRefs>
</ds:datastoreItem>
</file>

<file path=customXml/itemProps5.xml><?xml version="1.0" encoding="utf-8"?>
<ds:datastoreItem xmlns:ds="http://schemas.openxmlformats.org/officeDocument/2006/customXml" ds:itemID="{F428BFC2-2F81-41EC-8421-DF3C669C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Template_summ_copy_cont_PROTECTED.dot</Template>
  <TotalTime>0</TotalTime>
  <Pages>18</Pages>
  <Words>4616</Words>
  <Characters>26315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Inspecting equalities briefing</vt:lpstr>
    </vt:vector>
  </TitlesOfParts>
  <Company>Ofsted</Company>
  <LinksUpToDate>false</LinksUpToDate>
  <CharactersWithSpaces>30870</CharactersWithSpaces>
  <SharedDoc>false</SharedDoc>
  <HLinks>
    <vt:vector size="234" baseType="variant">
      <vt:variant>
        <vt:i4>393308</vt:i4>
      </vt:variant>
      <vt:variant>
        <vt:i4>144</vt:i4>
      </vt:variant>
      <vt:variant>
        <vt:i4>0</vt:i4>
      </vt:variant>
      <vt:variant>
        <vt:i4>5</vt:i4>
      </vt:variant>
      <vt:variant>
        <vt:lpwstr>http://www.equalityhumanrights.com/advice-and-guidance/education-providers-schools-guidance/</vt:lpwstr>
      </vt:variant>
      <vt:variant>
        <vt:lpwstr/>
      </vt:variant>
      <vt:variant>
        <vt:i4>1114175</vt:i4>
      </vt:variant>
      <vt:variant>
        <vt:i4>141</vt:i4>
      </vt:variant>
      <vt:variant>
        <vt:i4>0</vt:i4>
      </vt:variant>
      <vt:variant>
        <vt:i4>5</vt:i4>
      </vt:variant>
      <vt:variant>
        <vt:lpwstr/>
      </vt:variant>
      <vt:variant>
        <vt:lpwstr>_Toc268075253</vt:lpwstr>
      </vt:variant>
      <vt:variant>
        <vt:i4>1245239</vt:i4>
      </vt:variant>
      <vt:variant>
        <vt:i4>134</vt:i4>
      </vt:variant>
      <vt:variant>
        <vt:i4>0</vt:i4>
      </vt:variant>
      <vt:variant>
        <vt:i4>5</vt:i4>
      </vt:variant>
      <vt:variant>
        <vt:lpwstr/>
      </vt:variant>
      <vt:variant>
        <vt:lpwstr>_Toc343507724</vt:lpwstr>
      </vt:variant>
      <vt:variant>
        <vt:i4>1245239</vt:i4>
      </vt:variant>
      <vt:variant>
        <vt:i4>128</vt:i4>
      </vt:variant>
      <vt:variant>
        <vt:i4>0</vt:i4>
      </vt:variant>
      <vt:variant>
        <vt:i4>5</vt:i4>
      </vt:variant>
      <vt:variant>
        <vt:lpwstr/>
      </vt:variant>
      <vt:variant>
        <vt:lpwstr>_Toc343507723</vt:lpwstr>
      </vt:variant>
      <vt:variant>
        <vt:i4>1245239</vt:i4>
      </vt:variant>
      <vt:variant>
        <vt:i4>122</vt:i4>
      </vt:variant>
      <vt:variant>
        <vt:i4>0</vt:i4>
      </vt:variant>
      <vt:variant>
        <vt:i4>5</vt:i4>
      </vt:variant>
      <vt:variant>
        <vt:lpwstr/>
      </vt:variant>
      <vt:variant>
        <vt:lpwstr>_Toc343507721</vt:lpwstr>
      </vt:variant>
      <vt:variant>
        <vt:i4>1245239</vt:i4>
      </vt:variant>
      <vt:variant>
        <vt:i4>116</vt:i4>
      </vt:variant>
      <vt:variant>
        <vt:i4>0</vt:i4>
      </vt:variant>
      <vt:variant>
        <vt:i4>5</vt:i4>
      </vt:variant>
      <vt:variant>
        <vt:lpwstr/>
      </vt:variant>
      <vt:variant>
        <vt:lpwstr>_Toc343507720</vt:lpwstr>
      </vt:variant>
      <vt:variant>
        <vt:i4>1048631</vt:i4>
      </vt:variant>
      <vt:variant>
        <vt:i4>110</vt:i4>
      </vt:variant>
      <vt:variant>
        <vt:i4>0</vt:i4>
      </vt:variant>
      <vt:variant>
        <vt:i4>5</vt:i4>
      </vt:variant>
      <vt:variant>
        <vt:lpwstr/>
      </vt:variant>
      <vt:variant>
        <vt:lpwstr>_Toc343507719</vt:lpwstr>
      </vt:variant>
      <vt:variant>
        <vt:i4>1048631</vt:i4>
      </vt:variant>
      <vt:variant>
        <vt:i4>104</vt:i4>
      </vt:variant>
      <vt:variant>
        <vt:i4>0</vt:i4>
      </vt:variant>
      <vt:variant>
        <vt:i4>5</vt:i4>
      </vt:variant>
      <vt:variant>
        <vt:lpwstr/>
      </vt:variant>
      <vt:variant>
        <vt:lpwstr>_Toc343507718</vt:lpwstr>
      </vt:variant>
      <vt:variant>
        <vt:i4>1048631</vt:i4>
      </vt:variant>
      <vt:variant>
        <vt:i4>98</vt:i4>
      </vt:variant>
      <vt:variant>
        <vt:i4>0</vt:i4>
      </vt:variant>
      <vt:variant>
        <vt:i4>5</vt:i4>
      </vt:variant>
      <vt:variant>
        <vt:lpwstr/>
      </vt:variant>
      <vt:variant>
        <vt:lpwstr>_Toc343507717</vt:lpwstr>
      </vt:variant>
      <vt:variant>
        <vt:i4>1048631</vt:i4>
      </vt:variant>
      <vt:variant>
        <vt:i4>92</vt:i4>
      </vt:variant>
      <vt:variant>
        <vt:i4>0</vt:i4>
      </vt:variant>
      <vt:variant>
        <vt:i4>5</vt:i4>
      </vt:variant>
      <vt:variant>
        <vt:lpwstr/>
      </vt:variant>
      <vt:variant>
        <vt:lpwstr>_Toc343507716</vt:lpwstr>
      </vt:variant>
      <vt:variant>
        <vt:i4>1048631</vt:i4>
      </vt:variant>
      <vt:variant>
        <vt:i4>86</vt:i4>
      </vt:variant>
      <vt:variant>
        <vt:i4>0</vt:i4>
      </vt:variant>
      <vt:variant>
        <vt:i4>5</vt:i4>
      </vt:variant>
      <vt:variant>
        <vt:lpwstr/>
      </vt:variant>
      <vt:variant>
        <vt:lpwstr>_Toc343507714</vt:lpwstr>
      </vt:variant>
      <vt:variant>
        <vt:i4>1048631</vt:i4>
      </vt:variant>
      <vt:variant>
        <vt:i4>80</vt:i4>
      </vt:variant>
      <vt:variant>
        <vt:i4>0</vt:i4>
      </vt:variant>
      <vt:variant>
        <vt:i4>5</vt:i4>
      </vt:variant>
      <vt:variant>
        <vt:lpwstr/>
      </vt:variant>
      <vt:variant>
        <vt:lpwstr>_Toc343507713</vt:lpwstr>
      </vt:variant>
      <vt:variant>
        <vt:i4>1048631</vt:i4>
      </vt:variant>
      <vt:variant>
        <vt:i4>74</vt:i4>
      </vt:variant>
      <vt:variant>
        <vt:i4>0</vt:i4>
      </vt:variant>
      <vt:variant>
        <vt:i4>5</vt:i4>
      </vt:variant>
      <vt:variant>
        <vt:lpwstr/>
      </vt:variant>
      <vt:variant>
        <vt:lpwstr>_Toc343507712</vt:lpwstr>
      </vt:variant>
      <vt:variant>
        <vt:i4>1048631</vt:i4>
      </vt:variant>
      <vt:variant>
        <vt:i4>68</vt:i4>
      </vt:variant>
      <vt:variant>
        <vt:i4>0</vt:i4>
      </vt:variant>
      <vt:variant>
        <vt:i4>5</vt:i4>
      </vt:variant>
      <vt:variant>
        <vt:lpwstr/>
      </vt:variant>
      <vt:variant>
        <vt:lpwstr>_Toc343507711</vt:lpwstr>
      </vt:variant>
      <vt:variant>
        <vt:i4>1048631</vt:i4>
      </vt:variant>
      <vt:variant>
        <vt:i4>62</vt:i4>
      </vt:variant>
      <vt:variant>
        <vt:i4>0</vt:i4>
      </vt:variant>
      <vt:variant>
        <vt:i4>5</vt:i4>
      </vt:variant>
      <vt:variant>
        <vt:lpwstr/>
      </vt:variant>
      <vt:variant>
        <vt:lpwstr>_Toc343507710</vt:lpwstr>
      </vt:variant>
      <vt:variant>
        <vt:i4>1114167</vt:i4>
      </vt:variant>
      <vt:variant>
        <vt:i4>56</vt:i4>
      </vt:variant>
      <vt:variant>
        <vt:i4>0</vt:i4>
      </vt:variant>
      <vt:variant>
        <vt:i4>5</vt:i4>
      </vt:variant>
      <vt:variant>
        <vt:lpwstr/>
      </vt:variant>
      <vt:variant>
        <vt:lpwstr>_Toc343507709</vt:lpwstr>
      </vt:variant>
      <vt:variant>
        <vt:i4>1114167</vt:i4>
      </vt:variant>
      <vt:variant>
        <vt:i4>50</vt:i4>
      </vt:variant>
      <vt:variant>
        <vt:i4>0</vt:i4>
      </vt:variant>
      <vt:variant>
        <vt:i4>5</vt:i4>
      </vt:variant>
      <vt:variant>
        <vt:lpwstr/>
      </vt:variant>
      <vt:variant>
        <vt:lpwstr>_Toc343507708</vt:lpwstr>
      </vt:variant>
      <vt:variant>
        <vt:i4>1114167</vt:i4>
      </vt:variant>
      <vt:variant>
        <vt:i4>44</vt:i4>
      </vt:variant>
      <vt:variant>
        <vt:i4>0</vt:i4>
      </vt:variant>
      <vt:variant>
        <vt:i4>5</vt:i4>
      </vt:variant>
      <vt:variant>
        <vt:lpwstr/>
      </vt:variant>
      <vt:variant>
        <vt:lpwstr>_Toc343507707</vt:lpwstr>
      </vt:variant>
      <vt:variant>
        <vt:i4>1114167</vt:i4>
      </vt:variant>
      <vt:variant>
        <vt:i4>38</vt:i4>
      </vt:variant>
      <vt:variant>
        <vt:i4>0</vt:i4>
      </vt:variant>
      <vt:variant>
        <vt:i4>5</vt:i4>
      </vt:variant>
      <vt:variant>
        <vt:lpwstr/>
      </vt:variant>
      <vt:variant>
        <vt:lpwstr>_Toc343507706</vt:lpwstr>
      </vt:variant>
      <vt:variant>
        <vt:i4>1114167</vt:i4>
      </vt:variant>
      <vt:variant>
        <vt:i4>32</vt:i4>
      </vt:variant>
      <vt:variant>
        <vt:i4>0</vt:i4>
      </vt:variant>
      <vt:variant>
        <vt:i4>5</vt:i4>
      </vt:variant>
      <vt:variant>
        <vt:lpwstr/>
      </vt:variant>
      <vt:variant>
        <vt:lpwstr>_Toc343507705</vt:lpwstr>
      </vt:variant>
      <vt:variant>
        <vt:i4>1114167</vt:i4>
      </vt:variant>
      <vt:variant>
        <vt:i4>26</vt:i4>
      </vt:variant>
      <vt:variant>
        <vt:i4>0</vt:i4>
      </vt:variant>
      <vt:variant>
        <vt:i4>5</vt:i4>
      </vt:variant>
      <vt:variant>
        <vt:lpwstr/>
      </vt:variant>
      <vt:variant>
        <vt:lpwstr>_Toc343507704</vt:lpwstr>
      </vt:variant>
      <vt:variant>
        <vt:i4>1114167</vt:i4>
      </vt:variant>
      <vt:variant>
        <vt:i4>20</vt:i4>
      </vt:variant>
      <vt:variant>
        <vt:i4>0</vt:i4>
      </vt:variant>
      <vt:variant>
        <vt:i4>5</vt:i4>
      </vt:variant>
      <vt:variant>
        <vt:lpwstr/>
      </vt:variant>
      <vt:variant>
        <vt:lpwstr>_Toc343507703</vt:lpwstr>
      </vt:variant>
      <vt:variant>
        <vt:i4>1114167</vt:i4>
      </vt:variant>
      <vt:variant>
        <vt:i4>14</vt:i4>
      </vt:variant>
      <vt:variant>
        <vt:i4>0</vt:i4>
      </vt:variant>
      <vt:variant>
        <vt:i4>5</vt:i4>
      </vt:variant>
      <vt:variant>
        <vt:lpwstr/>
      </vt:variant>
      <vt:variant>
        <vt:lpwstr>_Toc343507702</vt:lpwstr>
      </vt:variant>
      <vt:variant>
        <vt:i4>1114167</vt:i4>
      </vt:variant>
      <vt:variant>
        <vt:i4>8</vt:i4>
      </vt:variant>
      <vt:variant>
        <vt:i4>0</vt:i4>
      </vt:variant>
      <vt:variant>
        <vt:i4>5</vt:i4>
      </vt:variant>
      <vt:variant>
        <vt:lpwstr/>
      </vt:variant>
      <vt:variant>
        <vt:lpwstr>_Toc343507701</vt:lpwstr>
      </vt:variant>
      <vt:variant>
        <vt:i4>1114167</vt:i4>
      </vt:variant>
      <vt:variant>
        <vt:i4>2</vt:i4>
      </vt:variant>
      <vt:variant>
        <vt:i4>0</vt:i4>
      </vt:variant>
      <vt:variant>
        <vt:i4>5</vt:i4>
      </vt:variant>
      <vt:variant>
        <vt:lpwstr/>
      </vt:variant>
      <vt:variant>
        <vt:lpwstr>_Toc343507700</vt:lpwstr>
      </vt:variant>
      <vt:variant>
        <vt:i4>196696</vt:i4>
      </vt:variant>
      <vt:variant>
        <vt:i4>24</vt:i4>
      </vt:variant>
      <vt:variant>
        <vt:i4>0</vt:i4>
      </vt:variant>
      <vt:variant>
        <vt:i4>5</vt:i4>
      </vt:variant>
      <vt:variant>
        <vt:lpwstr>http://www.ofsted.gov.uk/resources/070018</vt:lpwstr>
      </vt:variant>
      <vt:variant>
        <vt:lpwstr/>
      </vt:variant>
      <vt:variant>
        <vt:i4>327765</vt:i4>
      </vt:variant>
      <vt:variant>
        <vt:i4>21</vt:i4>
      </vt:variant>
      <vt:variant>
        <vt:i4>0</vt:i4>
      </vt:variant>
      <vt:variant>
        <vt:i4>5</vt:i4>
      </vt:variant>
      <vt:variant>
        <vt:lpwstr>http://www.ofsted.gov.uk/resources/080272</vt:lpwstr>
      </vt:variant>
      <vt:variant>
        <vt:lpwstr/>
      </vt:variant>
      <vt:variant>
        <vt:i4>4522048</vt:i4>
      </vt:variant>
      <vt:variant>
        <vt:i4>18</vt:i4>
      </vt:variant>
      <vt:variant>
        <vt:i4>0</vt:i4>
      </vt:variant>
      <vt:variant>
        <vt:i4>5</vt:i4>
      </vt:variant>
      <vt:variant>
        <vt:lpwstr>http://www.ofsted.gov.uk/news/tackling-challenge-of-poor-numeracy-skills-why-some-teaching-and-learning-adds-while-other-provision?news=14981</vt:lpwstr>
      </vt:variant>
      <vt:variant>
        <vt:lpwstr/>
      </vt:variant>
      <vt:variant>
        <vt:i4>65620</vt:i4>
      </vt:variant>
      <vt:variant>
        <vt:i4>15</vt:i4>
      </vt:variant>
      <vt:variant>
        <vt:i4>0</vt:i4>
      </vt:variant>
      <vt:variant>
        <vt:i4>5</vt:i4>
      </vt:variant>
      <vt:variant>
        <vt:lpwstr>http://www.ofsted.gov.uk/resources/090237</vt:lpwstr>
      </vt:variant>
      <vt:variant>
        <vt:lpwstr/>
      </vt:variant>
      <vt:variant>
        <vt:i4>196700</vt:i4>
      </vt:variant>
      <vt:variant>
        <vt:i4>12</vt:i4>
      </vt:variant>
      <vt:variant>
        <vt:i4>0</vt:i4>
      </vt:variant>
      <vt:variant>
        <vt:i4>5</vt:i4>
      </vt:variant>
      <vt:variant>
        <vt:lpwstr>http://www.ofsted.gov.uk/resources/120101</vt:lpwstr>
      </vt:variant>
      <vt:variant>
        <vt:lpwstr/>
      </vt:variant>
      <vt:variant>
        <vt:i4>65629</vt:i4>
      </vt:variant>
      <vt:variant>
        <vt:i4>9</vt:i4>
      </vt:variant>
      <vt:variant>
        <vt:i4>0</vt:i4>
      </vt:variant>
      <vt:variant>
        <vt:i4>5</vt:i4>
      </vt:variant>
      <vt:variant>
        <vt:lpwstr>http://www.ofsted.gov.uk/resources/100229</vt:lpwstr>
      </vt:variant>
      <vt:variant>
        <vt:lpwstr/>
      </vt:variant>
      <vt:variant>
        <vt:i4>65620</vt:i4>
      </vt:variant>
      <vt:variant>
        <vt:i4>6</vt:i4>
      </vt:variant>
      <vt:variant>
        <vt:i4>0</vt:i4>
      </vt:variant>
      <vt:variant>
        <vt:i4>5</vt:i4>
      </vt:variant>
      <vt:variant>
        <vt:lpwstr>http://www.ofsted.gov.uk/resources/090239</vt:lpwstr>
      </vt:variant>
      <vt:variant>
        <vt:lpwstr/>
      </vt:variant>
      <vt:variant>
        <vt:i4>3604543</vt:i4>
      </vt:variant>
      <vt:variant>
        <vt:i4>3</vt:i4>
      </vt:variant>
      <vt:variant>
        <vt:i4>0</vt:i4>
      </vt:variant>
      <vt:variant>
        <vt:i4>5</vt:i4>
      </vt:variant>
      <vt:variant>
        <vt:lpwstr>http://www.education.gov.uk/aboutdfe/advice/f00215460/equality-act-2010-departmental-advice</vt:lpwstr>
      </vt:variant>
      <vt:variant>
        <vt:lpwstr/>
      </vt:variant>
      <vt:variant>
        <vt:i4>3014782</vt:i4>
      </vt:variant>
      <vt:variant>
        <vt:i4>0</vt:i4>
      </vt:variant>
      <vt:variant>
        <vt:i4>0</vt:i4>
      </vt:variant>
      <vt:variant>
        <vt:i4>5</vt:i4>
      </vt:variant>
      <vt:variant>
        <vt:lpwstr>http://www.education.gov.uk/aboutdfe/policiesandprocedures/equalityanddiversity/f00215460/equality-act-2010-departmental-advice</vt:lpwstr>
      </vt:variant>
      <vt:variant>
        <vt:lpwstr/>
      </vt:variant>
      <vt:variant>
        <vt:i4>5636162</vt:i4>
      </vt:variant>
      <vt:variant>
        <vt:i4>12</vt:i4>
      </vt:variant>
      <vt:variant>
        <vt:i4>0</vt:i4>
      </vt:variant>
      <vt:variant>
        <vt:i4>5</vt:i4>
      </vt:variant>
      <vt:variant>
        <vt:lpwstr>http://www.ofsted.gov.uk/</vt:lpwstr>
      </vt:variant>
      <vt:variant>
        <vt:lpwstr/>
      </vt:variant>
      <vt:variant>
        <vt:i4>3014660</vt:i4>
      </vt:variant>
      <vt:variant>
        <vt:i4>9</vt:i4>
      </vt:variant>
      <vt:variant>
        <vt:i4>0</vt:i4>
      </vt:variant>
      <vt:variant>
        <vt:i4>5</vt:i4>
      </vt:variant>
      <vt:variant>
        <vt:lpwstr>C:\Users\mcarroll\AppData\Local\Microsoft\BIRG\Better Inspection and Regulation Meeting\Document Library\6\www.ofsted.gov.uk\user</vt:lpwstr>
      </vt:variant>
      <vt:variant>
        <vt:lpwstr/>
      </vt:variant>
      <vt:variant>
        <vt:i4>655446</vt:i4>
      </vt:variant>
      <vt:variant>
        <vt:i4>6</vt:i4>
      </vt:variant>
      <vt:variant>
        <vt:i4>0</vt:i4>
      </vt:variant>
      <vt:variant>
        <vt:i4>5</vt:i4>
      </vt:variant>
      <vt:variant>
        <vt:lpwstr>http://www.ofsted.gov.uk/resources/091097</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Inspecting equalities briefing</dc:title>
  <dc:creator>mcarroll</dc:creator>
  <cp:lastModifiedBy>Daniel O'Connor</cp:lastModifiedBy>
  <cp:revision>2</cp:revision>
  <cp:lastPrinted>2012-12-03T10:54:00Z</cp:lastPrinted>
  <dcterms:created xsi:type="dcterms:W3CDTF">2013-09-06T13:13:00Z</dcterms:created>
  <dcterms:modified xsi:type="dcterms:W3CDTF">2013-09-06T13:13:00Z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stedESD">
    <vt:lpwstr/>
  </property>
  <property fmtid="{D5CDD505-2E9C-101B-9397-08002B2CF9AE}" pid="3" name="ContentType">
    <vt:lpwstr>Ofsted Base Document</vt:lpwstr>
  </property>
  <property fmtid="{D5CDD505-2E9C-101B-9397-08002B2CF9AE}" pid="4" name="DocDescription">
    <vt:lpwstr/>
  </property>
  <property fmtid="{D5CDD505-2E9C-101B-9397-08002B2CF9AE}" pid="5" name="DatePublished">
    <vt:lpwstr>2010-08-04T00:00:00Z</vt:lpwstr>
  </property>
  <property fmtid="{D5CDD505-2E9C-101B-9397-08002B2CF9AE}" pid="6" name="RightsManagementText">
    <vt:lpwstr>PROTECT - DEPARTMENTAL</vt:lpwstr>
  </property>
  <property fmtid="{D5CDD505-2E9C-101B-9397-08002B2CF9AE}" pid="7" name="Language">
    <vt:lpwstr>English</vt:lpwstr>
  </property>
  <property fmtid="{D5CDD505-2E9C-101B-9397-08002B2CF9AE}" pid="8" name="Subject">
    <vt:lpwstr/>
  </property>
  <property fmtid="{D5CDD505-2E9C-101B-9397-08002B2CF9AE}" pid="9" name="Keywords">
    <vt:lpwstr/>
  </property>
  <property fmtid="{D5CDD505-2E9C-101B-9397-08002B2CF9AE}" pid="10" name="_Author">
    <vt:lpwstr>mcarroll</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Zip file">
    <vt:lpwstr>Briefings and information</vt:lpwstr>
  </property>
  <property fmtid="{D5CDD505-2E9C-101B-9397-08002B2CF9AE}" pid="17" name="Related doc">
    <vt:lpwstr>;#Equalities;#</vt:lpwstr>
  </property>
  <property fmtid="{D5CDD505-2E9C-101B-9397-08002B2CF9AE}" pid="18" name="Date">
    <vt:lpwstr>Jan 11</vt:lpwstr>
  </property>
  <property fmtid="{D5CDD505-2E9C-101B-9397-08002B2CF9AE}" pid="19" name="BCS_List">
    <vt:lpwstr>Inspect and Regulate Providers: Inspection</vt:lpwstr>
  </property>
  <property fmtid="{D5CDD505-2E9C-101B-9397-08002B2CF9AE}" pid="20" name="RetentionPolicy">
    <vt:lpwstr>3</vt:lpwstr>
  </property>
  <property fmtid="{D5CDD505-2E9C-101B-9397-08002B2CF9AE}" pid="21" name="_DCDateModified">
    <vt:lpwstr/>
  </property>
  <property fmtid="{D5CDD505-2E9C-101B-9397-08002B2CF9AE}" pid="22" name="_DCDateCreated">
    <vt:lpwstr/>
  </property>
  <property fmtid="{D5CDD505-2E9C-101B-9397-08002B2CF9AE}" pid="23" name="Order">
    <vt:lpwstr>165700.000000000</vt:lpwstr>
  </property>
</Properties>
</file>