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DC0139" w:rsidP="00DC0139">
      <w:pPr>
        <w:pStyle w:val="Title"/>
        <w:jc w:val="left"/>
      </w:pPr>
      <w:r>
        <w:t>Inspecting t</w:t>
      </w:r>
      <w:r w:rsidR="005B1BAF">
        <w:t xml:space="preserve">he effectiveness of partnerships </w:t>
      </w:r>
    </w:p>
    <w:p w:rsidR="003C5600" w:rsidRPr="004026B4" w:rsidRDefault="005B1BAF" w:rsidP="003C5600">
      <w:pPr>
        <w:pStyle w:val="Sub-title"/>
      </w:pPr>
      <w:r>
        <w:t xml:space="preserve">Briefing for section 5 </w:t>
      </w:r>
      <w:r w:rsidR="001F5328">
        <w:t>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rsidTr="002F3B92">
        <w:tblPrEx>
          <w:tblCellMar>
            <w:top w:w="0" w:type="dxa"/>
            <w:bottom w:w="0" w:type="dxa"/>
          </w:tblCellMar>
        </w:tblPrEx>
        <w:trPr>
          <w:trHeight w:val="8862"/>
        </w:trPr>
        <w:tc>
          <w:tcPr>
            <w:tcW w:w="9279" w:type="dxa"/>
            <w:tcBorders>
              <w:top w:val="nil"/>
              <w:left w:val="nil"/>
              <w:bottom w:val="nil"/>
              <w:right w:val="nil"/>
            </w:tcBorders>
          </w:tcPr>
          <w:p w:rsidR="005B1BAF" w:rsidRPr="001F5328" w:rsidRDefault="005B1BAF" w:rsidP="005B1BAF">
            <w:pPr>
              <w:rPr>
                <w:i/>
              </w:rPr>
            </w:pPr>
            <w:r w:rsidRPr="00C73130">
              <w:t xml:space="preserve">This briefing provides information about schools’ partnerships. </w:t>
            </w:r>
          </w:p>
          <w:p w:rsidR="00843070" w:rsidRDefault="00843070" w:rsidP="00860320">
            <w:pPr>
              <w:pStyle w:val="Summary"/>
            </w:pPr>
          </w:p>
          <w:p w:rsidR="00CE6348" w:rsidRDefault="00CE6348" w:rsidP="00860320">
            <w:pPr>
              <w:pStyle w:val="Summary"/>
            </w:pPr>
          </w:p>
          <w:p w:rsidR="00487758" w:rsidRDefault="00487758" w:rsidP="00860320">
            <w:pPr>
              <w:pStyle w:val="Summary"/>
            </w:pPr>
          </w:p>
        </w:tc>
      </w:tr>
    </w:tbl>
    <w:p w:rsidR="003C5600" w:rsidRDefault="003C5600" w:rsidP="003C5600">
      <w:pPr>
        <w:pStyle w:val="CoverStats"/>
      </w:pPr>
      <w:r w:rsidRPr="00AB22BC">
        <w:rPr>
          <w:rStyle w:val="StyleCoverStatsBoldChar"/>
        </w:rPr>
        <w:t xml:space="preserve">Age </w:t>
      </w:r>
      <w:r w:rsidR="00D53419" w:rsidRPr="00AB22BC">
        <w:rPr>
          <w:rStyle w:val="StyleCoverStatsBoldChar"/>
        </w:rPr>
        <w:t>g</w:t>
      </w:r>
      <w:r w:rsidRPr="00AB22BC">
        <w:rPr>
          <w:rStyle w:val="StyleCoverStatsBoldChar"/>
        </w:rPr>
        <w:t>roup:</w:t>
      </w:r>
      <w:r>
        <w:t xml:space="preserve"> </w:t>
      </w:r>
      <w:r w:rsidR="005B1BAF">
        <w:t>All</w:t>
      </w:r>
    </w:p>
    <w:p w:rsidR="003C5600" w:rsidRDefault="003C5600" w:rsidP="00E70603">
      <w:pPr>
        <w:pStyle w:val="CoverStats"/>
      </w:pPr>
      <w:r w:rsidRPr="00AB22BC">
        <w:rPr>
          <w:rStyle w:val="StyleCoverStatsBoldChar"/>
        </w:rPr>
        <w:t>Published:</w:t>
      </w:r>
      <w:r w:rsidR="007B340C">
        <w:t xml:space="preserve"> </w:t>
      </w:r>
      <w:r w:rsidR="0029342E">
        <w:t>September</w:t>
      </w:r>
      <w:r w:rsidR="00CB5D0F">
        <w:t xml:space="preserve"> </w:t>
      </w:r>
      <w:r w:rsidR="00DC19C0">
        <w:t>2013</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0E60E2">
        <w:t>090203</w:t>
      </w:r>
    </w:p>
    <w:p w:rsidR="00EB2E3E" w:rsidRDefault="00EB2E3E" w:rsidP="003C5600">
      <w:pPr>
        <w:pStyle w:val="Unnumberedparagraph"/>
        <w:spacing w:after="0"/>
        <w:sectPr w:rsidR="00EB2E3E" w:rsidSect="0071679F">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843070" w:rsidRPr="00AD1311" w:rsidRDefault="00843070" w:rsidP="00843070">
      <w:pPr>
        <w:pStyle w:val="Unnumberedparagraph"/>
      </w:pPr>
    </w:p>
    <w:p w:rsidR="002E55A9" w:rsidRDefault="002E55A9">
      <w:pPr>
        <w:rPr>
          <w:vanish/>
        </w:rPr>
      </w:pPr>
    </w:p>
    <w:p w:rsidR="002E55A9" w:rsidRDefault="002E55A9"/>
    <w:p w:rsidR="005B1BAF" w:rsidRPr="00646998" w:rsidRDefault="00DC0139" w:rsidP="00DC0139">
      <w:pPr>
        <w:pStyle w:val="Heading1"/>
        <w:jc w:val="left"/>
        <w:rPr>
          <w:sz w:val="28"/>
          <w:szCs w:val="28"/>
        </w:rPr>
      </w:pPr>
      <w:r>
        <w:rPr>
          <w:caps w:val="0"/>
        </w:rPr>
        <w:t>Introduction</w:t>
      </w:r>
    </w:p>
    <w:p w:rsidR="00A83685" w:rsidRPr="001F5328" w:rsidRDefault="00A83685" w:rsidP="003F4D71">
      <w:pPr>
        <w:pStyle w:val="Numberedparagraph"/>
        <w:jc w:val="left"/>
        <w:rPr>
          <w:i/>
        </w:rPr>
      </w:pPr>
      <w:r w:rsidRPr="00C73130">
        <w:t xml:space="preserve">This briefing provides information about schools’ partnerships. It should be read in conjunction with </w:t>
      </w:r>
      <w:r w:rsidRPr="003D01D5">
        <w:rPr>
          <w:i/>
        </w:rPr>
        <w:t>T</w:t>
      </w:r>
      <w:r w:rsidRPr="000130EB">
        <w:rPr>
          <w:i/>
        </w:rPr>
        <w:t>he</w:t>
      </w:r>
      <w:r>
        <w:rPr>
          <w:i/>
        </w:rPr>
        <w:t xml:space="preserve"> framework for school inspection</w:t>
      </w:r>
      <w:r>
        <w:rPr>
          <w:rStyle w:val="FootnoteReference"/>
          <w:i/>
        </w:rPr>
        <w:footnoteReference w:id="1"/>
      </w:r>
      <w:r>
        <w:rPr>
          <w:i/>
        </w:rPr>
        <w:t xml:space="preserve"> </w:t>
      </w:r>
      <w:r w:rsidRPr="003D01D5">
        <w:t>and the</w:t>
      </w:r>
      <w:r>
        <w:rPr>
          <w:i/>
        </w:rPr>
        <w:t xml:space="preserve"> School inspection handbook</w:t>
      </w:r>
      <w:r w:rsidR="001409FA">
        <w:rPr>
          <w:i/>
        </w:rPr>
        <w:t>.</w:t>
      </w:r>
      <w:r>
        <w:rPr>
          <w:rStyle w:val="FootnoteReference"/>
          <w:i/>
        </w:rPr>
        <w:footnoteReference w:id="2"/>
      </w:r>
    </w:p>
    <w:p w:rsidR="001F5328" w:rsidRPr="00DC0139" w:rsidRDefault="005B1BAF" w:rsidP="00DC0139">
      <w:pPr>
        <w:pStyle w:val="Numberedparagraph"/>
        <w:jc w:val="left"/>
      </w:pPr>
      <w:smartTag w:uri="urn:schemas-microsoft-com:office:smarttags" w:element="PlaceName">
        <w:r w:rsidRPr="00DC0139">
          <w:t>Schools</w:t>
        </w:r>
      </w:smartTag>
      <w:r w:rsidRPr="00DC0139">
        <w:t xml:space="preserve"> are involved in many different and often complex partnership arrangements</w:t>
      </w:r>
      <w:r w:rsidR="001F5328" w:rsidRPr="00DC0139">
        <w:t xml:space="preserve"> and may</w:t>
      </w:r>
      <w:r w:rsidR="00A20A9F" w:rsidRPr="00DC0139">
        <w:t xml:space="preserve"> ascribe some of their improvements to this work. Any partnership activity evaluated as part of the judgement on leadership and management </w:t>
      </w:r>
      <w:r w:rsidR="00425DBF" w:rsidRPr="00DC0139">
        <w:t>should have discernable outcomes in relation to the key judgements. Schools may suggest their partnership work is an important means of overcoming barriers to learning, tackling more challenging behaviour and safety issues and a means o</w:t>
      </w:r>
      <w:r w:rsidR="00B922C3">
        <w:t>f extending the curriculum.</w:t>
      </w:r>
    </w:p>
    <w:p w:rsidR="005B1BAF" w:rsidRPr="002A7DD3" w:rsidRDefault="009722FF" w:rsidP="002A7DD3">
      <w:pPr>
        <w:pStyle w:val="Heading2"/>
        <w:rPr>
          <w:caps w:val="0"/>
        </w:rPr>
      </w:pPr>
      <w:r w:rsidRPr="002A7DD3">
        <w:rPr>
          <w:caps w:val="0"/>
        </w:rPr>
        <w:t xml:space="preserve">Schools and </w:t>
      </w:r>
      <w:r w:rsidR="00425DBF" w:rsidRPr="002A7DD3">
        <w:rPr>
          <w:caps w:val="0"/>
        </w:rPr>
        <w:t>partnerships</w:t>
      </w:r>
    </w:p>
    <w:p w:rsidR="005B1BAF" w:rsidRPr="005B1BAF" w:rsidRDefault="001F5328" w:rsidP="00B922C3">
      <w:pPr>
        <w:pStyle w:val="Numberedparagraph"/>
        <w:jc w:val="left"/>
        <w:rPr>
          <w:b/>
        </w:rPr>
      </w:pPr>
      <w:r>
        <w:t>T</w:t>
      </w:r>
      <w:r w:rsidR="005B1BAF">
        <w:t xml:space="preserve">he school may be investing a great deal of staff time and other resources in partnership activity and this investment </w:t>
      </w:r>
      <w:r w:rsidR="00F07C6C">
        <w:t xml:space="preserve">should be </w:t>
      </w:r>
      <w:r w:rsidR="005B1BAF">
        <w:t>helping to improve outcomes for pupils</w:t>
      </w:r>
      <w:r w:rsidR="00F07C6C">
        <w:t xml:space="preserve">. </w:t>
      </w:r>
      <w:r w:rsidR="005B1BAF">
        <w:t xml:space="preserve">Many schools will invest a high level of staff time and effort in the early stages of partnership work in developing and planning future activities. </w:t>
      </w:r>
    </w:p>
    <w:p w:rsidR="005B1BAF" w:rsidRDefault="005B1BAF" w:rsidP="00B922C3">
      <w:pPr>
        <w:pStyle w:val="Numberedparagraph"/>
        <w:jc w:val="left"/>
        <w:rPr>
          <w:b/>
        </w:rPr>
      </w:pPr>
      <w:r>
        <w:t>Most partnership activity is likely to bring benefits for the pupils but schools should be wary of spurious partnership arrangements which have no discernable impact on improving outcomes, or on improving the quality of provision and leadership and management.</w:t>
      </w:r>
    </w:p>
    <w:p w:rsidR="005B1BAF" w:rsidRPr="005B1BAF" w:rsidRDefault="005B1BAF" w:rsidP="00B922C3">
      <w:pPr>
        <w:pStyle w:val="Numberedparagraph"/>
        <w:jc w:val="left"/>
        <w:rPr>
          <w:b/>
        </w:rPr>
      </w:pPr>
      <w:r>
        <w:t>Some partnership activity will have a direct and positive impact on pupils’ outcomes. Examples of this might be: improvements in pupils’ cultural and social development through a partnership with a school in a less well developed country; improvements in the attendance and behaviour of potentially vulnerable pupils</w:t>
      </w:r>
      <w:r w:rsidR="005715A3">
        <w:t xml:space="preserve"> through alternative provision</w:t>
      </w:r>
      <w:r>
        <w:t xml:space="preserve">, resulting from a behaviour partnership with other schools and the education welfare service; improvements in the attendance and progress of traveller children through effective distance learning; and, family support provided in partnership with the traveller education service. </w:t>
      </w:r>
    </w:p>
    <w:p w:rsidR="005B1BAF" w:rsidRDefault="005B1BAF" w:rsidP="00B922C3">
      <w:pPr>
        <w:pStyle w:val="Numberedparagraph"/>
        <w:jc w:val="left"/>
        <w:rPr>
          <w:b/>
        </w:rPr>
      </w:pPr>
      <w:r>
        <w:t xml:space="preserve">Other partnership activity may help to improve outcomes indirectly by developing aspects of provision and leadership and management, which then improve outcomes. Examples might be: a cluster of schools working together to improve the quality of middle management through shared professional development arrangements; extending the curriculum choices through a </w:t>
      </w:r>
      <w:r>
        <w:lastRenderedPageBreak/>
        <w:t xml:space="preserve">diploma consortium; working with a number of external agencies to improve the quality, care and support for potentially vulnerable pupils. </w:t>
      </w:r>
    </w:p>
    <w:p w:rsidR="005B1BAF" w:rsidRPr="00F07C6C" w:rsidRDefault="005B1BAF" w:rsidP="00B922C3">
      <w:pPr>
        <w:pStyle w:val="Numberedparagraph"/>
        <w:jc w:val="left"/>
        <w:rPr>
          <w:b/>
        </w:rPr>
      </w:pPr>
      <w:r>
        <w:t xml:space="preserve">Where pupils regularly attend another institution for some of their provision, </w:t>
      </w:r>
      <w:r w:rsidR="00F07C6C">
        <w:t xml:space="preserve">schools </w:t>
      </w:r>
      <w:r>
        <w:t xml:space="preserve">should ensure that effective procedures for safeguarding are in place. If pupils are taught in other institutions, the school should know how well those pupils are achieving. </w:t>
      </w:r>
    </w:p>
    <w:p w:rsidR="00F07C6C" w:rsidRPr="005B1BAF" w:rsidRDefault="00F07C6C" w:rsidP="00B922C3">
      <w:pPr>
        <w:pStyle w:val="Numberedparagraph"/>
        <w:jc w:val="left"/>
        <w:rPr>
          <w:b/>
        </w:rPr>
      </w:pPr>
      <w:r>
        <w:t>Many schools will be involved in partnership activity where they are supporting the work of one or more partner schools</w:t>
      </w:r>
      <w:r w:rsidR="009722FF">
        <w:t xml:space="preserve">. </w:t>
      </w:r>
      <w:r>
        <w:t xml:space="preserve">This work is not relevant to the inspection unless the school being inspected can </w:t>
      </w:r>
      <w:r w:rsidR="009722FF">
        <w:t>demonstrate</w:t>
      </w:r>
      <w:r>
        <w:t xml:space="preserve"> some </w:t>
      </w:r>
      <w:r w:rsidR="009722FF">
        <w:t xml:space="preserve">benefits, for example in improving aspects of leadership and management and teaching. </w:t>
      </w:r>
    </w:p>
    <w:p w:rsidR="00953CFC" w:rsidRPr="00953CFC" w:rsidRDefault="005B1BAF" w:rsidP="00B922C3">
      <w:pPr>
        <w:pStyle w:val="Numberedparagraph"/>
        <w:tabs>
          <w:tab w:val="clear" w:pos="567"/>
          <w:tab w:val="num" w:pos="540"/>
        </w:tabs>
        <w:ind w:left="540" w:hanging="540"/>
        <w:jc w:val="left"/>
        <w:rPr>
          <w:b/>
          <w:sz w:val="32"/>
          <w:szCs w:val="32"/>
        </w:rPr>
      </w:pPr>
      <w:r>
        <w:t xml:space="preserve">Annex </w:t>
      </w:r>
      <w:r w:rsidR="005C3955">
        <w:t>1</w:t>
      </w:r>
      <w:r>
        <w:t xml:space="preserve"> provides further possible sources of </w:t>
      </w:r>
      <w:r w:rsidR="00EB26F5">
        <w:t>evidence from partnership working which may contribute to the key judgements and overall effectiveness</w:t>
      </w:r>
      <w:r>
        <w:t xml:space="preserve">. </w:t>
      </w:r>
    </w:p>
    <w:p w:rsidR="005B1BAF" w:rsidRPr="00DC0139" w:rsidRDefault="002A7DD3" w:rsidP="00DC0139">
      <w:pPr>
        <w:pStyle w:val="Heading2"/>
        <w:jc w:val="left"/>
        <w:rPr>
          <w:rStyle w:val="Heading1Char"/>
          <w:bCs/>
          <w:caps w:val="0"/>
          <w:kern w:val="0"/>
          <w:sz w:val="28"/>
        </w:rPr>
      </w:pPr>
      <w:r>
        <w:rPr>
          <w:rStyle w:val="Heading1Char"/>
          <w:bCs/>
          <w:caps w:val="0"/>
          <w:kern w:val="0"/>
          <w:sz w:val="28"/>
        </w:rPr>
        <w:br w:type="page"/>
      </w:r>
      <w:r w:rsidR="005B1BAF" w:rsidRPr="00DC0139">
        <w:rPr>
          <w:rStyle w:val="Heading1Char"/>
          <w:bCs/>
          <w:caps w:val="0"/>
          <w:kern w:val="0"/>
          <w:sz w:val="28"/>
        </w:rPr>
        <w:lastRenderedPageBreak/>
        <w:t>Annex 1: Examples of evidence which contributes to other judgements as well as those for the effectiveness of partnership activity</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08"/>
        <w:tblGridChange w:id="0">
          <w:tblGrid>
            <w:gridCol w:w="9208"/>
          </w:tblGrid>
        </w:tblGridChange>
      </w:tblGrid>
      <w:tr w:rsidR="001F5328" w:rsidTr="002A7DD3">
        <w:trPr>
          <w:trHeight w:val="611"/>
          <w:jc w:val="center"/>
        </w:trPr>
        <w:tc>
          <w:tcPr>
            <w:tcW w:w="9208" w:type="dxa"/>
          </w:tcPr>
          <w:p w:rsidR="001F5328" w:rsidRPr="00673B81" w:rsidRDefault="001F5328" w:rsidP="002A7DD3">
            <w:pPr>
              <w:pStyle w:val="Tableheader-left"/>
              <w:rPr>
                <w:color w:val="auto"/>
                <w:lang w:eastAsia="en-GB"/>
              </w:rPr>
            </w:pPr>
            <w:r w:rsidRPr="00673B81">
              <w:rPr>
                <w:color w:val="auto"/>
                <w:lang w:eastAsia="en-GB"/>
              </w:rPr>
              <w:t xml:space="preserve">Sources and types of evidence related to partnerships. These contribute to all of the key judgements and how well the school promotes the pupils’ spiritual, moral, </w:t>
            </w:r>
            <w:r w:rsidR="009722FF" w:rsidRPr="00673B81">
              <w:rPr>
                <w:color w:val="auto"/>
                <w:lang w:eastAsia="en-GB"/>
              </w:rPr>
              <w:t>social and cultural development</w:t>
            </w:r>
            <w:r w:rsidRPr="00673B81">
              <w:rPr>
                <w:color w:val="auto"/>
                <w:lang w:eastAsia="en-GB"/>
              </w:rPr>
              <w:t xml:space="preserve"> </w:t>
            </w:r>
          </w:p>
        </w:tc>
      </w:tr>
      <w:tr w:rsidR="00A20A9F" w:rsidTr="002A7DD3">
        <w:trPr>
          <w:trHeight w:val="611"/>
          <w:jc w:val="center"/>
        </w:trPr>
        <w:tc>
          <w:tcPr>
            <w:tcW w:w="9208" w:type="dxa"/>
          </w:tcPr>
          <w:p w:rsidR="00A20A9F" w:rsidRPr="00673B81" w:rsidRDefault="00A20A9F" w:rsidP="002A7DD3">
            <w:pPr>
              <w:pStyle w:val="Tableheader-left"/>
              <w:rPr>
                <w:b w:val="0"/>
                <w:color w:val="auto"/>
                <w:lang w:eastAsia="en-GB"/>
              </w:rPr>
            </w:pPr>
            <w:r w:rsidRPr="00673B81">
              <w:rPr>
                <w:b w:val="0"/>
                <w:color w:val="auto"/>
                <w:lang w:eastAsia="en-GB"/>
              </w:rPr>
              <w:t>Embedded improvements in achievement, teaching and aspects of leadership and management a result of a partnership with a successful academy</w:t>
            </w:r>
            <w:r w:rsidR="007C7404" w:rsidRPr="00673B81">
              <w:rPr>
                <w:b w:val="0"/>
                <w:color w:val="auto"/>
                <w:lang w:eastAsia="en-GB"/>
              </w:rPr>
              <w:t xml:space="preserve"> or school</w:t>
            </w:r>
            <w:r w:rsidR="00054724" w:rsidRPr="00673B81">
              <w:rPr>
                <w:b w:val="0"/>
                <w:color w:val="auto"/>
                <w:lang w:eastAsia="en-GB"/>
              </w:rPr>
              <w:t>.</w:t>
            </w:r>
          </w:p>
          <w:p w:rsidR="00A20A9F" w:rsidRPr="00673B81" w:rsidRDefault="00A20A9F" w:rsidP="002A7DD3">
            <w:pPr>
              <w:pStyle w:val="Tableheader-left"/>
              <w:rPr>
                <w:b w:val="0"/>
                <w:i/>
                <w:color w:val="auto"/>
                <w:lang w:eastAsia="en-GB"/>
              </w:rPr>
            </w:pPr>
            <w:r w:rsidRPr="00673B81">
              <w:rPr>
                <w:b w:val="0"/>
                <w:i/>
                <w:color w:val="auto"/>
                <w:lang w:eastAsia="en-GB"/>
              </w:rPr>
              <w:t>Evidence: rising standards of attainment; specific improvements in teaching such as questioning, use of assessment and marking; more sharply focused self-evaluation leading to more rapid improvements in outcomes</w:t>
            </w:r>
            <w:r w:rsidR="00364CFA" w:rsidRPr="00673B81">
              <w:rPr>
                <w:b w:val="0"/>
                <w:i/>
                <w:color w:val="auto"/>
                <w:lang w:eastAsia="en-GB"/>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Improvements in attainment, progress, attendance, behaviour for groups and individuals taught off</w:t>
            </w:r>
            <w:r w:rsidR="00054724" w:rsidRPr="00673B81">
              <w:rPr>
                <w:color w:val="auto"/>
                <w:lang w:eastAsia="en-GB"/>
              </w:rPr>
              <w:t xml:space="preserve"> </w:t>
            </w:r>
            <w:r w:rsidRPr="00673B81">
              <w:rPr>
                <w:color w:val="auto"/>
                <w:lang w:eastAsia="en-GB"/>
              </w:rPr>
              <w:t xml:space="preserve">site on courses provided through </w:t>
            </w:r>
            <w:r w:rsidR="007C7404" w:rsidRPr="00673B81">
              <w:rPr>
                <w:color w:val="auto"/>
                <w:lang w:eastAsia="en-GB"/>
              </w:rPr>
              <w:t>a</w:t>
            </w:r>
            <w:r w:rsidRPr="00673B81">
              <w:rPr>
                <w:color w:val="auto"/>
                <w:lang w:eastAsia="en-GB"/>
              </w:rPr>
              <w:t xml:space="preserve"> 14</w:t>
            </w:r>
            <w:r w:rsidR="00054724" w:rsidRPr="00673B81">
              <w:rPr>
                <w:color w:val="auto"/>
                <w:lang w:eastAsia="en-GB"/>
              </w:rPr>
              <w:t>–</w:t>
            </w:r>
            <w:r w:rsidRPr="00673B81">
              <w:rPr>
                <w:color w:val="auto"/>
                <w:lang w:eastAsia="en-GB"/>
              </w:rPr>
              <w:t xml:space="preserve">19 diploma consortium. </w:t>
            </w:r>
          </w:p>
          <w:p w:rsidR="001F5328" w:rsidRPr="000650F4" w:rsidRDefault="001F5328" w:rsidP="002A7DD3">
            <w:pPr>
              <w:jc w:val="left"/>
              <w:rPr>
                <w:sz w:val="22"/>
                <w:szCs w:val="22"/>
              </w:rPr>
            </w:pPr>
            <w:r w:rsidRPr="000650F4">
              <w:rPr>
                <w:i/>
                <w:sz w:val="22"/>
                <w:szCs w:val="22"/>
              </w:rPr>
              <w:t>Evidence: attendance and progress records of pupils taught offsite made available by the school; discussion with pupils and, separately, staff, about safeguarding in offsite provision; fixed term exclusions data; school disciplinary records; written comments in pupils’ and parents’ questionnaires</w:t>
            </w:r>
            <w:r w:rsidR="00364CFA">
              <w:rPr>
                <w:i/>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 xml:space="preserve">Consistent and high quality use of assessment to support learning as a result of an ongoing partnership, in which the school plays a major role, between a cluster of schools </w:t>
            </w:r>
            <w:r w:rsidR="005C3955" w:rsidRPr="00673B81">
              <w:rPr>
                <w:color w:val="auto"/>
                <w:lang w:eastAsia="en-GB"/>
              </w:rPr>
              <w:t xml:space="preserve">or academies or with </w:t>
            </w:r>
            <w:r w:rsidRPr="00673B81">
              <w:rPr>
                <w:color w:val="auto"/>
                <w:lang w:eastAsia="en-GB"/>
              </w:rPr>
              <w:t xml:space="preserve">the local authority focusing on professional development. </w:t>
            </w:r>
          </w:p>
          <w:p w:rsidR="001F5328" w:rsidRPr="000650F4" w:rsidRDefault="001F5328" w:rsidP="002A7DD3">
            <w:pPr>
              <w:jc w:val="left"/>
              <w:rPr>
                <w:sz w:val="22"/>
                <w:szCs w:val="22"/>
              </w:rPr>
            </w:pPr>
            <w:r w:rsidRPr="000650F4">
              <w:rPr>
                <w:i/>
                <w:sz w:val="22"/>
                <w:szCs w:val="22"/>
              </w:rPr>
              <w:t>Evidence: focused lesson observation, scrutiny of pupils work and teacher records</w:t>
            </w:r>
            <w:r w:rsidR="00364CFA">
              <w:rPr>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Case studies of potentially vulnerable pupils whose achievement</w:t>
            </w:r>
            <w:r w:rsidR="00A20A9F" w:rsidRPr="00673B81">
              <w:rPr>
                <w:color w:val="auto"/>
                <w:lang w:eastAsia="en-GB"/>
              </w:rPr>
              <w:t xml:space="preserve"> and behaviour</w:t>
            </w:r>
            <w:r w:rsidRPr="00673B81">
              <w:rPr>
                <w:color w:val="auto"/>
                <w:lang w:eastAsia="en-GB"/>
              </w:rPr>
              <w:t xml:space="preserve"> have improved as result of interventions by key partners</w:t>
            </w:r>
            <w:r w:rsidR="00A20A9F" w:rsidRPr="00673B81">
              <w:rPr>
                <w:color w:val="auto"/>
                <w:lang w:eastAsia="en-GB"/>
              </w:rPr>
              <w:t xml:space="preserve"> such as mentors from the business community</w:t>
            </w:r>
            <w:r w:rsidR="005C3955" w:rsidRPr="00673B81">
              <w:rPr>
                <w:color w:val="auto"/>
                <w:lang w:eastAsia="en-GB"/>
              </w:rPr>
              <w:t>,</w:t>
            </w:r>
            <w:r w:rsidR="00A20A9F" w:rsidRPr="00673B81">
              <w:rPr>
                <w:color w:val="auto"/>
                <w:lang w:eastAsia="en-GB"/>
              </w:rPr>
              <w:t xml:space="preserve"> the educational welfare service</w:t>
            </w:r>
            <w:r w:rsidR="005C3955" w:rsidRPr="00673B81">
              <w:rPr>
                <w:color w:val="auto"/>
                <w:lang w:eastAsia="en-GB"/>
              </w:rPr>
              <w:t xml:space="preserve"> or</w:t>
            </w:r>
            <w:r w:rsidR="00A20A9F" w:rsidRPr="00673B81">
              <w:rPr>
                <w:color w:val="auto"/>
                <w:lang w:eastAsia="en-GB"/>
              </w:rPr>
              <w:t xml:space="preserve"> members of community groups supporting reading</w:t>
            </w:r>
            <w:r w:rsidR="00054724" w:rsidRPr="00673B81">
              <w:rPr>
                <w:color w:val="auto"/>
                <w:lang w:eastAsia="en-GB"/>
              </w:rPr>
              <w:t>.</w:t>
            </w:r>
          </w:p>
          <w:p w:rsidR="001F5328" w:rsidRPr="000650F4" w:rsidRDefault="001F5328" w:rsidP="002A7DD3">
            <w:pPr>
              <w:jc w:val="left"/>
              <w:rPr>
                <w:i/>
                <w:sz w:val="22"/>
                <w:szCs w:val="22"/>
              </w:rPr>
            </w:pPr>
            <w:r w:rsidRPr="000650F4">
              <w:rPr>
                <w:i/>
                <w:sz w:val="22"/>
                <w:szCs w:val="22"/>
              </w:rPr>
              <w:t>Evidence: scrutiny of pupils’ records with key staff including input from external partners; discussion with potentially vulnerable pupils; observation of lessons including potentially vulnerable pupils to assess the impact of provision on, for example, learning and behaviour</w:t>
            </w:r>
            <w:r w:rsidR="00364CFA">
              <w:rPr>
                <w:i/>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Improved attendance and progress of pupils who participate in a family learning programme, set up through the school’s extended service provision, which supports parents and children from a disadvantaged section of the local community to develop literacy skills.</w:t>
            </w:r>
          </w:p>
          <w:p w:rsidR="001F5328" w:rsidRPr="000650F4" w:rsidRDefault="001F5328" w:rsidP="002A7DD3">
            <w:pPr>
              <w:jc w:val="left"/>
              <w:rPr>
                <w:i/>
                <w:sz w:val="22"/>
                <w:szCs w:val="22"/>
              </w:rPr>
            </w:pPr>
            <w:r w:rsidRPr="000650F4">
              <w:rPr>
                <w:i/>
                <w:sz w:val="22"/>
                <w:szCs w:val="22"/>
              </w:rPr>
              <w:t>Evidence: discussion with pupils and parents; scrutiny of the school’s monitoring records</w:t>
            </w:r>
            <w:r w:rsidR="00364CFA">
              <w:rPr>
                <w:i/>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 xml:space="preserve">Improved test results in mathematics as a result of regular teaching by a secondary mathematics specialist and further support for primary teachers </w:t>
            </w:r>
            <w:r w:rsidR="00A20A9F" w:rsidRPr="00673B81">
              <w:rPr>
                <w:color w:val="auto"/>
                <w:lang w:eastAsia="en-GB"/>
              </w:rPr>
              <w:t xml:space="preserve">from </w:t>
            </w:r>
            <w:r w:rsidRPr="00673B81">
              <w:rPr>
                <w:color w:val="auto"/>
                <w:lang w:eastAsia="en-GB"/>
              </w:rPr>
              <w:t>the mathematic</w:t>
            </w:r>
            <w:r w:rsidR="00A20A9F" w:rsidRPr="00673B81">
              <w:rPr>
                <w:color w:val="auto"/>
                <w:lang w:eastAsia="en-GB"/>
              </w:rPr>
              <w:t>s</w:t>
            </w:r>
            <w:r w:rsidRPr="00673B81">
              <w:rPr>
                <w:color w:val="auto"/>
                <w:lang w:eastAsia="en-GB"/>
              </w:rPr>
              <w:t xml:space="preserve"> specialist school.</w:t>
            </w:r>
          </w:p>
          <w:p w:rsidR="001F5328" w:rsidRPr="000650F4" w:rsidRDefault="001F5328" w:rsidP="002A7DD3">
            <w:pPr>
              <w:jc w:val="left"/>
              <w:rPr>
                <w:i/>
                <w:sz w:val="22"/>
                <w:szCs w:val="22"/>
              </w:rPr>
            </w:pPr>
            <w:r w:rsidRPr="000650F4">
              <w:rPr>
                <w:i/>
                <w:sz w:val="22"/>
                <w:szCs w:val="22"/>
              </w:rPr>
              <w:t>Evidence: test results; scrutiny of pupils’ work; discussion with teaching staff</w:t>
            </w:r>
            <w:r w:rsidR="00364CFA">
              <w:rPr>
                <w:i/>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Cluster arrangements enhance the curriculum by enabling specialist teaching for physical education and French to take place during class teachers’ PPA time. Pupils enjoy the different activities.</w:t>
            </w:r>
          </w:p>
          <w:p w:rsidR="001F5328" w:rsidRPr="000650F4" w:rsidRDefault="001F5328" w:rsidP="002A7DD3">
            <w:pPr>
              <w:jc w:val="left"/>
              <w:rPr>
                <w:i/>
                <w:sz w:val="22"/>
                <w:szCs w:val="22"/>
              </w:rPr>
            </w:pPr>
            <w:r w:rsidRPr="000650F4">
              <w:rPr>
                <w:i/>
                <w:sz w:val="22"/>
                <w:szCs w:val="22"/>
              </w:rPr>
              <w:t>Evidence: lesson observation; discussion with pupils</w:t>
            </w:r>
            <w:r w:rsidR="00364CFA">
              <w:rPr>
                <w:i/>
                <w:sz w:val="22"/>
                <w:szCs w:val="22"/>
              </w:rPr>
              <w:t>.</w:t>
            </w:r>
          </w:p>
        </w:tc>
      </w:tr>
      <w:tr w:rsidR="001F5328" w:rsidTr="002A7DD3">
        <w:trPr>
          <w:jc w:val="center"/>
        </w:trPr>
        <w:tc>
          <w:tcPr>
            <w:tcW w:w="9208" w:type="dxa"/>
          </w:tcPr>
          <w:p w:rsidR="001F5328" w:rsidRPr="00673B81" w:rsidRDefault="001F5328" w:rsidP="002A7DD3">
            <w:pPr>
              <w:pStyle w:val="Tabletext-left"/>
              <w:jc w:val="left"/>
              <w:rPr>
                <w:color w:val="auto"/>
                <w:lang w:eastAsia="en-GB"/>
              </w:rPr>
            </w:pPr>
            <w:r w:rsidRPr="00673B81">
              <w:rPr>
                <w:color w:val="auto"/>
                <w:lang w:eastAsia="en-GB"/>
              </w:rPr>
              <w:t>An independent – state school partnership enables pupils to develop leadership and teamwork skills through group projects focusing on issues in the local community.</w:t>
            </w:r>
          </w:p>
          <w:p w:rsidR="001F5328" w:rsidRPr="000650F4" w:rsidRDefault="001F5328" w:rsidP="002A7DD3">
            <w:pPr>
              <w:jc w:val="left"/>
              <w:rPr>
                <w:i/>
                <w:sz w:val="22"/>
                <w:szCs w:val="22"/>
              </w:rPr>
            </w:pPr>
            <w:r w:rsidRPr="000650F4">
              <w:rPr>
                <w:i/>
                <w:sz w:val="22"/>
                <w:szCs w:val="22"/>
              </w:rPr>
              <w:t>Evidence: discussions with pupils; lesson observations</w:t>
            </w:r>
            <w:r w:rsidR="00364CFA">
              <w:rPr>
                <w:i/>
                <w:sz w:val="22"/>
                <w:szCs w:val="22"/>
              </w:rPr>
              <w:t>.</w:t>
            </w:r>
          </w:p>
        </w:tc>
      </w:tr>
    </w:tbl>
    <w:p w:rsidR="005B1BAF" w:rsidRPr="00B922C3" w:rsidRDefault="005B1BAF" w:rsidP="00425DBF">
      <w:pPr>
        <w:pStyle w:val="Unnumberedparagraph"/>
        <w:rPr>
          <w:lang/>
        </w:rPr>
      </w:pPr>
    </w:p>
    <w:sectPr w:rsidR="005B1BAF" w:rsidRPr="00B922C3" w:rsidSect="00317361">
      <w:headerReference w:type="even" r:id="rId18"/>
      <w:headerReference w:type="default" r:id="rId19"/>
      <w:footerReference w:type="even" r:id="rId20"/>
      <w:footerReference w:type="default" r:id="rId21"/>
      <w:headerReference w:type="first" r:id="rId22"/>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B81" w:rsidRDefault="00673B81">
      <w:pPr>
        <w:pStyle w:val="Tabletext-left"/>
      </w:pPr>
      <w:r>
        <w:separator/>
      </w:r>
    </w:p>
    <w:p w:rsidR="00673B81" w:rsidRDefault="00673B81"/>
    <w:p w:rsidR="00673B81" w:rsidRDefault="00673B81"/>
  </w:endnote>
  <w:endnote w:type="continuationSeparator" w:id="0">
    <w:p w:rsidR="00673B81" w:rsidRDefault="00673B81">
      <w:pPr>
        <w:pStyle w:val="Tabletext-left"/>
      </w:pPr>
      <w:r>
        <w:continuationSeparator/>
      </w:r>
    </w:p>
    <w:p w:rsidR="00673B81" w:rsidRDefault="00673B81"/>
    <w:p w:rsidR="00673B81" w:rsidRDefault="00673B8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rsidP="002F3B92">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Pr="00B922C3" w:rsidRDefault="007A5BC0" w:rsidP="009C021D">
    <w:pPr>
      <w:pStyle w:val="Header"/>
      <w:framePr w:h="522" w:hRule="exact" w:wrap="around" w:vAnchor="text" w:hAnchor="margin" w:x="1" w:y="1"/>
      <w:rPr>
        <w:rStyle w:val="PageNumber"/>
      </w:rPr>
    </w:pPr>
    <w:r w:rsidRPr="00B922C3">
      <w:rPr>
        <w:rStyle w:val="PageNumber"/>
      </w:rPr>
      <w:fldChar w:fldCharType="begin"/>
    </w:r>
    <w:r w:rsidRPr="00B922C3">
      <w:rPr>
        <w:rStyle w:val="PageNumber"/>
      </w:rPr>
      <w:instrText xml:space="preserve">PAGE  </w:instrText>
    </w:r>
    <w:r w:rsidRPr="00B922C3">
      <w:rPr>
        <w:rStyle w:val="PageNumber"/>
      </w:rPr>
      <w:fldChar w:fldCharType="separate"/>
    </w:r>
    <w:r w:rsidR="00D51E78">
      <w:rPr>
        <w:rStyle w:val="PageNumber"/>
        <w:noProof/>
      </w:rPr>
      <w:t>4</w:t>
    </w:r>
    <w:r w:rsidRPr="00B922C3">
      <w:rPr>
        <w:rStyle w:val="PageNumber"/>
      </w:rPr>
      <w:fldChar w:fldCharType="end"/>
    </w:r>
  </w:p>
  <w:p w:rsidR="007A5BC0" w:rsidRDefault="007A5BC0" w:rsidP="000650F4">
    <w:pPr>
      <w:pStyle w:val="Footer-LHSEven"/>
      <w:tabs>
        <w:tab w:val="left" w:pos="720"/>
      </w:tabs>
      <w:jc w:val="right"/>
    </w:pPr>
    <w:r>
      <w:tab/>
    </w:r>
    <w:r>
      <w:tab/>
      <w:t>Inspecting the effectiveness of partnerships</w:t>
    </w:r>
  </w:p>
  <w:p w:rsidR="007A5BC0" w:rsidRDefault="007A5BC0" w:rsidP="000650F4">
    <w:pPr>
      <w:pStyle w:val="Footer-LHSEven"/>
      <w:tabs>
        <w:tab w:val="left" w:pos="720"/>
      </w:tabs>
      <w:jc w:val="right"/>
    </w:pPr>
    <w:r>
      <w:t>September 2013, No. 090203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Pr="00B922C3" w:rsidRDefault="007A5BC0" w:rsidP="0063297D">
    <w:pPr>
      <w:pStyle w:val="Header"/>
      <w:framePr w:h="550" w:hRule="exact" w:wrap="around" w:vAnchor="text" w:hAnchor="margin" w:xAlign="right" w:y="1"/>
      <w:jc w:val="right"/>
      <w:rPr>
        <w:rStyle w:val="PageNumber"/>
      </w:rPr>
    </w:pPr>
    <w:r w:rsidRPr="00B922C3">
      <w:rPr>
        <w:rStyle w:val="PageNumber"/>
      </w:rPr>
      <w:fldChar w:fldCharType="begin"/>
    </w:r>
    <w:r w:rsidRPr="00B922C3">
      <w:rPr>
        <w:rStyle w:val="PageNumber"/>
      </w:rPr>
      <w:instrText xml:space="preserve">PAGE  </w:instrText>
    </w:r>
    <w:r w:rsidRPr="00B922C3">
      <w:rPr>
        <w:rStyle w:val="PageNumber"/>
      </w:rPr>
      <w:fldChar w:fldCharType="separate"/>
    </w:r>
    <w:r w:rsidR="00D51E78">
      <w:rPr>
        <w:rStyle w:val="PageNumber"/>
        <w:noProof/>
      </w:rPr>
      <w:t>3</w:t>
    </w:r>
    <w:r w:rsidRPr="00B922C3">
      <w:rPr>
        <w:rStyle w:val="PageNumber"/>
      </w:rPr>
      <w:fldChar w:fldCharType="end"/>
    </w:r>
  </w:p>
  <w:p w:rsidR="007A5BC0" w:rsidRPr="00A07D48" w:rsidRDefault="007A5BC0" w:rsidP="00281EA9">
    <w:pPr>
      <w:pStyle w:val="Footer-RHSOdd"/>
      <w:tabs>
        <w:tab w:val="right" w:pos="8460"/>
      </w:tabs>
    </w:pPr>
    <w:r>
      <w:t>Inspecting the effectiveness of partnerships</w:t>
    </w:r>
  </w:p>
  <w:p w:rsidR="007A5BC0" w:rsidRDefault="007A5BC0" w:rsidP="000650F4">
    <w:pPr>
      <w:pStyle w:val="Footer-RHSOdd"/>
      <w:pBdr>
        <w:top w:val="none" w:sz="0" w:space="0" w:color="auto"/>
      </w:pBdr>
      <w:tabs>
        <w:tab w:val="left" w:pos="7695"/>
      </w:tabs>
    </w:pPr>
    <w:r>
      <w:t>September 2013, No. 090203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B81" w:rsidRDefault="00673B81">
      <w:pPr>
        <w:pStyle w:val="Tabletext-left"/>
      </w:pPr>
      <w:r>
        <w:separator/>
      </w:r>
    </w:p>
    <w:p w:rsidR="00673B81" w:rsidRDefault="00673B81"/>
  </w:footnote>
  <w:footnote w:type="continuationSeparator" w:id="0">
    <w:p w:rsidR="00673B81" w:rsidRDefault="00673B81">
      <w:pPr>
        <w:pStyle w:val="Tabletext-left"/>
      </w:pPr>
      <w:r>
        <w:continuationSeparator/>
      </w:r>
    </w:p>
    <w:p w:rsidR="00673B81" w:rsidRDefault="00673B81"/>
    <w:p w:rsidR="00673B81" w:rsidRDefault="00673B81"/>
  </w:footnote>
  <w:footnote w:id="1">
    <w:p w:rsidR="007A5BC0" w:rsidRDefault="007A5BC0" w:rsidP="003F4D71">
      <w:pPr>
        <w:pStyle w:val="FootnoteText"/>
        <w:jc w:val="left"/>
      </w:pPr>
      <w:r>
        <w:rPr>
          <w:rStyle w:val="FootnoteReference"/>
        </w:rPr>
        <w:footnoteRef/>
      </w:r>
      <w:r>
        <w:t xml:space="preserve"> </w:t>
      </w:r>
      <w:r w:rsidRPr="003F4D71">
        <w:rPr>
          <w:i/>
        </w:rPr>
        <w:t>The framework for school inspection</w:t>
      </w:r>
      <w:r>
        <w:t xml:space="preserve"> (120100), Ofsted, 2013; </w:t>
      </w:r>
      <w:hyperlink r:id="rId1" w:history="1">
        <w:r w:rsidRPr="00584DC2">
          <w:rPr>
            <w:rStyle w:val="Hyperlink"/>
          </w:rPr>
          <w:t>ww</w:t>
        </w:r>
        <w:r w:rsidRPr="00584DC2">
          <w:rPr>
            <w:rStyle w:val="Hyperlink"/>
          </w:rPr>
          <w:t>w</w:t>
        </w:r>
        <w:r w:rsidRPr="00584DC2">
          <w:rPr>
            <w:rStyle w:val="Hyperlink"/>
          </w:rPr>
          <w:t>.ofsted.gov.uk/resources/120100</w:t>
        </w:r>
      </w:hyperlink>
      <w:r>
        <w:t>.</w:t>
      </w:r>
    </w:p>
  </w:footnote>
  <w:footnote w:id="2">
    <w:p w:rsidR="007A5BC0" w:rsidRDefault="007A5BC0" w:rsidP="003F4D71">
      <w:pPr>
        <w:pStyle w:val="FootnoteText"/>
        <w:jc w:val="left"/>
      </w:pPr>
      <w:r>
        <w:rPr>
          <w:rStyle w:val="FootnoteReference"/>
        </w:rPr>
        <w:footnoteRef/>
      </w:r>
      <w:r>
        <w:t xml:space="preserve"> </w:t>
      </w:r>
      <w:r w:rsidRPr="003F4D71">
        <w:rPr>
          <w:i/>
        </w:rPr>
        <w:t xml:space="preserve">School inspection </w:t>
      </w:r>
      <w:r>
        <w:rPr>
          <w:i/>
        </w:rPr>
        <w:t>handbook</w:t>
      </w:r>
      <w:r w:rsidRPr="003F4D71">
        <w:rPr>
          <w:i/>
        </w:rPr>
        <w:t xml:space="preserve"> </w:t>
      </w:r>
      <w:r>
        <w:t xml:space="preserve">(120101), Ofsted, 2013; </w:t>
      </w:r>
      <w:hyperlink r:id="rId2" w:history="1">
        <w:r w:rsidRPr="00584DC2">
          <w:rPr>
            <w:rStyle w:val="Hyperlink"/>
          </w:rPr>
          <w:t>w</w:t>
        </w:r>
        <w:r w:rsidRPr="00584DC2">
          <w:rPr>
            <w:rStyle w:val="Hyperlink"/>
          </w:rPr>
          <w:t>w</w:t>
        </w:r>
        <w:r w:rsidRPr="00584DC2">
          <w:rPr>
            <w:rStyle w:val="Hyperlink"/>
          </w:rPr>
          <w:t>w.ofsted.gov.uk/resources/120101</w:t>
        </w:r>
      </w:hyperlink>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Pr="004D7E32" w:rsidRDefault="007A5BC0"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left:0;text-align:left;margin-left:459.25pt;margin-top:25.5pt;width:102pt;height:86.5pt;z-index:-1;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left:0;text-align:left;margin-left:481.95pt;margin-top:25.5pt;width:79.35pt;height:39.85pt;z-index:-2;mso-position-horizontal-relative:page;mso-position-vertical-relative:page" o:allowincell="f" o:allowoverlap="f">
          <v:imagedata r:id="rId1" o:title="Ofsted_Logo_Black_RGB"/>
          <w10:wrap anchorx="page" anchory="page"/>
          <w10:anchorlock/>
        </v:shape>
      </w:pict>
    </w:r>
  </w:p>
  <w:p w:rsidR="007A5BC0" w:rsidRDefault="007A5BC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481.95pt;margin-top:25.5pt;width:79.35pt;height:39.85pt;z-index:-3;mso-position-horizontal-relative:page;mso-position-vertical-relative:page" o:allowincell="f" o:allowoverlap="f">
          <v:imagedata r:id="rId1" o:title="Ofsted_Logo_Black_RGB"/>
          <w10:wrap anchorx="page" anchory="page"/>
          <w10:anchorlock/>
        </v:shape>
      </w:pict>
    </w:r>
  </w:p>
  <w:p w:rsidR="007A5BC0" w:rsidRDefault="007A5BC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BC0" w:rsidRDefault="007A5BC0">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BA1305">
      <w:rPr>
        <w:rStyle w:val="PageNumber"/>
        <w:noProof/>
      </w:rPr>
      <w:t>2</w:t>
    </w:r>
    <w:r>
      <w:rPr>
        <w:rStyle w:val="PageNumber"/>
      </w:rPr>
      <w:fldChar w:fldCharType="end"/>
    </w:r>
  </w:p>
  <w:p w:rsidR="007A5BC0" w:rsidRDefault="007A5B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7E104FE"/>
    <w:multiLevelType w:val="hybridMultilevel"/>
    <w:tmpl w:val="5F304E32"/>
    <w:lvl w:ilvl="0" w:tplc="108C43C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nsid w:val="12D76824"/>
    <w:multiLevelType w:val="hybridMultilevel"/>
    <w:tmpl w:val="FF14717C"/>
    <w:lvl w:ilvl="0" w:tplc="108C43C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E611F16"/>
    <w:multiLevelType w:val="hybridMultilevel"/>
    <w:tmpl w:val="B1549210"/>
    <w:lvl w:ilvl="0" w:tplc="108C43C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8">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0">
    <w:nsid w:val="4DE91E14"/>
    <w:multiLevelType w:val="hybridMultilevel"/>
    <w:tmpl w:val="5D341766"/>
    <w:lvl w:ilvl="0" w:tplc="108C43C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nsid w:val="50AF0DE9"/>
    <w:multiLevelType w:val="hybridMultilevel"/>
    <w:tmpl w:val="4EE6436A"/>
    <w:lvl w:ilvl="0" w:tplc="B5CE3A8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8"/>
  </w:num>
  <w:num w:numId="2">
    <w:abstractNumId w:val="5"/>
  </w:num>
  <w:num w:numId="3">
    <w:abstractNumId w:val="13"/>
  </w:num>
  <w:num w:numId="4">
    <w:abstractNumId w:val="9"/>
  </w:num>
  <w:num w:numId="5">
    <w:abstractNumId w:val="0"/>
  </w:num>
  <w:num w:numId="6">
    <w:abstractNumId w:val="14"/>
  </w:num>
  <w:num w:numId="7">
    <w:abstractNumId w:val="4"/>
  </w:num>
  <w:num w:numId="8">
    <w:abstractNumId w:val="1"/>
  </w:num>
  <w:num w:numId="9">
    <w:abstractNumId w:val="13"/>
  </w:num>
  <w:num w:numId="10">
    <w:abstractNumId w:val="14"/>
  </w:num>
  <w:num w:numId="11">
    <w:abstractNumId w:val="14"/>
  </w:num>
  <w:num w:numId="12">
    <w:abstractNumId w:val="7"/>
  </w:num>
  <w:num w:numId="13">
    <w:abstractNumId w:val="12"/>
  </w:num>
  <w:num w:numId="14">
    <w:abstractNumId w:val="11"/>
  </w:num>
  <w:num w:numId="15">
    <w:abstractNumId w:val="2"/>
  </w:num>
  <w:num w:numId="16">
    <w:abstractNumId w:val="6"/>
  </w:num>
  <w:num w:numId="17">
    <w:abstractNumId w:val="3"/>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3F1F"/>
    <w:rsid w:val="000036F4"/>
    <w:rsid w:val="00007461"/>
    <w:rsid w:val="000130EB"/>
    <w:rsid w:val="0001349B"/>
    <w:rsid w:val="00013AC4"/>
    <w:rsid w:val="0003086D"/>
    <w:rsid w:val="000314E9"/>
    <w:rsid w:val="00033081"/>
    <w:rsid w:val="00051CB0"/>
    <w:rsid w:val="00054724"/>
    <w:rsid w:val="000650F4"/>
    <w:rsid w:val="00074244"/>
    <w:rsid w:val="00080F6A"/>
    <w:rsid w:val="0008102D"/>
    <w:rsid w:val="0008537F"/>
    <w:rsid w:val="00096DBA"/>
    <w:rsid w:val="000A129A"/>
    <w:rsid w:val="000A383E"/>
    <w:rsid w:val="000C6789"/>
    <w:rsid w:val="000D0750"/>
    <w:rsid w:val="000D6886"/>
    <w:rsid w:val="000E0353"/>
    <w:rsid w:val="000E60E2"/>
    <w:rsid w:val="00103213"/>
    <w:rsid w:val="0012126C"/>
    <w:rsid w:val="00122DF2"/>
    <w:rsid w:val="00123F41"/>
    <w:rsid w:val="00131186"/>
    <w:rsid w:val="001409FA"/>
    <w:rsid w:val="001418ED"/>
    <w:rsid w:val="0014479E"/>
    <w:rsid w:val="00145295"/>
    <w:rsid w:val="00170266"/>
    <w:rsid w:val="00171AAB"/>
    <w:rsid w:val="001720D1"/>
    <w:rsid w:val="001840DE"/>
    <w:rsid w:val="00190831"/>
    <w:rsid w:val="00190B7D"/>
    <w:rsid w:val="001915B4"/>
    <w:rsid w:val="00194148"/>
    <w:rsid w:val="00195358"/>
    <w:rsid w:val="001B21F3"/>
    <w:rsid w:val="001B57E8"/>
    <w:rsid w:val="001B687D"/>
    <w:rsid w:val="001B6888"/>
    <w:rsid w:val="001B7048"/>
    <w:rsid w:val="001C147A"/>
    <w:rsid w:val="001C6804"/>
    <w:rsid w:val="001C6A4F"/>
    <w:rsid w:val="001C74F3"/>
    <w:rsid w:val="001D5616"/>
    <w:rsid w:val="001D747C"/>
    <w:rsid w:val="001E0164"/>
    <w:rsid w:val="001E10F9"/>
    <w:rsid w:val="001F3D85"/>
    <w:rsid w:val="001F4D11"/>
    <w:rsid w:val="001F5328"/>
    <w:rsid w:val="00205F78"/>
    <w:rsid w:val="00206119"/>
    <w:rsid w:val="002227D5"/>
    <w:rsid w:val="00232C99"/>
    <w:rsid w:val="00234121"/>
    <w:rsid w:val="00240233"/>
    <w:rsid w:val="00242C2A"/>
    <w:rsid w:val="00250FAC"/>
    <w:rsid w:val="0025486B"/>
    <w:rsid w:val="0026011B"/>
    <w:rsid w:val="00260458"/>
    <w:rsid w:val="002607A5"/>
    <w:rsid w:val="00281EA9"/>
    <w:rsid w:val="0029342E"/>
    <w:rsid w:val="002A6188"/>
    <w:rsid w:val="002A7DD3"/>
    <w:rsid w:val="002B3474"/>
    <w:rsid w:val="002C42FC"/>
    <w:rsid w:val="002D0859"/>
    <w:rsid w:val="002E44F2"/>
    <w:rsid w:val="002E55A9"/>
    <w:rsid w:val="002F2009"/>
    <w:rsid w:val="002F2B43"/>
    <w:rsid w:val="002F3B92"/>
    <w:rsid w:val="002F4B3A"/>
    <w:rsid w:val="002F67F2"/>
    <w:rsid w:val="00304048"/>
    <w:rsid w:val="00317361"/>
    <w:rsid w:val="0031768D"/>
    <w:rsid w:val="00324CB7"/>
    <w:rsid w:val="003312DB"/>
    <w:rsid w:val="00341E82"/>
    <w:rsid w:val="00350FE2"/>
    <w:rsid w:val="00356C5F"/>
    <w:rsid w:val="00364CFA"/>
    <w:rsid w:val="00370741"/>
    <w:rsid w:val="00375225"/>
    <w:rsid w:val="00383833"/>
    <w:rsid w:val="00384A97"/>
    <w:rsid w:val="003852DD"/>
    <w:rsid w:val="00387A66"/>
    <w:rsid w:val="003A0566"/>
    <w:rsid w:val="003A4154"/>
    <w:rsid w:val="003A5FA1"/>
    <w:rsid w:val="003B0AE1"/>
    <w:rsid w:val="003C5600"/>
    <w:rsid w:val="003D0BDE"/>
    <w:rsid w:val="003D2521"/>
    <w:rsid w:val="003D443E"/>
    <w:rsid w:val="003D499D"/>
    <w:rsid w:val="003D64E5"/>
    <w:rsid w:val="003E411D"/>
    <w:rsid w:val="003E7D1B"/>
    <w:rsid w:val="003F3014"/>
    <w:rsid w:val="003F4D71"/>
    <w:rsid w:val="00400881"/>
    <w:rsid w:val="004026B4"/>
    <w:rsid w:val="004204DC"/>
    <w:rsid w:val="004205C9"/>
    <w:rsid w:val="004207BE"/>
    <w:rsid w:val="0042290D"/>
    <w:rsid w:val="004231A6"/>
    <w:rsid w:val="00424221"/>
    <w:rsid w:val="00425DBF"/>
    <w:rsid w:val="00427A37"/>
    <w:rsid w:val="00436AA7"/>
    <w:rsid w:val="00443DAE"/>
    <w:rsid w:val="00455E93"/>
    <w:rsid w:val="00463288"/>
    <w:rsid w:val="0046526B"/>
    <w:rsid w:val="00466785"/>
    <w:rsid w:val="004708C5"/>
    <w:rsid w:val="00475C75"/>
    <w:rsid w:val="004838A2"/>
    <w:rsid w:val="00487371"/>
    <w:rsid w:val="00487758"/>
    <w:rsid w:val="00492BEC"/>
    <w:rsid w:val="004A2A6A"/>
    <w:rsid w:val="004A3088"/>
    <w:rsid w:val="004B019E"/>
    <w:rsid w:val="004C0ADD"/>
    <w:rsid w:val="004C7B32"/>
    <w:rsid w:val="004D38CF"/>
    <w:rsid w:val="004D7D05"/>
    <w:rsid w:val="004D7E32"/>
    <w:rsid w:val="004E075F"/>
    <w:rsid w:val="004E3BEE"/>
    <w:rsid w:val="00501B4F"/>
    <w:rsid w:val="005045AA"/>
    <w:rsid w:val="005061FD"/>
    <w:rsid w:val="005073A0"/>
    <w:rsid w:val="005077CD"/>
    <w:rsid w:val="00516323"/>
    <w:rsid w:val="0051705A"/>
    <w:rsid w:val="00527FC5"/>
    <w:rsid w:val="00533481"/>
    <w:rsid w:val="005336CD"/>
    <w:rsid w:val="005410E1"/>
    <w:rsid w:val="00550A85"/>
    <w:rsid w:val="00555D74"/>
    <w:rsid w:val="005604C0"/>
    <w:rsid w:val="00562761"/>
    <w:rsid w:val="005715A3"/>
    <w:rsid w:val="00573FFD"/>
    <w:rsid w:val="00576ADA"/>
    <w:rsid w:val="005906C3"/>
    <w:rsid w:val="00591BB5"/>
    <w:rsid w:val="00593705"/>
    <w:rsid w:val="00593A90"/>
    <w:rsid w:val="005A319E"/>
    <w:rsid w:val="005A7B50"/>
    <w:rsid w:val="005B1735"/>
    <w:rsid w:val="005B1BAF"/>
    <w:rsid w:val="005C0820"/>
    <w:rsid w:val="005C2FF3"/>
    <w:rsid w:val="005C3955"/>
    <w:rsid w:val="005C44B1"/>
    <w:rsid w:val="005C5540"/>
    <w:rsid w:val="005C577D"/>
    <w:rsid w:val="005D26CF"/>
    <w:rsid w:val="005E66D3"/>
    <w:rsid w:val="005E7D60"/>
    <w:rsid w:val="005F720E"/>
    <w:rsid w:val="00600701"/>
    <w:rsid w:val="006054DD"/>
    <w:rsid w:val="00605D7E"/>
    <w:rsid w:val="00606F81"/>
    <w:rsid w:val="00615061"/>
    <w:rsid w:val="0061767E"/>
    <w:rsid w:val="00623364"/>
    <w:rsid w:val="00625488"/>
    <w:rsid w:val="0063297D"/>
    <w:rsid w:val="00640ADD"/>
    <w:rsid w:val="0064259A"/>
    <w:rsid w:val="00642FC9"/>
    <w:rsid w:val="00643960"/>
    <w:rsid w:val="00646A08"/>
    <w:rsid w:val="00656363"/>
    <w:rsid w:val="00663863"/>
    <w:rsid w:val="006653BE"/>
    <w:rsid w:val="00673B81"/>
    <w:rsid w:val="0068057C"/>
    <w:rsid w:val="006839A8"/>
    <w:rsid w:val="006857FD"/>
    <w:rsid w:val="0068656B"/>
    <w:rsid w:val="006875EA"/>
    <w:rsid w:val="00694F5D"/>
    <w:rsid w:val="00695E1C"/>
    <w:rsid w:val="006A2859"/>
    <w:rsid w:val="006A484F"/>
    <w:rsid w:val="006A7F22"/>
    <w:rsid w:val="006B1F60"/>
    <w:rsid w:val="006B34B5"/>
    <w:rsid w:val="006B76EF"/>
    <w:rsid w:val="006D3A3A"/>
    <w:rsid w:val="006D658B"/>
    <w:rsid w:val="006D7922"/>
    <w:rsid w:val="006E42A7"/>
    <w:rsid w:val="006E538B"/>
    <w:rsid w:val="006E641F"/>
    <w:rsid w:val="0071679F"/>
    <w:rsid w:val="00724EE7"/>
    <w:rsid w:val="007261D8"/>
    <w:rsid w:val="007330CD"/>
    <w:rsid w:val="007351EA"/>
    <w:rsid w:val="0074073D"/>
    <w:rsid w:val="00744D61"/>
    <w:rsid w:val="007615C9"/>
    <w:rsid w:val="00761D10"/>
    <w:rsid w:val="00762B30"/>
    <w:rsid w:val="00766391"/>
    <w:rsid w:val="007717A9"/>
    <w:rsid w:val="00773D5C"/>
    <w:rsid w:val="00773F2E"/>
    <w:rsid w:val="0078650C"/>
    <w:rsid w:val="007922CB"/>
    <w:rsid w:val="00793254"/>
    <w:rsid w:val="007A1ADD"/>
    <w:rsid w:val="007A331C"/>
    <w:rsid w:val="007A5BC0"/>
    <w:rsid w:val="007B340C"/>
    <w:rsid w:val="007B4BAF"/>
    <w:rsid w:val="007C394C"/>
    <w:rsid w:val="007C7404"/>
    <w:rsid w:val="007C756F"/>
    <w:rsid w:val="007F1EF9"/>
    <w:rsid w:val="007F699D"/>
    <w:rsid w:val="007F6BDB"/>
    <w:rsid w:val="00805A3D"/>
    <w:rsid w:val="008241D4"/>
    <w:rsid w:val="00826710"/>
    <w:rsid w:val="00837650"/>
    <w:rsid w:val="008408CC"/>
    <w:rsid w:val="008412A3"/>
    <w:rsid w:val="00843070"/>
    <w:rsid w:val="00843F38"/>
    <w:rsid w:val="0084547F"/>
    <w:rsid w:val="00860320"/>
    <w:rsid w:val="008608EC"/>
    <w:rsid w:val="00861CB9"/>
    <w:rsid w:val="008719A8"/>
    <w:rsid w:val="00874C45"/>
    <w:rsid w:val="008750E5"/>
    <w:rsid w:val="0088385E"/>
    <w:rsid w:val="00887A07"/>
    <w:rsid w:val="00890B6D"/>
    <w:rsid w:val="008A1657"/>
    <w:rsid w:val="008A2398"/>
    <w:rsid w:val="008A25CE"/>
    <w:rsid w:val="008A2ECC"/>
    <w:rsid w:val="008A6682"/>
    <w:rsid w:val="008B461B"/>
    <w:rsid w:val="008B7646"/>
    <w:rsid w:val="008C1B63"/>
    <w:rsid w:val="008D0DD8"/>
    <w:rsid w:val="008D3FD2"/>
    <w:rsid w:val="008E75AA"/>
    <w:rsid w:val="008F2AC8"/>
    <w:rsid w:val="008F3C99"/>
    <w:rsid w:val="008F3D2E"/>
    <w:rsid w:val="008F5DF8"/>
    <w:rsid w:val="008F5FAF"/>
    <w:rsid w:val="008F7338"/>
    <w:rsid w:val="00911A24"/>
    <w:rsid w:val="00922CAA"/>
    <w:rsid w:val="0092387C"/>
    <w:rsid w:val="00923880"/>
    <w:rsid w:val="009256C5"/>
    <w:rsid w:val="00927209"/>
    <w:rsid w:val="00933419"/>
    <w:rsid w:val="0093538D"/>
    <w:rsid w:val="00940C01"/>
    <w:rsid w:val="00941BCA"/>
    <w:rsid w:val="00953CFC"/>
    <w:rsid w:val="00955CDA"/>
    <w:rsid w:val="009621BA"/>
    <w:rsid w:val="0096659F"/>
    <w:rsid w:val="009722FF"/>
    <w:rsid w:val="00977CB0"/>
    <w:rsid w:val="0099005D"/>
    <w:rsid w:val="009B1DB8"/>
    <w:rsid w:val="009B67E2"/>
    <w:rsid w:val="009C021D"/>
    <w:rsid w:val="009C0EC6"/>
    <w:rsid w:val="009C2774"/>
    <w:rsid w:val="009C44C9"/>
    <w:rsid w:val="009C6931"/>
    <w:rsid w:val="009D3333"/>
    <w:rsid w:val="009D74C0"/>
    <w:rsid w:val="009E145B"/>
    <w:rsid w:val="009E3CEA"/>
    <w:rsid w:val="009E5A4E"/>
    <w:rsid w:val="009F5239"/>
    <w:rsid w:val="009F7A03"/>
    <w:rsid w:val="00A06724"/>
    <w:rsid w:val="00A07D48"/>
    <w:rsid w:val="00A10000"/>
    <w:rsid w:val="00A11143"/>
    <w:rsid w:val="00A11CDA"/>
    <w:rsid w:val="00A20166"/>
    <w:rsid w:val="00A20A9F"/>
    <w:rsid w:val="00A22970"/>
    <w:rsid w:val="00A24FAE"/>
    <w:rsid w:val="00A330B8"/>
    <w:rsid w:val="00A37CA4"/>
    <w:rsid w:val="00A37EE6"/>
    <w:rsid w:val="00A436FB"/>
    <w:rsid w:val="00A6461E"/>
    <w:rsid w:val="00A83685"/>
    <w:rsid w:val="00A90FC6"/>
    <w:rsid w:val="00A97164"/>
    <w:rsid w:val="00AB22BC"/>
    <w:rsid w:val="00AB58F1"/>
    <w:rsid w:val="00AC74FE"/>
    <w:rsid w:val="00AD0C85"/>
    <w:rsid w:val="00AD1311"/>
    <w:rsid w:val="00AD48D0"/>
    <w:rsid w:val="00AD7C60"/>
    <w:rsid w:val="00AE0F18"/>
    <w:rsid w:val="00AE318F"/>
    <w:rsid w:val="00AE4C39"/>
    <w:rsid w:val="00AE7861"/>
    <w:rsid w:val="00B028BD"/>
    <w:rsid w:val="00B0458D"/>
    <w:rsid w:val="00B1376F"/>
    <w:rsid w:val="00B138D2"/>
    <w:rsid w:val="00B1571A"/>
    <w:rsid w:val="00B17690"/>
    <w:rsid w:val="00B2303A"/>
    <w:rsid w:val="00B26CA6"/>
    <w:rsid w:val="00B3567D"/>
    <w:rsid w:val="00B4127E"/>
    <w:rsid w:val="00B413F2"/>
    <w:rsid w:val="00B41871"/>
    <w:rsid w:val="00B46F8E"/>
    <w:rsid w:val="00B52F99"/>
    <w:rsid w:val="00B55820"/>
    <w:rsid w:val="00B55F2A"/>
    <w:rsid w:val="00B57400"/>
    <w:rsid w:val="00B71F55"/>
    <w:rsid w:val="00B74E0C"/>
    <w:rsid w:val="00B777FC"/>
    <w:rsid w:val="00B83FA9"/>
    <w:rsid w:val="00B922C3"/>
    <w:rsid w:val="00B92520"/>
    <w:rsid w:val="00B942FB"/>
    <w:rsid w:val="00BA1305"/>
    <w:rsid w:val="00BA1C2B"/>
    <w:rsid w:val="00BA620B"/>
    <w:rsid w:val="00BB0712"/>
    <w:rsid w:val="00BB1F64"/>
    <w:rsid w:val="00BB40DD"/>
    <w:rsid w:val="00BB4268"/>
    <w:rsid w:val="00BB5F05"/>
    <w:rsid w:val="00BC52F5"/>
    <w:rsid w:val="00BC588A"/>
    <w:rsid w:val="00BD3139"/>
    <w:rsid w:val="00BE5941"/>
    <w:rsid w:val="00BF30AF"/>
    <w:rsid w:val="00BF7C53"/>
    <w:rsid w:val="00C02433"/>
    <w:rsid w:val="00C06800"/>
    <w:rsid w:val="00C10F85"/>
    <w:rsid w:val="00C15174"/>
    <w:rsid w:val="00C161C6"/>
    <w:rsid w:val="00C26380"/>
    <w:rsid w:val="00C34AE5"/>
    <w:rsid w:val="00C36FCE"/>
    <w:rsid w:val="00C50DBB"/>
    <w:rsid w:val="00C51769"/>
    <w:rsid w:val="00C72BB4"/>
    <w:rsid w:val="00C764BE"/>
    <w:rsid w:val="00C76C59"/>
    <w:rsid w:val="00C83504"/>
    <w:rsid w:val="00C9460F"/>
    <w:rsid w:val="00C97C2F"/>
    <w:rsid w:val="00CB483E"/>
    <w:rsid w:val="00CB5176"/>
    <w:rsid w:val="00CB5D0F"/>
    <w:rsid w:val="00CC3487"/>
    <w:rsid w:val="00CD727C"/>
    <w:rsid w:val="00CE6348"/>
    <w:rsid w:val="00CF67BF"/>
    <w:rsid w:val="00D00302"/>
    <w:rsid w:val="00D12B7F"/>
    <w:rsid w:val="00D1355D"/>
    <w:rsid w:val="00D1411E"/>
    <w:rsid w:val="00D20C77"/>
    <w:rsid w:val="00D22576"/>
    <w:rsid w:val="00D22EA7"/>
    <w:rsid w:val="00D40E9D"/>
    <w:rsid w:val="00D4212A"/>
    <w:rsid w:val="00D47C19"/>
    <w:rsid w:val="00D47E54"/>
    <w:rsid w:val="00D51E78"/>
    <w:rsid w:val="00D52AF6"/>
    <w:rsid w:val="00D53419"/>
    <w:rsid w:val="00D572CF"/>
    <w:rsid w:val="00D61D04"/>
    <w:rsid w:val="00D62FB0"/>
    <w:rsid w:val="00D638BC"/>
    <w:rsid w:val="00D66711"/>
    <w:rsid w:val="00D70DC6"/>
    <w:rsid w:val="00D73AF8"/>
    <w:rsid w:val="00D76F1C"/>
    <w:rsid w:val="00D82121"/>
    <w:rsid w:val="00D82924"/>
    <w:rsid w:val="00D93576"/>
    <w:rsid w:val="00D938E4"/>
    <w:rsid w:val="00DA45A8"/>
    <w:rsid w:val="00DC0139"/>
    <w:rsid w:val="00DC19C0"/>
    <w:rsid w:val="00DD5799"/>
    <w:rsid w:val="00DE4BCC"/>
    <w:rsid w:val="00DE5018"/>
    <w:rsid w:val="00E0562D"/>
    <w:rsid w:val="00E1058E"/>
    <w:rsid w:val="00E1083E"/>
    <w:rsid w:val="00E12DA8"/>
    <w:rsid w:val="00E22905"/>
    <w:rsid w:val="00E2606C"/>
    <w:rsid w:val="00E26F1B"/>
    <w:rsid w:val="00E3052A"/>
    <w:rsid w:val="00E314BE"/>
    <w:rsid w:val="00E40D01"/>
    <w:rsid w:val="00E423A1"/>
    <w:rsid w:val="00E42B2C"/>
    <w:rsid w:val="00E457D2"/>
    <w:rsid w:val="00E4725F"/>
    <w:rsid w:val="00E475DD"/>
    <w:rsid w:val="00E63A8E"/>
    <w:rsid w:val="00E64CE9"/>
    <w:rsid w:val="00E67E9A"/>
    <w:rsid w:val="00E70603"/>
    <w:rsid w:val="00E7751B"/>
    <w:rsid w:val="00E812A4"/>
    <w:rsid w:val="00E826FB"/>
    <w:rsid w:val="00E902DD"/>
    <w:rsid w:val="00E93C64"/>
    <w:rsid w:val="00E97961"/>
    <w:rsid w:val="00EA705D"/>
    <w:rsid w:val="00EB26F5"/>
    <w:rsid w:val="00EB2E3E"/>
    <w:rsid w:val="00EC2D1B"/>
    <w:rsid w:val="00EC6932"/>
    <w:rsid w:val="00ED18F7"/>
    <w:rsid w:val="00ED3D21"/>
    <w:rsid w:val="00EE4F48"/>
    <w:rsid w:val="00EF1356"/>
    <w:rsid w:val="00EF2331"/>
    <w:rsid w:val="00F00F28"/>
    <w:rsid w:val="00F056D2"/>
    <w:rsid w:val="00F07C6C"/>
    <w:rsid w:val="00F11642"/>
    <w:rsid w:val="00F13543"/>
    <w:rsid w:val="00F22C74"/>
    <w:rsid w:val="00F313C3"/>
    <w:rsid w:val="00F53BF3"/>
    <w:rsid w:val="00F56A6C"/>
    <w:rsid w:val="00F618F1"/>
    <w:rsid w:val="00F6752A"/>
    <w:rsid w:val="00F83F1F"/>
    <w:rsid w:val="00F85136"/>
    <w:rsid w:val="00F95358"/>
    <w:rsid w:val="00F974F5"/>
    <w:rsid w:val="00FA24A2"/>
    <w:rsid w:val="00FA37EB"/>
    <w:rsid w:val="00FA3ABD"/>
    <w:rsid w:val="00FB4BF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08EC"/>
    <w:pPr>
      <w:jc w:val="both"/>
    </w:pPr>
    <w:rPr>
      <w:rFonts w:ascii="Tahoma" w:hAnsi="Tahoma"/>
      <w:sz w:val="24"/>
      <w:szCs w:val="24"/>
    </w:rPr>
  </w:style>
  <w:style w:type="paragraph" w:styleId="Heading1">
    <w:name w:val="heading 1"/>
    <w:basedOn w:val="Normal"/>
    <w:next w:val="Normal"/>
    <w:link w:val="Heading1Char"/>
    <w:qFormat/>
    <w:rsid w:val="008608EC"/>
    <w:pPr>
      <w:keepNext/>
      <w:spacing w:after="240"/>
      <w:jc w:val="center"/>
      <w:outlineLvl w:val="0"/>
    </w:pPr>
    <w:rPr>
      <w:b/>
      <w:caps/>
      <w:kern w:val="28"/>
      <w:sz w:val="32"/>
    </w:rPr>
  </w:style>
  <w:style w:type="paragraph" w:styleId="Heading2">
    <w:name w:val="heading 2"/>
    <w:basedOn w:val="Normal"/>
    <w:next w:val="Normal"/>
    <w:link w:val="Heading2Char"/>
    <w:qFormat/>
    <w:rsid w:val="008608EC"/>
    <w:pPr>
      <w:keepNext/>
      <w:spacing w:after="240"/>
      <w:outlineLvl w:val="1"/>
    </w:pPr>
    <w:rPr>
      <w:b/>
      <w:caps/>
      <w:sz w:val="28"/>
    </w:rPr>
  </w:style>
  <w:style w:type="paragraph" w:styleId="Heading3">
    <w:name w:val="heading 3"/>
    <w:basedOn w:val="Normal"/>
    <w:next w:val="Normal"/>
    <w:qFormat/>
    <w:rsid w:val="008608EC"/>
    <w:pPr>
      <w:keepNext/>
      <w:spacing w:after="240"/>
      <w:outlineLvl w:val="2"/>
    </w:pPr>
    <w:rPr>
      <w:b/>
      <w:caps/>
    </w:rPr>
  </w:style>
  <w:style w:type="paragraph" w:styleId="Heading4">
    <w:name w:val="heading 4"/>
    <w:basedOn w:val="Normal"/>
    <w:next w:val="Normal"/>
    <w:qFormat/>
    <w:rsid w:val="008608EC"/>
    <w:pPr>
      <w:keepNext/>
      <w:spacing w:after="240"/>
      <w:outlineLvl w:val="3"/>
    </w:pPr>
    <w:rPr>
      <w:b/>
    </w:rPr>
  </w:style>
  <w:style w:type="paragraph" w:styleId="Heading5">
    <w:name w:val="heading 5"/>
    <w:basedOn w:val="Normal"/>
    <w:next w:val="Normal"/>
    <w:qFormat/>
    <w:locked/>
    <w:rsid w:val="008608EC"/>
    <w:pPr>
      <w:keepNext/>
      <w:spacing w:after="240"/>
      <w:ind w:left="720"/>
      <w:outlineLvl w:val="4"/>
    </w:pPr>
    <w:rPr>
      <w:i/>
    </w:rPr>
  </w:style>
  <w:style w:type="character" w:default="1" w:styleId="DefaultParagraphFont">
    <w:name w:val="Default Paragraph Font"/>
    <w:semiHidden/>
    <w:rsid w:val="008608E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8608EC"/>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843070"/>
    <w:rPr>
      <w:rFonts w:ascii="Tahoma" w:hAnsi="Tahoma"/>
      <w:color w:val="000000"/>
      <w:sz w:val="24"/>
      <w:szCs w:val="24"/>
      <w:lang w:val="en-GB" w:eastAsia="en-US" w:bidi="ar-SA"/>
    </w:rPr>
  </w:style>
  <w:style w:type="paragraph" w:styleId="Footer">
    <w:name w:val="footer"/>
    <w:basedOn w:val="Normal"/>
    <w:rsid w:val="008608EC"/>
    <w:pPr>
      <w:tabs>
        <w:tab w:val="center" w:pos="4320"/>
        <w:tab w:val="right" w:pos="8640"/>
      </w:tabs>
    </w:pPr>
  </w:style>
  <w:style w:type="paragraph" w:styleId="Header">
    <w:name w:val="header"/>
    <w:basedOn w:val="Normal"/>
    <w:locked/>
    <w:rsid w:val="008608EC"/>
    <w:pPr>
      <w:tabs>
        <w:tab w:val="center" w:pos="4320"/>
        <w:tab w:val="right" w:pos="8640"/>
      </w:tabs>
    </w:pPr>
  </w:style>
  <w:style w:type="paragraph" w:customStyle="1" w:styleId="Bulletsspaced">
    <w:name w:val="Bullets (spaced)"/>
    <w:basedOn w:val="Normal"/>
    <w:rsid w:val="00BB40DD"/>
    <w:pPr>
      <w:numPr>
        <w:numId w:val="8"/>
      </w:numPr>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semiHidden/>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rsid w:val="00CD727C"/>
    <w:pPr>
      <w:numPr>
        <w:numId w:val="7"/>
      </w:numPr>
      <w:ind w:left="567" w:hanging="567"/>
    </w:pPr>
  </w:style>
  <w:style w:type="paragraph" w:customStyle="1" w:styleId="Unnumberedparagraph">
    <w:name w:val="Unnumbered paragraph"/>
    <w:basedOn w:val="Normal"/>
    <w:link w:val="UnnumberedparagraphChar"/>
    <w:pPr>
      <w:spacing w:after="240"/>
    </w:pPr>
    <w:rPr>
      <w:color w:val="000000"/>
      <w:lang w:eastAsia="en-US"/>
    </w:r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rPr>
      <w:sz w:val="20"/>
      <w:szCs w:val="20"/>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BB40DD"/>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BB40DD"/>
    <w:pPr>
      <w:numPr>
        <w:numId w:val="11"/>
      </w:numPr>
      <w:tabs>
        <w:tab w:val="left" w:pos="1247"/>
      </w:tabs>
      <w:ind w:left="896" w:hanging="357"/>
    </w:pPr>
  </w:style>
  <w:style w:type="paragraph" w:customStyle="1" w:styleId="Bulletsdashes">
    <w:name w:val="Bullets (dashes)"/>
    <w:basedOn w:val="Bulletsspaced"/>
    <w:rsid w:val="00663863"/>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table" w:styleId="TableGrid">
    <w:name w:val="Table Grid"/>
    <w:basedOn w:val="TableNormal"/>
    <w:locked/>
    <w:rsid w:val="005B1BA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663863"/>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character" w:customStyle="1" w:styleId="Heading1Char">
    <w:name w:val="Heading 1 Char"/>
    <w:link w:val="Heading1"/>
    <w:rsid w:val="005B1BAF"/>
    <w:rPr>
      <w:rFonts w:ascii="Tahoma" w:hAnsi="Tahoma"/>
      <w:b/>
      <w:caps/>
      <w:kern w:val="28"/>
      <w:sz w:val="32"/>
      <w:szCs w:val="24"/>
      <w:lang w:val="en-GB" w:eastAsia="en-GB" w:bidi="ar-SA"/>
    </w:rPr>
  </w:style>
  <w:style w:type="paragraph" w:styleId="BodyText2">
    <w:name w:val="Body Text 2"/>
    <w:aliases w:val=" Char"/>
    <w:basedOn w:val="Normal"/>
    <w:link w:val="BodyText2Char"/>
    <w:locked/>
    <w:rsid w:val="001E10F9"/>
    <w:pPr>
      <w:spacing w:after="120" w:line="480" w:lineRule="auto"/>
    </w:pPr>
    <w:rPr>
      <w:rFonts w:ascii="Arial" w:hAnsi="Arial"/>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8608EC"/>
    <w:pPr>
      <w:spacing w:after="120"/>
    </w:pPr>
  </w:style>
  <w:style w:type="paragraph" w:styleId="ListBullet2">
    <w:name w:val="List Bullet 2"/>
    <w:basedOn w:val="Normal"/>
    <w:link w:val="ListBullet2Char"/>
    <w:locked/>
    <w:rsid w:val="001E10F9"/>
    <w:pPr>
      <w:numPr>
        <w:numId w:val="5"/>
      </w:numPr>
    </w:pPr>
    <w:rPr>
      <w:rFonts w:ascii="Times New Roman" w:hAnsi="Times New Roman"/>
    </w:rPr>
  </w:style>
  <w:style w:type="character" w:customStyle="1" w:styleId="Heading2Char">
    <w:name w:val="Heading 2 Char"/>
    <w:link w:val="Heading2"/>
    <w:rsid w:val="009B67E2"/>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LetterBodyText">
    <w:name w:val="Letter Body Text"/>
    <w:basedOn w:val="LetterText"/>
    <w:rsid w:val="008608EC"/>
    <w:pPr>
      <w:spacing w:after="120"/>
    </w:pPr>
  </w:style>
  <w:style w:type="paragraph" w:customStyle="1" w:styleId="LetterText">
    <w:name w:val="Letter Text"/>
    <w:basedOn w:val="Normal"/>
    <w:rsid w:val="008608EC"/>
  </w:style>
  <w:style w:type="paragraph" w:styleId="PlainText">
    <w:name w:val="Plain Text"/>
    <w:basedOn w:val="Normal"/>
    <w:locked/>
    <w:rsid w:val="008608EC"/>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ofsted.gov.uk/resources/120101" TargetMode="External"/><Relationship Id="rId1" Type="http://schemas.openxmlformats.org/officeDocument/2006/relationships/hyperlink" Target="http://www.ofsted.gov.uk/resources/1201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Newfileplan$\Divisions%20And%20Offices\IIF\Templates\PublicationTemplates_Sept09\DOT%20Documents%20(DO%20NOT%20USE)\Template_summ_copy_no_cont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F7E8B-A733-47B8-8E12-A787FAD09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5E5FB9D-3748-42F5-A834-C4BED1912FFD}">
  <ds:schemaRefs>
    <ds:schemaRef ds:uri="http://schemas.microsoft.com/sharepoint/v3/contenttype/forms"/>
  </ds:schemaRefs>
</ds:datastoreItem>
</file>

<file path=customXml/itemProps3.xml><?xml version="1.0" encoding="utf-8"?>
<ds:datastoreItem xmlns:ds="http://schemas.openxmlformats.org/officeDocument/2006/customXml" ds:itemID="{3DCC21FE-E8A5-438D-80F7-A4660075160E}">
  <ds:schemaRefs>
    <ds:schemaRef ds:uri="http://schemas.microsoft.com/office/2006/metadata/longProperties"/>
  </ds:schemaRefs>
</ds:datastoreItem>
</file>

<file path=customXml/itemProps4.xml><?xml version="1.0" encoding="utf-8"?>
<ds:datastoreItem xmlns:ds="http://schemas.openxmlformats.org/officeDocument/2006/customXml" ds:itemID="{967D464A-AE7B-41D6-9235-EC93D449EFFC}">
  <ds:schemaRefs>
    <ds:schemaRef ds:uri="http://schemas.microsoft.com/office/2006/metadata/properties"/>
  </ds:schemaRefs>
</ds:datastoreItem>
</file>

<file path=customXml/itemProps5.xml><?xml version="1.0" encoding="utf-8"?>
<ds:datastoreItem xmlns:ds="http://schemas.openxmlformats.org/officeDocument/2006/customXml" ds:itemID="{C4A704F5-CA01-4FE5-8014-F984D1F53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Template_summ_copy_no_cont_PROTECTED.dot</Template>
  <TotalTime>0</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Inspecting the effectiveness of partnerships</vt:lpstr>
    </vt:vector>
  </TitlesOfParts>
  <Company>Ofsted</Company>
  <LinksUpToDate>false</LinksUpToDate>
  <CharactersWithSpaces>6471</CharactersWithSpaces>
  <SharedDoc>false</SharedDoc>
  <HLinks>
    <vt:vector size="12" baseType="variant">
      <vt:variant>
        <vt:i4>196700</vt:i4>
      </vt:variant>
      <vt:variant>
        <vt:i4>3</vt:i4>
      </vt:variant>
      <vt:variant>
        <vt:i4>0</vt:i4>
      </vt:variant>
      <vt:variant>
        <vt:i4>5</vt:i4>
      </vt:variant>
      <vt:variant>
        <vt:lpwstr>http://www.ofsted.gov.uk/resources/120101</vt:lpwstr>
      </vt:variant>
      <vt:variant>
        <vt:lpwstr/>
      </vt:variant>
      <vt:variant>
        <vt:i4>196700</vt:i4>
      </vt:variant>
      <vt:variant>
        <vt:i4>0</vt:i4>
      </vt:variant>
      <vt:variant>
        <vt:i4>0</vt:i4>
      </vt:variant>
      <vt:variant>
        <vt:i4>5</vt:i4>
      </vt:variant>
      <vt:variant>
        <vt:lpwstr>http://www.ofsted.gov.uk/resources/120100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the effectiveness of partnerships</dc:title>
  <dc:creator>mcarroll</dc:creator>
  <cp:lastModifiedBy>Daniel O'Connor</cp:lastModifiedBy>
  <cp:revision>2</cp:revision>
  <cp:lastPrinted>2010-01-07T13:30:00Z</cp:lastPrinted>
  <dcterms:created xsi:type="dcterms:W3CDTF">2013-09-06T13:30:00Z</dcterms:created>
  <dcterms:modified xsi:type="dcterms:W3CDTF">2013-09-06T13:30:00Z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stedESD">
    <vt:lpwstr/>
  </property>
  <property fmtid="{D5CDD505-2E9C-101B-9397-08002B2CF9AE}" pid="3" name="ContentType">
    <vt:lpwstr>Ofsted Base Document</vt:lpwstr>
  </property>
  <property fmtid="{D5CDD505-2E9C-101B-9397-08002B2CF9AE}" pid="4" name="DocDescription">
    <vt:lpwstr/>
  </property>
  <property fmtid="{D5CDD505-2E9C-101B-9397-08002B2CF9AE}" pid="5" name="DatePublished">
    <vt:lpwstr>2011-06-13T00:00:00Z</vt:lpwstr>
  </property>
  <property fmtid="{D5CDD505-2E9C-101B-9397-08002B2CF9AE}" pid="6" name="Language">
    <vt:lpwstr>English</vt:lpwstr>
  </property>
  <property fmtid="{D5CDD505-2E9C-101B-9397-08002B2CF9AE}" pid="7" name="Subject">
    <vt:lpwstr/>
  </property>
  <property fmtid="{D5CDD505-2E9C-101B-9397-08002B2CF9AE}" pid="8" name="Keywords">
    <vt:lpwstr/>
  </property>
  <property fmtid="{D5CDD505-2E9C-101B-9397-08002B2CF9AE}" pid="9" name="_Author">
    <vt:lpwstr>mcarroll</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Zip file">
    <vt:lpwstr>Briefings and information</vt:lpwstr>
  </property>
  <property fmtid="{D5CDD505-2E9C-101B-9397-08002B2CF9AE}" pid="16" name="Related doc">
    <vt:lpwstr>;#Partnerships;#</vt:lpwstr>
  </property>
  <property fmtid="{D5CDD505-2E9C-101B-9397-08002B2CF9AE}" pid="17" name="Date">
    <vt:lpwstr>Sept 11</vt:lpwstr>
  </property>
  <property fmtid="{D5CDD505-2E9C-101B-9397-08002B2CF9AE}" pid="18" name="Order">
    <vt:lpwstr>22200.0000000000</vt:lpwstr>
  </property>
  <property fmtid="{D5CDD505-2E9C-101B-9397-08002B2CF9AE}" pid="19" name="RetentionPolicy">
    <vt:lpwstr>3</vt:lpwstr>
  </property>
  <property fmtid="{D5CDD505-2E9C-101B-9397-08002B2CF9AE}" pid="20" name="RightsManagementText">
    <vt:lpwstr>PROTECT</vt:lpwstr>
  </property>
  <property fmtid="{D5CDD505-2E9C-101B-9397-08002B2CF9AE}" pid="21" name="BCS_List">
    <vt:lpwstr>Inspect and Regulate Providers: Inspection</vt:lpwstr>
  </property>
  <property fmtid="{D5CDD505-2E9C-101B-9397-08002B2CF9AE}" pid="22" name="_DCDateModified">
    <vt:lpwstr/>
  </property>
  <property fmtid="{D5CDD505-2E9C-101B-9397-08002B2CF9AE}" pid="23" name="_DCDateCreated">
    <vt:lpwstr/>
  </property>
</Properties>
</file>