
<file path=[Content_Types].xml><?xml version="1.0" encoding="utf-8"?>
<Types xmlns="http://schemas.openxmlformats.org/package/2006/content-types">
  <Default Extension="png" ContentType="image/png"/>
  <Default Extension="bin" ContentType="application/vnd.openxmlformats-officedocument.oleObject"/>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charts/chart1.xml" ContentType="application/vnd.openxmlformats-officedocument.drawingml.chart+xml"/>
  <Override PartName="/word/charts/style1.xml" ContentType="application/vnd.ms-office.chartstyle+xml"/>
  <Override PartName="/word/charts/colors1.xml" ContentType="application/vnd.ms-office.chartcolorstyle+xml"/>
  <Override PartName="/word/charts/chart2.xml" ContentType="application/vnd.openxmlformats-officedocument.drawingml.chart+xml"/>
  <Override PartName="/word/charts/style2.xml" ContentType="application/vnd.ms-office.chartstyle+xml"/>
  <Override PartName="/word/charts/colors2.xml" ContentType="application/vnd.ms-office.chartcolorstyle+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diagrams/data1.xml" ContentType="application/vnd.openxmlformats-officedocument.drawingml.diagramData+xml"/>
  <Override PartName="/word/diagrams/layout1.xml" ContentType="application/vnd.openxmlformats-officedocument.drawingml.diagramLayout+xml"/>
  <Override PartName="/word/diagrams/quickStyle1.xml" ContentType="application/vnd.openxmlformats-officedocument.drawingml.diagramStyle+xml"/>
  <Override PartName="/word/diagrams/colors1.xml" ContentType="application/vnd.openxmlformats-officedocument.drawingml.diagramColors+xml"/>
  <Override PartName="/word/diagrams/drawing1.xml" ContentType="application/vnd.ms-office.drawingml.diagramDrawing+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bookmarkStart w:id="0" w:name="_GoBack"/>
    <w:bookmarkEnd w:id="0"/>
    <w:p w:rsidR="003D4C35" w:rsidRDefault="001039F9" w:rsidP="003D4C35">
      <w:pPr>
        <w:ind w:left="1440" w:right="1440"/>
        <w:rPr>
          <w:b/>
          <w:color w:val="FFFFFF" w:themeColor="background1"/>
          <w:sz w:val="52"/>
          <w:szCs w:val="52"/>
        </w:rPr>
      </w:pPr>
      <w:r>
        <w:rPr>
          <w:noProof/>
          <w:color w:val="993367"/>
          <w:lang w:eastAsia="en-GB"/>
        </w:rPr>
        <mc:AlternateContent>
          <mc:Choice Requires="wps">
            <w:drawing>
              <wp:anchor distT="0" distB="0" distL="114300" distR="114300" simplePos="0" relativeHeight="251659264" behindDoc="1" locked="0" layoutInCell="1" allowOverlap="1">
                <wp:simplePos x="0" y="0"/>
                <wp:positionH relativeFrom="column">
                  <wp:posOffset>-1294130</wp:posOffset>
                </wp:positionH>
                <wp:positionV relativeFrom="paragraph">
                  <wp:posOffset>-826135</wp:posOffset>
                </wp:positionV>
                <wp:extent cx="9190990" cy="9641205"/>
                <wp:effectExtent l="0" t="0" r="0" b="0"/>
                <wp:wrapNone/>
                <wp:docPr id="8" name="Rectangle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9190990" cy="9641205"/>
                        </a:xfrm>
                        <a:prstGeom prst="rect">
                          <a:avLst/>
                        </a:prstGeom>
                        <a:solidFill>
                          <a:srgbClr val="993365"/>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47B3BB90" id="Rectangle 1" o:spid="_x0000_s1026" style="position:absolute;margin-left:-101.9pt;margin-top:-65.05pt;width:723.7pt;height:759.1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" fillcolor="#993365" strokecolor="#243255 [1604]" strokeweight="1pt">
                <v:path arrowok="t"/>
              </v:rect>
            </w:pict>
          </mc:Fallback>
        </mc:AlternateContent>
      </w:r>
    </w:p>
    <w:tbl>
      <w:tblPr>
        <w:tblStyle w:val="TableGrid"/>
        <w:tblW w:w="9072" w:type="dxa"/>
        <w:tblInd w:w="141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3"/>
        <w:gridCol w:w="4399"/>
      </w:tblGrid>
      <w:tr w:rsidR="00506E38">
        <w:tc>
          <w:tcPr>
            <w:tcW w:w="9072" w:type="dxa"/>
            <w:gridSpan w:val="2"/>
          </w:tcPr>
          <w:bookmarkStart w:id="1" w:name="_Hlk502932332"/>
          <w:bookmarkEnd w:id="1"/>
          <w:p w:rsidR="00506E38" w:rsidRDefault="001039F9" w:rsidP="00506E38">
            <w:pPr>
              <w:tabs>
                <w:tab w:val="left" w:pos="7424"/>
              </w:tabs>
              <w:ind w:right="1440"/>
              <w:rPr>
                <w:color w:val="993367"/>
              </w:rPr>
            </w:pPr>
            <w:r>
              <w:rPr>
                <w:noProof/>
                <w:color w:val="993367"/>
                <w:lang w:eastAsia="en-GB"/>
              </w:rPr>
              <mc:AlternateContent>
                <mc:Choice Requires="wps">
                  <w:drawing>
                    <wp:anchor distT="0" distB="0" distL="114300" distR="114300" simplePos="0" relativeHeight="251693056" behindDoc="0" locked="0" layoutInCell="1" allowOverlap="1">
                      <wp:simplePos x="0" y="0"/>
                      <wp:positionH relativeFrom="column">
                        <wp:posOffset>-6350</wp:posOffset>
                      </wp:positionH>
                      <wp:positionV relativeFrom="paragraph">
                        <wp:posOffset>263525</wp:posOffset>
                      </wp:positionV>
                      <wp:extent cx="5603240" cy="1600200"/>
                      <wp:effectExtent l="0" t="0" r="0" b="0"/>
                      <wp:wrapSquare wrapText="bothSides"/>
                      <wp:docPr id="3"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603240" cy="16002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441C7" w:rsidRDefault="00D441C7" w:rsidP="00B12DFE">
                                  <w:pPr>
                                    <w:tabs>
                                      <w:tab w:val="left" w:pos="7938"/>
                                    </w:tabs>
                                    <w:ind w:right="597"/>
                                    <w:rPr>
                                      <w:b/>
                                      <w:color w:val="FFFFFF" w:themeColor="background1"/>
                                      <w:sz w:val="52"/>
                                      <w:szCs w:val="52"/>
                                    </w:rPr>
                                  </w:pPr>
                                  <w:r>
                                    <w:rPr>
                                      <w:b/>
                                      <w:color w:val="FFFFFF" w:themeColor="background1"/>
                                      <w:sz w:val="52"/>
                                      <w:szCs w:val="52"/>
                                    </w:rPr>
                                    <w:t>Interim Evaluation of the UK Research Partnership Investment Fund</w:t>
                                  </w:r>
                                </w:p>
                                <w:p w:rsidR="00D441C7" w:rsidRDefault="00D44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margin-left:-.5pt;margin-top:20.75pt;width:441.2pt;height:126pt;z-index:2516930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" filled="f" stroked="f">
                      <v:path arrowok="t"/>
                      <v:textbox>
                        <w:txbxContent>
                          <w:p w:rsidR="00D441C7" w:rsidRDefault="00D441C7" w:rsidP="00B12DFE">
                            <w:pPr>
                              <w:tabs>
                                <w:tab w:val="left" w:pos="7938"/>
                              </w:tabs>
                              <w:ind w:right="597"/>
                              <w:rPr>
                                <w:b/>
                                <w:color w:val="FFFFFF" w:themeColor="background1"/>
                                <w:sz w:val="52"/>
                                <w:szCs w:val="52"/>
                              </w:rPr>
                            </w:pPr>
                            <w:r>
                              <w:rPr>
                                <w:b/>
                                <w:color w:val="FFFFFF" w:themeColor="background1"/>
                                <w:sz w:val="52"/>
                                <w:szCs w:val="52"/>
                              </w:rPr>
                              <w:t>Interim Evaluation of the UK Research Partnership Investment Fund</w:t>
                            </w:r>
                          </w:p>
                          <w:p w:rsidR="00D441C7" w:rsidRDefault="00D441C7"/>
                        </w:txbxContent>
                      </v:textbox>
                      <w10:wrap type="square"/>
                    </v:shape>
                  </w:pict>
                </mc:Fallback>
              </mc:AlternateContent>
            </w:r>
          </w:p>
        </w:tc>
      </w:tr>
      <w:tr w:rsidR="00856080">
        <w:trPr>
          <w:trHeight w:val="8105"/>
        </w:trPr>
        <w:tc>
          <w:tcPr>
            <w:tcW w:w="9072" w:type="dxa"/>
            <w:gridSpan w:val="2"/>
          </w:tcPr>
          <w:p w:rsidR="00856080" w:rsidRDefault="001039F9" w:rsidP="00856080">
            <w:pPr>
              <w:ind w:right="1440"/>
              <w:rPr>
                <w:b/>
                <w:color w:val="FFFFFF" w:themeColor="background1"/>
                <w:sz w:val="28"/>
                <w:szCs w:val="28"/>
              </w:rPr>
            </w:pPr>
            <w:r>
              <w:rPr>
                <w:b/>
                <w:noProof/>
                <w:color w:val="FFFFFF" w:themeColor="background1"/>
                <w:sz w:val="28"/>
                <w:szCs w:val="28"/>
                <w:lang w:eastAsia="en-GB"/>
              </w:rPr>
              <mc:AlternateContent>
                <mc:Choice Requires="wps">
                  <w:drawing>
                    <wp:anchor distT="0" distB="0" distL="114300" distR="114300" simplePos="0" relativeHeight="251694080" behindDoc="0" locked="0" layoutInCell="1" allowOverlap="1">
                      <wp:simplePos x="0" y="0"/>
                      <wp:positionH relativeFrom="column">
                        <wp:posOffset>-6350</wp:posOffset>
                      </wp:positionH>
                      <wp:positionV relativeFrom="paragraph">
                        <wp:posOffset>40640</wp:posOffset>
                      </wp:positionV>
                      <wp:extent cx="5143500" cy="800100"/>
                      <wp:effectExtent l="0" t="0" r="0" b="0"/>
                      <wp:wrapSquare wrapText="bothSides"/>
                      <wp:docPr id="4"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5143500" cy="800100"/>
                              </a:xfrm>
                              <a:prstGeom prst="rect">
                                <a:avLst/>
                              </a:prstGeom>
                              <a:noFill/>
                              <a:ln>
                                <a:noFill/>
                              </a:ln>
                              <a:effectLst/>
                            </wps:spPr>
                            <wps:style>
                              <a:lnRef idx="0">
                                <a:schemeClr val="accent1"/>
                              </a:lnRef>
                              <a:fillRef idx="0">
                                <a:schemeClr val="accent1"/>
                              </a:fillRef>
                              <a:effectRef idx="0">
                                <a:schemeClr val="accent1"/>
                              </a:effectRef>
                              <a:fontRef idx="minor">
                                <a:schemeClr val="dk1"/>
                              </a:fontRef>
                            </wps:style>
                            <wps:txbx>
                              <w:txbxContent>
                                <w:p w:rsidR="00D441C7" w:rsidRPr="0016227C" w:rsidRDefault="00D441C7" w:rsidP="00624108">
                                  <w:pPr>
                                    <w:ind w:right="1440"/>
                                    <w:rPr>
                                      <w:b/>
                                      <w:color w:val="FFFFFF" w:themeColor="background1"/>
                                      <w:sz w:val="28"/>
                                      <w:szCs w:val="28"/>
                                    </w:rPr>
                                  </w:pPr>
                                  <w:r>
                                    <w:rPr>
                                      <w:b/>
                                      <w:color w:val="FFFFFF" w:themeColor="background1"/>
                                      <w:sz w:val="28"/>
                                      <w:szCs w:val="28"/>
                                    </w:rPr>
                                    <w:t>Report to Research England by Belmana and the Centre for Enterprise and Economic Development Research, Middlesex University</w:t>
                                  </w:r>
                                </w:p>
                                <w:p w:rsidR="00D441C7" w:rsidRDefault="00D441C7"/>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w:pict>
                    <v:shape id="Text Box 4" o:spid="_x0000_s1027" type="#_x0000_t202" style="position:absolute;margin-left:-.5pt;margin-top:3.2pt;width:405pt;height:63pt;z-index:2516940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" filled="f" stroked="f">
                      <v:path arrowok="t"/>
                      <v:textbox>
                        <w:txbxContent>
                          <w:p w:rsidR="00D441C7" w:rsidRPr="0016227C" w:rsidRDefault="00D441C7" w:rsidP="00624108">
                            <w:pPr>
                              <w:ind w:right="1440"/>
                              <w:rPr>
                                <w:b/>
                                <w:color w:val="FFFFFF" w:themeColor="background1"/>
                                <w:sz w:val="28"/>
                                <w:szCs w:val="28"/>
                              </w:rPr>
                            </w:pPr>
                            <w:r>
                              <w:rPr>
                                <w:b/>
                                <w:color w:val="FFFFFF" w:themeColor="background1"/>
                                <w:sz w:val="28"/>
                                <w:szCs w:val="28"/>
                              </w:rPr>
                              <w:t xml:space="preserve">Report to Research England by </w:t>
                            </w:r>
                            <w:proofErr w:type="spellStart"/>
                            <w:r>
                              <w:rPr>
                                <w:b/>
                                <w:color w:val="FFFFFF" w:themeColor="background1"/>
                                <w:sz w:val="28"/>
                                <w:szCs w:val="28"/>
                              </w:rPr>
                              <w:t>Belmana</w:t>
                            </w:r>
                            <w:proofErr w:type="spellEnd"/>
                            <w:r>
                              <w:rPr>
                                <w:b/>
                                <w:color w:val="FFFFFF" w:themeColor="background1"/>
                                <w:sz w:val="28"/>
                                <w:szCs w:val="28"/>
                              </w:rPr>
                              <w:t xml:space="preserve"> and the Centre for Enterprise and Economic Development Research, Middlesex University</w:t>
                            </w:r>
                          </w:p>
                          <w:p w:rsidR="00D441C7" w:rsidRDefault="00D441C7"/>
                        </w:txbxContent>
                      </v:textbox>
                      <w10:wrap type="square"/>
                    </v:shape>
                  </w:pict>
                </mc:Fallback>
              </mc:AlternateContent>
            </w:r>
          </w:p>
          <w:p w:rsidR="00856080" w:rsidRDefault="00856080" w:rsidP="00856080">
            <w:pPr>
              <w:ind w:right="1440"/>
              <w:rPr>
                <w:b/>
                <w:color w:val="FFFFFF" w:themeColor="background1"/>
                <w:sz w:val="52"/>
                <w:szCs w:val="52"/>
              </w:rPr>
            </w:pPr>
          </w:p>
          <w:p w:rsidR="00624108" w:rsidRDefault="00624108" w:rsidP="00856080">
            <w:pPr>
              <w:ind w:right="1440"/>
              <w:rPr>
                <w:b/>
                <w:color w:val="FFFFFF" w:themeColor="background1"/>
                <w:sz w:val="52"/>
                <w:szCs w:val="52"/>
              </w:rPr>
            </w:pPr>
          </w:p>
          <w:p w:rsidR="00856080" w:rsidRDefault="00856080" w:rsidP="00856080">
            <w:pPr>
              <w:ind w:right="1440"/>
              <w:rPr>
                <w:b/>
                <w:color w:val="FFFFFF" w:themeColor="background1"/>
                <w:sz w:val="52"/>
                <w:szCs w:val="52"/>
              </w:rPr>
            </w:pPr>
          </w:p>
          <w:p w:rsidR="00856080" w:rsidRDefault="00856080" w:rsidP="00856080">
            <w:pPr>
              <w:ind w:right="1440"/>
              <w:rPr>
                <w:b/>
                <w:color w:val="FFFFFF" w:themeColor="background1"/>
                <w:sz w:val="52"/>
                <w:szCs w:val="52"/>
              </w:rPr>
            </w:pPr>
          </w:p>
          <w:p w:rsidR="004E55A4" w:rsidRDefault="004E55A4" w:rsidP="00856080">
            <w:pPr>
              <w:ind w:right="1440"/>
              <w:rPr>
                <w:b/>
                <w:color w:val="FFFFFF" w:themeColor="background1"/>
                <w:sz w:val="52"/>
                <w:szCs w:val="52"/>
              </w:rPr>
            </w:pPr>
          </w:p>
          <w:p w:rsidR="00856080" w:rsidRDefault="00856080" w:rsidP="00856080">
            <w:pPr>
              <w:ind w:right="1440"/>
              <w:rPr>
                <w:b/>
                <w:color w:val="FFFFFF" w:themeColor="background1"/>
                <w:sz w:val="52"/>
                <w:szCs w:val="52"/>
              </w:rPr>
            </w:pPr>
          </w:p>
          <w:p w:rsidR="00856080" w:rsidRDefault="00966D0D" w:rsidP="00856080">
            <w:pPr>
              <w:ind w:right="1440"/>
              <w:rPr>
                <w:b/>
                <w:color w:val="FFFFFF" w:themeColor="background1"/>
                <w:sz w:val="32"/>
                <w:szCs w:val="32"/>
              </w:rPr>
            </w:pPr>
            <w:r>
              <w:rPr>
                <w:b/>
                <w:color w:val="FFFFFF" w:themeColor="background1"/>
                <w:sz w:val="32"/>
                <w:szCs w:val="32"/>
              </w:rPr>
              <w:t>July</w:t>
            </w:r>
            <w:r w:rsidR="008336C3">
              <w:rPr>
                <w:b/>
                <w:color w:val="FFFFFF" w:themeColor="background1"/>
                <w:sz w:val="32"/>
                <w:szCs w:val="32"/>
              </w:rPr>
              <w:t xml:space="preserve"> 2018</w:t>
            </w:r>
          </w:p>
          <w:p w:rsidR="00856080" w:rsidRDefault="00856080" w:rsidP="00856080">
            <w:pPr>
              <w:pStyle w:val="Belmana4normal"/>
              <w:jc w:val="right"/>
              <w:rPr>
                <w:color w:val="993367"/>
              </w:rPr>
            </w:pPr>
          </w:p>
        </w:tc>
      </w:tr>
      <w:tr w:rsidR="00856080">
        <w:tc>
          <w:tcPr>
            <w:tcW w:w="4673" w:type="dxa"/>
          </w:tcPr>
          <w:p w:rsidR="00856080" w:rsidRDefault="00856080" w:rsidP="00856080">
            <w:pPr>
              <w:pStyle w:val="Belmana4normal"/>
              <w:rPr>
                <w:noProof/>
                <w:color w:val="993367"/>
              </w:rPr>
            </w:pPr>
            <w:r>
              <w:rPr>
                <w:noProof/>
                <w:color w:val="993367"/>
                <w:lang w:eastAsia="en-GB"/>
              </w:rPr>
              <w:drawing>
                <wp:inline distT="0" distB="0" distL="0" distR="0">
                  <wp:extent cx="1264347" cy="840041"/>
                  <wp:effectExtent l="0" t="0" r="0" b="0"/>
                  <wp:docPr id="133" name="Picture 13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Belmana LOGO.jpg"/>
                          <pic:cNvPicPr/>
                        </pic:nvPicPr>
                        <pic:blipFill>
                          <a:blip r:embed="rId8"/>
                          <a:stretch>
                            <a:fillRect/>
                          </a:stretch>
                        </pic:blipFill>
                        <pic:spPr>
                          <a:xfrm>
                            <a:off x="0" y="0"/>
                            <a:ext cx="1279006" cy="849781"/>
                          </a:xfrm>
                          <a:prstGeom prst="rect">
                            <a:avLst/>
                          </a:prstGeom>
                        </pic:spPr>
                      </pic:pic>
                    </a:graphicData>
                  </a:graphic>
                </wp:inline>
              </w:drawing>
            </w:r>
          </w:p>
        </w:tc>
        <w:tc>
          <w:tcPr>
            <w:tcW w:w="4399" w:type="dxa"/>
          </w:tcPr>
          <w:p w:rsidR="00856080" w:rsidRDefault="00856080" w:rsidP="0045495E">
            <w:pPr>
              <w:pStyle w:val="Belmana4normal"/>
              <w:jc w:val="right"/>
              <w:rPr>
                <w:color w:val="993367"/>
              </w:rPr>
            </w:pPr>
          </w:p>
        </w:tc>
      </w:tr>
    </w:tbl>
    <w:p w:rsidR="005D418D" w:rsidRDefault="0016227C" w:rsidP="004E55A4">
      <w:pPr>
        <w:pStyle w:val="Belmana4normal"/>
        <w:tabs>
          <w:tab w:val="left" w:pos="7126"/>
        </w:tabs>
        <w:rPr>
          <w:color w:val="993367"/>
        </w:rPr>
        <w:sectPr w:rsidR="005D418D" w:rsidSect="00885558">
          <w:footerReference w:type="default" r:id="rId9"/>
          <w:pgSz w:w="11906" w:h="16838"/>
          <w:pgMar w:top="0" w:right="0" w:bottom="0" w:left="0" w:header="708" w:footer="708" w:gutter="0"/>
          <w:cols w:space="708"/>
          <w:docGrid w:linePitch="360"/>
        </w:sectPr>
      </w:pPr>
      <w:r>
        <w:rPr>
          <w:color w:val="993367"/>
        </w:rPr>
        <w:t xml:space="preserve">                </w:t>
      </w:r>
    </w:p>
    <w:p w:rsidR="00E745A7" w:rsidRPr="007B5FBA" w:rsidRDefault="00E745A7" w:rsidP="00E745A7">
      <w:pPr>
        <w:rPr>
          <w:rFonts w:ascii="Arial" w:hAnsi="Arial" w:cs="Arial"/>
          <w:b/>
          <w:color w:val="993367"/>
        </w:rPr>
      </w:pPr>
      <w:bookmarkStart w:id="2" w:name="_Hlk499908406"/>
      <w:bookmarkEnd w:id="2"/>
      <w:r w:rsidRPr="007B5FBA">
        <w:rPr>
          <w:rFonts w:ascii="Arial" w:hAnsi="Arial" w:cs="Arial"/>
          <w:b/>
          <w:color w:val="993367"/>
        </w:rPr>
        <w:lastRenderedPageBreak/>
        <w:t>Acknowledgments</w:t>
      </w:r>
    </w:p>
    <w:p w:rsidR="00E745A7" w:rsidRDefault="00E745A7" w:rsidP="00E745A7">
      <w:pPr>
        <w:pStyle w:val="Belmana4normal"/>
      </w:pPr>
      <w:r>
        <w:t xml:space="preserve">The project team would like to thank the project Steering Board for helpful comments throughout the project. The Steering Board was Helen </w:t>
      </w:r>
      <w:r w:rsidR="00EA3536">
        <w:t>Sn</w:t>
      </w:r>
      <w:r>
        <w:t>aith, Alex Herbert, Marie</w:t>
      </w:r>
      <w:r w:rsidR="00EA3536">
        <w:t>-</w:t>
      </w:r>
      <w:r>
        <w:t>Helene Nienaltowski, Steven Hill (</w:t>
      </w:r>
      <w:r w:rsidR="004D682B">
        <w:t>Research England</w:t>
      </w:r>
      <w:r>
        <w:t>) and John Peasland (BEIS)</w:t>
      </w:r>
      <w:r w:rsidR="00EA3536">
        <w:t>.</w:t>
      </w:r>
      <w:r>
        <w:t xml:space="preserve"> We would especially like to extend our thanks the project manager, Helen </w:t>
      </w:r>
      <w:r w:rsidR="00EA3536">
        <w:t>Sn</w:t>
      </w:r>
      <w:r>
        <w:t>aith,</w:t>
      </w:r>
      <w:r w:rsidR="00061BB1">
        <w:t xml:space="preserve"> </w:t>
      </w:r>
      <w:r>
        <w:t>at</w:t>
      </w:r>
      <w:r w:rsidR="00FB072B">
        <w:t xml:space="preserve"> </w:t>
      </w:r>
      <w:r w:rsidR="004D682B">
        <w:t>Research England</w:t>
      </w:r>
      <w:r>
        <w:t xml:space="preserve"> for guidance throughout this project. We would also like to thank all interviewees for the case studies and staff hosting the researchers as they made site visits to Birmingham, Cambridge, Dundee, London and Guildford.</w:t>
      </w:r>
    </w:p>
    <w:p w:rsidR="005029FF" w:rsidRDefault="005029FF" w:rsidP="00E745A7">
      <w:pPr>
        <w:pStyle w:val="Belmana4normal"/>
      </w:pPr>
    </w:p>
    <w:p w:rsidR="005029FF" w:rsidRDefault="005029FF" w:rsidP="00E745A7">
      <w:pPr>
        <w:pStyle w:val="Belmana4normal"/>
      </w:pPr>
    </w:p>
    <w:p w:rsidR="009E5FDF" w:rsidRPr="007B5FBA" w:rsidRDefault="009E5FDF" w:rsidP="009E5FDF">
      <w:pPr>
        <w:rPr>
          <w:rFonts w:ascii="Arial" w:hAnsi="Arial" w:cs="Arial"/>
          <w:b/>
          <w:color w:val="993367"/>
        </w:rPr>
      </w:pPr>
      <w:r>
        <w:rPr>
          <w:rFonts w:ascii="Arial" w:hAnsi="Arial" w:cs="Arial"/>
          <w:b/>
          <w:color w:val="993367"/>
        </w:rPr>
        <w:t>Authors</w:t>
      </w:r>
    </w:p>
    <w:p w:rsidR="009E5FDF" w:rsidRDefault="006F362B" w:rsidP="009E5FDF">
      <w:pPr>
        <w:pStyle w:val="Belmana4normal"/>
      </w:pPr>
      <w:r>
        <w:t xml:space="preserve">Michael Hall, Andrea Jansson, Carolin Thol and Prabhat Vaze, Belmana; </w:t>
      </w:r>
      <w:r w:rsidR="00FC3D7A">
        <w:t xml:space="preserve">Robyn </w:t>
      </w:r>
      <w:r w:rsidR="00CA5201">
        <w:t>Owen, CEEDR, Middlesex University.</w:t>
      </w:r>
    </w:p>
    <w:p w:rsidR="00E745A7" w:rsidRDefault="00E745A7" w:rsidP="00E745A7">
      <w:pPr>
        <w:pStyle w:val="Belmana4normal"/>
      </w:pPr>
    </w:p>
    <w:p w:rsidR="00E745A7" w:rsidRDefault="00E745A7" w:rsidP="00E745A7">
      <w:pPr>
        <w:pStyle w:val="Belmana4normal"/>
      </w:pPr>
    </w:p>
    <w:p w:rsidR="00E745A7" w:rsidRPr="00386CE3" w:rsidRDefault="00E745A7" w:rsidP="00E745A7">
      <w:pPr>
        <w:pStyle w:val="NoSpacing"/>
        <w:rPr>
          <w:rFonts w:ascii="Arial" w:hAnsi="Arial" w:cs="Arial"/>
          <w:sz w:val="24"/>
          <w:szCs w:val="24"/>
        </w:rPr>
      </w:pPr>
      <w:r w:rsidRPr="00386CE3">
        <w:rPr>
          <w:rFonts w:ascii="Arial" w:hAnsi="Arial" w:cs="Arial"/>
          <w:sz w:val="24"/>
          <w:szCs w:val="24"/>
        </w:rPr>
        <w:t>Copyright © 201</w:t>
      </w:r>
      <w:r w:rsidR="006709EF">
        <w:rPr>
          <w:rFonts w:ascii="Arial" w:hAnsi="Arial" w:cs="Arial"/>
          <w:sz w:val="24"/>
          <w:szCs w:val="24"/>
        </w:rPr>
        <w:t>8</w:t>
      </w:r>
      <w:r w:rsidRPr="00386CE3">
        <w:rPr>
          <w:rFonts w:ascii="Arial" w:hAnsi="Arial" w:cs="Arial"/>
          <w:sz w:val="24"/>
          <w:szCs w:val="24"/>
        </w:rPr>
        <w:t xml:space="preserve"> </w:t>
      </w:r>
      <w:r w:rsidR="004D682B">
        <w:rPr>
          <w:rFonts w:ascii="Arial" w:hAnsi="Arial" w:cs="Arial"/>
          <w:sz w:val="24"/>
          <w:szCs w:val="24"/>
        </w:rPr>
        <w:t>Research England</w:t>
      </w:r>
    </w:p>
    <w:p w:rsidR="00E745A7" w:rsidRPr="00386CE3" w:rsidRDefault="00E745A7" w:rsidP="00E745A7">
      <w:pPr>
        <w:pStyle w:val="Belmana4normal"/>
        <w:rPr>
          <w:szCs w:val="24"/>
        </w:rPr>
        <w:sectPr w:rsidR="00E745A7" w:rsidRPr="00386CE3" w:rsidSect="00885558">
          <w:pgSz w:w="11906" w:h="16838"/>
          <w:pgMar w:top="1440" w:right="1440" w:bottom="1440" w:left="1440" w:header="708" w:footer="708" w:gutter="0"/>
          <w:cols w:space="708"/>
          <w:titlePg/>
          <w:docGrid w:linePitch="360"/>
        </w:sectPr>
      </w:pPr>
    </w:p>
    <w:bookmarkStart w:id="3" w:name="_Toc499547994" w:displacedByCustomXml="next"/>
    <w:sdt>
      <w:sdtPr>
        <w:rPr>
          <w:rFonts w:asciiTheme="minorHAnsi" w:eastAsiaTheme="minorHAnsi" w:hAnsiTheme="minorHAnsi" w:cstheme="minorBidi"/>
          <w:color w:val="auto"/>
          <w:sz w:val="24"/>
          <w:szCs w:val="22"/>
          <w:lang w:val="en-GB"/>
        </w:rPr>
        <w:id w:val="504255773"/>
        <w:docPartObj>
          <w:docPartGallery w:val="Table of Contents"/>
          <w:docPartUnique/>
        </w:docPartObj>
      </w:sdtPr>
      <w:sdtEndPr>
        <w:rPr>
          <w:b/>
          <w:bCs/>
          <w:noProof/>
        </w:rPr>
      </w:sdtEndPr>
      <w:sdtContent>
        <w:p w:rsidR="00873739" w:rsidRPr="00CA5BC4" w:rsidRDefault="00873739">
          <w:pPr>
            <w:pStyle w:val="TOCHeading"/>
            <w:rPr>
              <w:rStyle w:val="Belmana1Char"/>
            </w:rPr>
          </w:pPr>
          <w:r w:rsidRPr="00CA5BC4">
            <w:rPr>
              <w:rStyle w:val="Belmana1Char"/>
            </w:rPr>
            <w:t>Table of Contents</w:t>
          </w:r>
        </w:p>
        <w:p w:rsidR="009A0781" w:rsidRDefault="00873739">
          <w:pPr>
            <w:pStyle w:val="TOC1"/>
            <w:tabs>
              <w:tab w:val="right" w:leader="dot" w:pos="9628"/>
            </w:tabs>
            <w:rPr>
              <w:rFonts w:asciiTheme="minorHAnsi" w:eastAsiaTheme="minorEastAsia" w:hAnsiTheme="minorHAnsi" w:cstheme="minorBidi"/>
              <w:noProof/>
              <w:sz w:val="22"/>
              <w:szCs w:val="22"/>
              <w:lang w:eastAsia="en-GB"/>
            </w:rPr>
          </w:pPr>
          <w:r>
            <w:fldChar w:fldCharType="begin"/>
          </w:r>
          <w:r>
            <w:instrText xml:space="preserve"> TOC \o "1-3" \h \z \u </w:instrText>
          </w:r>
          <w:r>
            <w:fldChar w:fldCharType="separate"/>
          </w:r>
          <w:hyperlink w:anchor="_Toc514831630" w:history="1">
            <w:r w:rsidR="009A0781" w:rsidRPr="009B0FC8">
              <w:rPr>
                <w:rStyle w:val="Hyperlink"/>
                <w:noProof/>
              </w:rPr>
              <w:t>Foreword</w:t>
            </w:r>
            <w:r w:rsidR="009A0781">
              <w:rPr>
                <w:noProof/>
                <w:webHidden/>
              </w:rPr>
              <w:tab/>
            </w:r>
            <w:r w:rsidR="009A0781">
              <w:rPr>
                <w:noProof/>
                <w:webHidden/>
              </w:rPr>
              <w:fldChar w:fldCharType="begin"/>
            </w:r>
            <w:r w:rsidR="009A0781">
              <w:rPr>
                <w:noProof/>
                <w:webHidden/>
              </w:rPr>
              <w:instrText xml:space="preserve"> PAGEREF _Toc514831630 \h </w:instrText>
            </w:r>
            <w:r w:rsidR="009A0781">
              <w:rPr>
                <w:noProof/>
                <w:webHidden/>
              </w:rPr>
            </w:r>
            <w:r w:rsidR="009A0781">
              <w:rPr>
                <w:noProof/>
                <w:webHidden/>
              </w:rPr>
              <w:fldChar w:fldCharType="separate"/>
            </w:r>
            <w:r w:rsidR="002761B3">
              <w:rPr>
                <w:noProof/>
                <w:webHidden/>
              </w:rPr>
              <w:t>5</w:t>
            </w:r>
            <w:r w:rsidR="009A0781">
              <w:rPr>
                <w:noProof/>
                <w:webHidden/>
              </w:rPr>
              <w:fldChar w:fldCharType="end"/>
            </w:r>
          </w:hyperlink>
        </w:p>
        <w:p w:rsidR="009A0781" w:rsidRDefault="003171D7">
          <w:pPr>
            <w:pStyle w:val="TOC1"/>
            <w:tabs>
              <w:tab w:val="right" w:leader="dot" w:pos="9628"/>
            </w:tabs>
            <w:rPr>
              <w:rFonts w:asciiTheme="minorHAnsi" w:eastAsiaTheme="minorEastAsia" w:hAnsiTheme="minorHAnsi" w:cstheme="minorBidi"/>
              <w:noProof/>
              <w:sz w:val="22"/>
              <w:szCs w:val="22"/>
              <w:lang w:eastAsia="en-GB"/>
            </w:rPr>
          </w:pPr>
          <w:hyperlink w:anchor="_Toc514831631" w:history="1">
            <w:r w:rsidR="009A0781" w:rsidRPr="009B0FC8">
              <w:rPr>
                <w:rStyle w:val="Hyperlink"/>
                <w:noProof/>
              </w:rPr>
              <w:t>Abbreviations</w:t>
            </w:r>
            <w:r w:rsidR="009A0781">
              <w:rPr>
                <w:noProof/>
                <w:webHidden/>
              </w:rPr>
              <w:tab/>
            </w:r>
            <w:r w:rsidR="009A0781">
              <w:rPr>
                <w:noProof/>
                <w:webHidden/>
              </w:rPr>
              <w:fldChar w:fldCharType="begin"/>
            </w:r>
            <w:r w:rsidR="009A0781">
              <w:rPr>
                <w:noProof/>
                <w:webHidden/>
              </w:rPr>
              <w:instrText xml:space="preserve"> PAGEREF _Toc514831631 \h </w:instrText>
            </w:r>
            <w:r w:rsidR="009A0781">
              <w:rPr>
                <w:noProof/>
                <w:webHidden/>
              </w:rPr>
            </w:r>
            <w:r w:rsidR="009A0781">
              <w:rPr>
                <w:noProof/>
                <w:webHidden/>
              </w:rPr>
              <w:fldChar w:fldCharType="separate"/>
            </w:r>
            <w:r w:rsidR="002761B3">
              <w:rPr>
                <w:noProof/>
                <w:webHidden/>
              </w:rPr>
              <w:t>6</w:t>
            </w:r>
            <w:r w:rsidR="009A0781">
              <w:rPr>
                <w:noProof/>
                <w:webHidden/>
              </w:rPr>
              <w:fldChar w:fldCharType="end"/>
            </w:r>
          </w:hyperlink>
        </w:p>
        <w:p w:rsidR="009A0781" w:rsidRDefault="003171D7">
          <w:pPr>
            <w:pStyle w:val="TOC1"/>
            <w:tabs>
              <w:tab w:val="right" w:leader="dot" w:pos="9628"/>
            </w:tabs>
            <w:rPr>
              <w:rFonts w:asciiTheme="minorHAnsi" w:eastAsiaTheme="minorEastAsia" w:hAnsiTheme="minorHAnsi" w:cstheme="minorBidi"/>
              <w:noProof/>
              <w:sz w:val="22"/>
              <w:szCs w:val="22"/>
              <w:lang w:eastAsia="en-GB"/>
            </w:rPr>
          </w:pPr>
          <w:hyperlink w:anchor="_Toc514831632" w:history="1">
            <w:r w:rsidR="009A0781" w:rsidRPr="009B0FC8">
              <w:rPr>
                <w:rStyle w:val="Hyperlink"/>
                <w:noProof/>
              </w:rPr>
              <w:t>Executive Summary</w:t>
            </w:r>
            <w:r w:rsidR="009A0781">
              <w:rPr>
                <w:noProof/>
                <w:webHidden/>
              </w:rPr>
              <w:tab/>
            </w:r>
            <w:r w:rsidR="009A0781">
              <w:rPr>
                <w:noProof/>
                <w:webHidden/>
              </w:rPr>
              <w:fldChar w:fldCharType="begin"/>
            </w:r>
            <w:r w:rsidR="009A0781">
              <w:rPr>
                <w:noProof/>
                <w:webHidden/>
              </w:rPr>
              <w:instrText xml:space="preserve"> PAGEREF _Toc514831632 \h </w:instrText>
            </w:r>
            <w:r w:rsidR="009A0781">
              <w:rPr>
                <w:noProof/>
                <w:webHidden/>
              </w:rPr>
            </w:r>
            <w:r w:rsidR="009A0781">
              <w:rPr>
                <w:noProof/>
                <w:webHidden/>
              </w:rPr>
              <w:fldChar w:fldCharType="separate"/>
            </w:r>
            <w:r w:rsidR="002761B3">
              <w:rPr>
                <w:noProof/>
                <w:webHidden/>
              </w:rPr>
              <w:t>8</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33" w:history="1">
            <w:r w:rsidR="009A0781" w:rsidRPr="009B0FC8">
              <w:rPr>
                <w:rStyle w:val="Hyperlink"/>
                <w:noProof/>
              </w:rPr>
              <w:t>Purpose</w:t>
            </w:r>
            <w:r w:rsidR="009A0781">
              <w:rPr>
                <w:noProof/>
                <w:webHidden/>
              </w:rPr>
              <w:tab/>
            </w:r>
            <w:r w:rsidR="009A0781">
              <w:rPr>
                <w:noProof/>
                <w:webHidden/>
              </w:rPr>
              <w:fldChar w:fldCharType="begin"/>
            </w:r>
            <w:r w:rsidR="009A0781">
              <w:rPr>
                <w:noProof/>
                <w:webHidden/>
              </w:rPr>
              <w:instrText xml:space="preserve"> PAGEREF _Toc514831633 \h </w:instrText>
            </w:r>
            <w:r w:rsidR="009A0781">
              <w:rPr>
                <w:noProof/>
                <w:webHidden/>
              </w:rPr>
            </w:r>
            <w:r w:rsidR="009A0781">
              <w:rPr>
                <w:noProof/>
                <w:webHidden/>
              </w:rPr>
              <w:fldChar w:fldCharType="separate"/>
            </w:r>
            <w:r w:rsidR="002761B3">
              <w:rPr>
                <w:noProof/>
                <w:webHidden/>
              </w:rPr>
              <w:t>8</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34" w:history="1">
            <w:r w:rsidR="009A0781" w:rsidRPr="009B0FC8">
              <w:rPr>
                <w:rStyle w:val="Hyperlink"/>
                <w:noProof/>
              </w:rPr>
              <w:t>Headline findings</w:t>
            </w:r>
            <w:r w:rsidR="009A0781">
              <w:rPr>
                <w:noProof/>
                <w:webHidden/>
              </w:rPr>
              <w:tab/>
            </w:r>
            <w:r w:rsidR="009A0781">
              <w:rPr>
                <w:noProof/>
                <w:webHidden/>
              </w:rPr>
              <w:fldChar w:fldCharType="begin"/>
            </w:r>
            <w:r w:rsidR="009A0781">
              <w:rPr>
                <w:noProof/>
                <w:webHidden/>
              </w:rPr>
              <w:instrText xml:space="preserve"> PAGEREF _Toc514831634 \h </w:instrText>
            </w:r>
            <w:r w:rsidR="009A0781">
              <w:rPr>
                <w:noProof/>
                <w:webHidden/>
              </w:rPr>
            </w:r>
            <w:r w:rsidR="009A0781">
              <w:rPr>
                <w:noProof/>
                <w:webHidden/>
              </w:rPr>
              <w:fldChar w:fldCharType="separate"/>
            </w:r>
            <w:r w:rsidR="002761B3">
              <w:rPr>
                <w:noProof/>
                <w:webHidden/>
              </w:rPr>
              <w:t>8</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w:anchor="_Toc514831635" w:history="1">
            <w:r w:rsidR="009A0781" w:rsidRPr="009B0FC8">
              <w:rPr>
                <w:rStyle w:val="Hyperlink"/>
                <w:noProof/>
              </w:rPr>
              <w:t>Enhancing research facilities</w:t>
            </w:r>
            <w:r w:rsidR="009A0781">
              <w:rPr>
                <w:noProof/>
                <w:webHidden/>
              </w:rPr>
              <w:tab/>
            </w:r>
            <w:r w:rsidR="009A0781">
              <w:rPr>
                <w:noProof/>
                <w:webHidden/>
              </w:rPr>
              <w:fldChar w:fldCharType="begin"/>
            </w:r>
            <w:r w:rsidR="009A0781">
              <w:rPr>
                <w:noProof/>
                <w:webHidden/>
              </w:rPr>
              <w:instrText xml:space="preserve"> PAGEREF _Toc514831635 \h </w:instrText>
            </w:r>
            <w:r w:rsidR="009A0781">
              <w:rPr>
                <w:noProof/>
                <w:webHidden/>
              </w:rPr>
            </w:r>
            <w:r w:rsidR="009A0781">
              <w:rPr>
                <w:noProof/>
                <w:webHidden/>
              </w:rPr>
              <w:fldChar w:fldCharType="separate"/>
            </w:r>
            <w:r w:rsidR="002761B3">
              <w:rPr>
                <w:noProof/>
                <w:webHidden/>
              </w:rPr>
              <w:t>9</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w:anchor="_Toc514831636" w:history="1">
            <w:r w:rsidR="009A0781" w:rsidRPr="009B0FC8">
              <w:rPr>
                <w:rStyle w:val="Hyperlink"/>
                <w:noProof/>
              </w:rPr>
              <w:t>Encouraging strategic partnerships and stimulating additional investment</w:t>
            </w:r>
            <w:r w:rsidR="009A0781">
              <w:rPr>
                <w:noProof/>
                <w:webHidden/>
              </w:rPr>
              <w:tab/>
            </w:r>
            <w:r w:rsidR="009A0781">
              <w:rPr>
                <w:noProof/>
                <w:webHidden/>
              </w:rPr>
              <w:fldChar w:fldCharType="begin"/>
            </w:r>
            <w:r w:rsidR="009A0781">
              <w:rPr>
                <w:noProof/>
                <w:webHidden/>
              </w:rPr>
              <w:instrText xml:space="preserve"> PAGEREF _Toc514831636 \h </w:instrText>
            </w:r>
            <w:r w:rsidR="009A0781">
              <w:rPr>
                <w:noProof/>
                <w:webHidden/>
              </w:rPr>
            </w:r>
            <w:r w:rsidR="009A0781">
              <w:rPr>
                <w:noProof/>
                <w:webHidden/>
              </w:rPr>
              <w:fldChar w:fldCharType="separate"/>
            </w:r>
            <w:r w:rsidR="002761B3">
              <w:rPr>
                <w:noProof/>
                <w:webHidden/>
              </w:rPr>
              <w:t>9</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w:anchor="_Toc514831637" w:history="1">
            <w:r w:rsidR="009A0781" w:rsidRPr="009B0FC8">
              <w:rPr>
                <w:rStyle w:val="Hyperlink"/>
                <w:noProof/>
              </w:rPr>
              <w:t>Strengthening the contribution of the research base to economic growth</w:t>
            </w:r>
            <w:r w:rsidR="009A0781">
              <w:rPr>
                <w:noProof/>
                <w:webHidden/>
              </w:rPr>
              <w:tab/>
            </w:r>
            <w:r w:rsidR="009A0781">
              <w:rPr>
                <w:noProof/>
                <w:webHidden/>
              </w:rPr>
              <w:fldChar w:fldCharType="begin"/>
            </w:r>
            <w:r w:rsidR="009A0781">
              <w:rPr>
                <w:noProof/>
                <w:webHidden/>
              </w:rPr>
              <w:instrText xml:space="preserve"> PAGEREF _Toc514831637 \h </w:instrText>
            </w:r>
            <w:r w:rsidR="009A0781">
              <w:rPr>
                <w:noProof/>
                <w:webHidden/>
              </w:rPr>
            </w:r>
            <w:r w:rsidR="009A0781">
              <w:rPr>
                <w:noProof/>
                <w:webHidden/>
              </w:rPr>
              <w:fldChar w:fldCharType="separate"/>
            </w:r>
            <w:r w:rsidR="002761B3">
              <w:rPr>
                <w:noProof/>
                <w:webHidden/>
              </w:rPr>
              <w:t>10</w:t>
            </w:r>
            <w:r w:rsidR="009A0781">
              <w:rPr>
                <w:noProof/>
                <w:webHidden/>
              </w:rPr>
              <w:fldChar w:fldCharType="end"/>
            </w:r>
          </w:hyperlink>
        </w:p>
        <w:p w:rsidR="009A0781" w:rsidRDefault="003171D7">
          <w:pPr>
            <w:pStyle w:val="TOC1"/>
            <w:tabs>
              <w:tab w:val="left" w:pos="440"/>
              <w:tab w:val="right" w:leader="dot" w:pos="9628"/>
            </w:tabs>
            <w:rPr>
              <w:rFonts w:asciiTheme="minorHAnsi" w:eastAsiaTheme="minorEastAsia" w:hAnsiTheme="minorHAnsi" w:cstheme="minorBidi"/>
              <w:noProof/>
              <w:sz w:val="22"/>
              <w:szCs w:val="22"/>
              <w:lang w:eastAsia="en-GB"/>
            </w:rPr>
          </w:pPr>
          <w:hyperlink w:anchor="_Toc514831638" w:history="1">
            <w:r w:rsidR="009A0781" w:rsidRPr="009B0FC8">
              <w:rPr>
                <w:rStyle w:val="Hyperlink"/>
                <w:noProof/>
              </w:rPr>
              <w:t>1.</w:t>
            </w:r>
            <w:r w:rsidR="009A0781">
              <w:rPr>
                <w:rFonts w:asciiTheme="minorHAnsi" w:eastAsiaTheme="minorEastAsia" w:hAnsiTheme="minorHAnsi" w:cstheme="minorBidi"/>
                <w:noProof/>
                <w:sz w:val="22"/>
                <w:szCs w:val="22"/>
                <w:lang w:eastAsia="en-GB"/>
              </w:rPr>
              <w:tab/>
            </w:r>
            <w:r w:rsidR="009A0781" w:rsidRPr="009B0FC8">
              <w:rPr>
                <w:rStyle w:val="Hyperlink"/>
                <w:noProof/>
              </w:rPr>
              <w:t>Introduction</w:t>
            </w:r>
            <w:r w:rsidR="009A0781">
              <w:rPr>
                <w:noProof/>
                <w:webHidden/>
              </w:rPr>
              <w:tab/>
            </w:r>
            <w:r w:rsidR="009A0781">
              <w:rPr>
                <w:noProof/>
                <w:webHidden/>
              </w:rPr>
              <w:fldChar w:fldCharType="begin"/>
            </w:r>
            <w:r w:rsidR="009A0781">
              <w:rPr>
                <w:noProof/>
                <w:webHidden/>
              </w:rPr>
              <w:instrText xml:space="preserve"> PAGEREF _Toc514831638 \h </w:instrText>
            </w:r>
            <w:r w:rsidR="009A0781">
              <w:rPr>
                <w:noProof/>
                <w:webHidden/>
              </w:rPr>
            </w:r>
            <w:r w:rsidR="009A0781">
              <w:rPr>
                <w:noProof/>
                <w:webHidden/>
              </w:rPr>
              <w:fldChar w:fldCharType="separate"/>
            </w:r>
            <w:r w:rsidR="002761B3">
              <w:rPr>
                <w:noProof/>
                <w:webHidden/>
              </w:rPr>
              <w:t>11</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39" w:history="1">
            <w:r w:rsidR="009A0781" w:rsidRPr="009B0FC8">
              <w:rPr>
                <w:rStyle w:val="Hyperlink"/>
                <w:noProof/>
              </w:rPr>
              <w:t>Context of UKRPIF</w:t>
            </w:r>
            <w:r w:rsidR="009A0781">
              <w:rPr>
                <w:noProof/>
                <w:webHidden/>
              </w:rPr>
              <w:tab/>
            </w:r>
            <w:r w:rsidR="009A0781">
              <w:rPr>
                <w:noProof/>
                <w:webHidden/>
              </w:rPr>
              <w:fldChar w:fldCharType="begin"/>
            </w:r>
            <w:r w:rsidR="009A0781">
              <w:rPr>
                <w:noProof/>
                <w:webHidden/>
              </w:rPr>
              <w:instrText xml:space="preserve"> PAGEREF _Toc514831639 \h </w:instrText>
            </w:r>
            <w:r w:rsidR="009A0781">
              <w:rPr>
                <w:noProof/>
                <w:webHidden/>
              </w:rPr>
            </w:r>
            <w:r w:rsidR="009A0781">
              <w:rPr>
                <w:noProof/>
                <w:webHidden/>
              </w:rPr>
              <w:fldChar w:fldCharType="separate"/>
            </w:r>
            <w:r w:rsidR="002761B3">
              <w:rPr>
                <w:noProof/>
                <w:webHidden/>
              </w:rPr>
              <w:t>11</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40" w:history="1">
            <w:r w:rsidR="009A0781" w:rsidRPr="009B0FC8">
              <w:rPr>
                <w:rStyle w:val="Hyperlink"/>
                <w:noProof/>
              </w:rPr>
              <w:t>Aim of UKRPIF interim evaluation</w:t>
            </w:r>
            <w:r w:rsidR="009A0781">
              <w:rPr>
                <w:noProof/>
                <w:webHidden/>
              </w:rPr>
              <w:tab/>
            </w:r>
            <w:r w:rsidR="009A0781">
              <w:rPr>
                <w:noProof/>
                <w:webHidden/>
              </w:rPr>
              <w:fldChar w:fldCharType="begin"/>
            </w:r>
            <w:r w:rsidR="009A0781">
              <w:rPr>
                <w:noProof/>
                <w:webHidden/>
              </w:rPr>
              <w:instrText xml:space="preserve"> PAGEREF _Toc514831640 \h </w:instrText>
            </w:r>
            <w:r w:rsidR="009A0781">
              <w:rPr>
                <w:noProof/>
                <w:webHidden/>
              </w:rPr>
            </w:r>
            <w:r w:rsidR="009A0781">
              <w:rPr>
                <w:noProof/>
                <w:webHidden/>
              </w:rPr>
              <w:fldChar w:fldCharType="separate"/>
            </w:r>
            <w:r w:rsidR="002761B3">
              <w:rPr>
                <w:noProof/>
                <w:webHidden/>
              </w:rPr>
              <w:t>14</w:t>
            </w:r>
            <w:r w:rsidR="009A0781">
              <w:rPr>
                <w:noProof/>
                <w:webHidden/>
              </w:rPr>
              <w:fldChar w:fldCharType="end"/>
            </w:r>
          </w:hyperlink>
        </w:p>
        <w:p w:rsidR="009A0781" w:rsidRDefault="003171D7">
          <w:pPr>
            <w:pStyle w:val="TOC1"/>
            <w:tabs>
              <w:tab w:val="left" w:pos="440"/>
              <w:tab w:val="right" w:leader="dot" w:pos="9628"/>
            </w:tabs>
            <w:rPr>
              <w:rFonts w:asciiTheme="minorHAnsi" w:eastAsiaTheme="minorEastAsia" w:hAnsiTheme="minorHAnsi" w:cstheme="minorBidi"/>
              <w:noProof/>
              <w:sz w:val="22"/>
              <w:szCs w:val="22"/>
              <w:lang w:eastAsia="en-GB"/>
            </w:rPr>
          </w:pPr>
          <w:hyperlink w:anchor="_Toc514831641" w:history="1">
            <w:r w:rsidR="009A0781" w:rsidRPr="009B0FC8">
              <w:rPr>
                <w:rStyle w:val="Hyperlink"/>
                <w:noProof/>
              </w:rPr>
              <w:t>2.</w:t>
            </w:r>
            <w:r w:rsidR="009A0781">
              <w:rPr>
                <w:rFonts w:asciiTheme="minorHAnsi" w:eastAsiaTheme="minorEastAsia" w:hAnsiTheme="minorHAnsi" w:cstheme="minorBidi"/>
                <w:noProof/>
                <w:sz w:val="22"/>
                <w:szCs w:val="22"/>
                <w:lang w:eastAsia="en-GB"/>
              </w:rPr>
              <w:tab/>
            </w:r>
            <w:r w:rsidR="009A0781" w:rsidRPr="009B0FC8">
              <w:rPr>
                <w:rStyle w:val="Hyperlink"/>
                <w:noProof/>
              </w:rPr>
              <w:t>Approach to evaluation</w:t>
            </w:r>
            <w:r w:rsidR="009A0781">
              <w:rPr>
                <w:noProof/>
                <w:webHidden/>
              </w:rPr>
              <w:tab/>
            </w:r>
            <w:r w:rsidR="009A0781">
              <w:rPr>
                <w:noProof/>
                <w:webHidden/>
              </w:rPr>
              <w:fldChar w:fldCharType="begin"/>
            </w:r>
            <w:r w:rsidR="009A0781">
              <w:rPr>
                <w:noProof/>
                <w:webHidden/>
              </w:rPr>
              <w:instrText xml:space="preserve"> PAGEREF _Toc514831641 \h </w:instrText>
            </w:r>
            <w:r w:rsidR="009A0781">
              <w:rPr>
                <w:noProof/>
                <w:webHidden/>
              </w:rPr>
            </w:r>
            <w:r w:rsidR="009A0781">
              <w:rPr>
                <w:noProof/>
                <w:webHidden/>
              </w:rPr>
              <w:fldChar w:fldCharType="separate"/>
            </w:r>
            <w:r w:rsidR="002761B3">
              <w:rPr>
                <w:noProof/>
                <w:webHidden/>
              </w:rPr>
              <w:t>15</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42" w:history="1">
            <w:r w:rsidR="009A0781" w:rsidRPr="009B0FC8">
              <w:rPr>
                <w:rStyle w:val="Hyperlink"/>
                <w:noProof/>
              </w:rPr>
              <w:t>Assessing additionality of research investments</w:t>
            </w:r>
            <w:r w:rsidR="009A0781">
              <w:rPr>
                <w:noProof/>
                <w:webHidden/>
              </w:rPr>
              <w:tab/>
            </w:r>
            <w:r w:rsidR="009A0781">
              <w:rPr>
                <w:noProof/>
                <w:webHidden/>
              </w:rPr>
              <w:fldChar w:fldCharType="begin"/>
            </w:r>
            <w:r w:rsidR="009A0781">
              <w:rPr>
                <w:noProof/>
                <w:webHidden/>
              </w:rPr>
              <w:instrText xml:space="preserve"> PAGEREF _Toc514831642 \h </w:instrText>
            </w:r>
            <w:r w:rsidR="009A0781">
              <w:rPr>
                <w:noProof/>
                <w:webHidden/>
              </w:rPr>
            </w:r>
            <w:r w:rsidR="009A0781">
              <w:rPr>
                <w:noProof/>
                <w:webHidden/>
              </w:rPr>
              <w:fldChar w:fldCharType="separate"/>
            </w:r>
            <w:r w:rsidR="002761B3">
              <w:rPr>
                <w:noProof/>
                <w:webHidden/>
              </w:rPr>
              <w:t>15</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43" w:history="1">
            <w:r w:rsidR="009A0781" w:rsidRPr="009B0FC8">
              <w:rPr>
                <w:rStyle w:val="Hyperlink"/>
                <w:noProof/>
              </w:rPr>
              <w:t>Our approach for the evaluation</w:t>
            </w:r>
            <w:r w:rsidR="009A0781">
              <w:rPr>
                <w:noProof/>
                <w:webHidden/>
              </w:rPr>
              <w:tab/>
            </w:r>
            <w:r w:rsidR="009A0781">
              <w:rPr>
                <w:noProof/>
                <w:webHidden/>
              </w:rPr>
              <w:fldChar w:fldCharType="begin"/>
            </w:r>
            <w:r w:rsidR="009A0781">
              <w:rPr>
                <w:noProof/>
                <w:webHidden/>
              </w:rPr>
              <w:instrText xml:space="preserve"> PAGEREF _Toc514831643 \h </w:instrText>
            </w:r>
            <w:r w:rsidR="009A0781">
              <w:rPr>
                <w:noProof/>
                <w:webHidden/>
              </w:rPr>
            </w:r>
            <w:r w:rsidR="009A0781">
              <w:rPr>
                <w:noProof/>
                <w:webHidden/>
              </w:rPr>
              <w:fldChar w:fldCharType="separate"/>
            </w:r>
            <w:r w:rsidR="002761B3">
              <w:rPr>
                <w:noProof/>
                <w:webHidden/>
              </w:rPr>
              <w:t>17</w:t>
            </w:r>
            <w:r w:rsidR="009A0781">
              <w:rPr>
                <w:noProof/>
                <w:webHidden/>
              </w:rPr>
              <w:fldChar w:fldCharType="end"/>
            </w:r>
          </w:hyperlink>
        </w:p>
        <w:p w:rsidR="009A0781" w:rsidRDefault="003171D7">
          <w:pPr>
            <w:pStyle w:val="TOC3"/>
            <w:tabs>
              <w:tab w:val="left" w:pos="880"/>
              <w:tab w:val="right" w:leader="dot" w:pos="9628"/>
            </w:tabs>
            <w:rPr>
              <w:rFonts w:asciiTheme="minorHAnsi" w:hAnsiTheme="minorHAnsi" w:cstheme="minorBidi"/>
              <w:noProof/>
              <w:sz w:val="22"/>
              <w:lang w:eastAsia="en-GB"/>
            </w:rPr>
          </w:pPr>
          <w:hyperlink w:anchor="_Toc514831644" w:history="1">
            <w:r w:rsidR="009A0781" w:rsidRPr="009B0FC8">
              <w:rPr>
                <w:rStyle w:val="Hyperlink"/>
                <w:noProof/>
              </w:rPr>
              <w:t>1)</w:t>
            </w:r>
            <w:r w:rsidR="009A0781">
              <w:rPr>
                <w:rFonts w:asciiTheme="minorHAnsi" w:hAnsiTheme="minorHAnsi" w:cstheme="minorBidi"/>
                <w:noProof/>
                <w:sz w:val="22"/>
                <w:lang w:eastAsia="en-GB"/>
              </w:rPr>
              <w:tab/>
            </w:r>
            <w:r w:rsidR="009A0781" w:rsidRPr="009B0FC8">
              <w:rPr>
                <w:rStyle w:val="Hyperlink"/>
                <w:noProof/>
              </w:rPr>
              <w:t>Analysis of management information</w:t>
            </w:r>
            <w:r w:rsidR="009A0781">
              <w:rPr>
                <w:noProof/>
                <w:webHidden/>
              </w:rPr>
              <w:tab/>
            </w:r>
            <w:r w:rsidR="009A0781">
              <w:rPr>
                <w:noProof/>
                <w:webHidden/>
              </w:rPr>
              <w:fldChar w:fldCharType="begin"/>
            </w:r>
            <w:r w:rsidR="009A0781">
              <w:rPr>
                <w:noProof/>
                <w:webHidden/>
              </w:rPr>
              <w:instrText xml:space="preserve"> PAGEREF _Toc514831644 \h </w:instrText>
            </w:r>
            <w:r w:rsidR="009A0781">
              <w:rPr>
                <w:noProof/>
                <w:webHidden/>
              </w:rPr>
            </w:r>
            <w:r w:rsidR="009A0781">
              <w:rPr>
                <w:noProof/>
                <w:webHidden/>
              </w:rPr>
              <w:fldChar w:fldCharType="separate"/>
            </w:r>
            <w:r w:rsidR="002761B3">
              <w:rPr>
                <w:noProof/>
                <w:webHidden/>
              </w:rPr>
              <w:t>17</w:t>
            </w:r>
            <w:r w:rsidR="009A0781">
              <w:rPr>
                <w:noProof/>
                <w:webHidden/>
              </w:rPr>
              <w:fldChar w:fldCharType="end"/>
            </w:r>
          </w:hyperlink>
        </w:p>
        <w:p w:rsidR="009A0781" w:rsidRDefault="003171D7">
          <w:pPr>
            <w:pStyle w:val="TOC3"/>
            <w:tabs>
              <w:tab w:val="left" w:pos="880"/>
              <w:tab w:val="right" w:leader="dot" w:pos="9628"/>
            </w:tabs>
            <w:rPr>
              <w:rFonts w:asciiTheme="minorHAnsi" w:hAnsiTheme="minorHAnsi" w:cstheme="minorBidi"/>
              <w:noProof/>
              <w:sz w:val="22"/>
              <w:lang w:eastAsia="en-GB"/>
            </w:rPr>
          </w:pPr>
          <w:hyperlink w:anchor="_Toc514831645" w:history="1">
            <w:r w:rsidR="009A0781" w:rsidRPr="009B0FC8">
              <w:rPr>
                <w:rStyle w:val="Hyperlink"/>
                <w:noProof/>
              </w:rPr>
              <w:t>2)</w:t>
            </w:r>
            <w:r w:rsidR="009A0781">
              <w:rPr>
                <w:rFonts w:asciiTheme="minorHAnsi" w:hAnsiTheme="minorHAnsi" w:cstheme="minorBidi"/>
                <w:noProof/>
                <w:sz w:val="22"/>
                <w:lang w:eastAsia="en-GB"/>
              </w:rPr>
              <w:tab/>
            </w:r>
            <w:r w:rsidR="009A0781" w:rsidRPr="009B0FC8">
              <w:rPr>
                <w:rStyle w:val="Hyperlink"/>
                <w:noProof/>
              </w:rPr>
              <w:t>Case studies</w:t>
            </w:r>
            <w:r w:rsidR="009A0781">
              <w:rPr>
                <w:noProof/>
                <w:webHidden/>
              </w:rPr>
              <w:tab/>
            </w:r>
            <w:r w:rsidR="009A0781">
              <w:rPr>
                <w:noProof/>
                <w:webHidden/>
              </w:rPr>
              <w:fldChar w:fldCharType="begin"/>
            </w:r>
            <w:r w:rsidR="009A0781">
              <w:rPr>
                <w:noProof/>
                <w:webHidden/>
              </w:rPr>
              <w:instrText xml:space="preserve"> PAGEREF _Toc514831645 \h </w:instrText>
            </w:r>
            <w:r w:rsidR="009A0781">
              <w:rPr>
                <w:noProof/>
                <w:webHidden/>
              </w:rPr>
            </w:r>
            <w:r w:rsidR="009A0781">
              <w:rPr>
                <w:noProof/>
                <w:webHidden/>
              </w:rPr>
              <w:fldChar w:fldCharType="separate"/>
            </w:r>
            <w:r w:rsidR="002761B3">
              <w:rPr>
                <w:noProof/>
                <w:webHidden/>
              </w:rPr>
              <w:t>19</w:t>
            </w:r>
            <w:r w:rsidR="009A0781">
              <w:rPr>
                <w:noProof/>
                <w:webHidden/>
              </w:rPr>
              <w:fldChar w:fldCharType="end"/>
            </w:r>
          </w:hyperlink>
        </w:p>
        <w:p w:rsidR="009A0781" w:rsidRDefault="003171D7">
          <w:pPr>
            <w:pStyle w:val="TOC1"/>
            <w:tabs>
              <w:tab w:val="left" w:pos="440"/>
              <w:tab w:val="right" w:leader="dot" w:pos="9628"/>
            </w:tabs>
            <w:rPr>
              <w:rFonts w:asciiTheme="minorHAnsi" w:eastAsiaTheme="minorEastAsia" w:hAnsiTheme="minorHAnsi" w:cstheme="minorBidi"/>
              <w:noProof/>
              <w:sz w:val="22"/>
              <w:szCs w:val="22"/>
              <w:lang w:eastAsia="en-GB"/>
            </w:rPr>
          </w:pPr>
          <w:hyperlink w:anchor="_Toc514831646" w:history="1">
            <w:r w:rsidR="009A0781" w:rsidRPr="009B0FC8">
              <w:rPr>
                <w:rStyle w:val="Hyperlink"/>
                <w:noProof/>
              </w:rPr>
              <w:t>3.</w:t>
            </w:r>
            <w:r w:rsidR="009A0781">
              <w:rPr>
                <w:rFonts w:asciiTheme="minorHAnsi" w:eastAsiaTheme="minorEastAsia" w:hAnsiTheme="minorHAnsi" w:cstheme="minorBidi"/>
                <w:noProof/>
                <w:sz w:val="22"/>
                <w:szCs w:val="22"/>
                <w:lang w:eastAsia="en-GB"/>
              </w:rPr>
              <w:tab/>
            </w:r>
            <w:r w:rsidR="009A0781" w:rsidRPr="009B0FC8">
              <w:rPr>
                <w:rStyle w:val="Hyperlink"/>
                <w:noProof/>
              </w:rPr>
              <w:t>Overview of the UKRPIF projects</w:t>
            </w:r>
            <w:r w:rsidR="009A0781">
              <w:rPr>
                <w:noProof/>
                <w:webHidden/>
              </w:rPr>
              <w:tab/>
            </w:r>
            <w:r w:rsidR="009A0781">
              <w:rPr>
                <w:noProof/>
                <w:webHidden/>
              </w:rPr>
              <w:fldChar w:fldCharType="begin"/>
            </w:r>
            <w:r w:rsidR="009A0781">
              <w:rPr>
                <w:noProof/>
                <w:webHidden/>
              </w:rPr>
              <w:instrText xml:space="preserve"> PAGEREF _Toc514831646 \h </w:instrText>
            </w:r>
            <w:r w:rsidR="009A0781">
              <w:rPr>
                <w:noProof/>
                <w:webHidden/>
              </w:rPr>
            </w:r>
            <w:r w:rsidR="009A0781">
              <w:rPr>
                <w:noProof/>
                <w:webHidden/>
              </w:rPr>
              <w:fldChar w:fldCharType="separate"/>
            </w:r>
            <w:r w:rsidR="002761B3">
              <w:rPr>
                <w:noProof/>
                <w:webHidden/>
              </w:rPr>
              <w:t>22</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47" w:history="1">
            <w:r w:rsidR="009A0781" w:rsidRPr="009B0FC8">
              <w:rPr>
                <w:rStyle w:val="Hyperlink"/>
                <w:noProof/>
              </w:rPr>
              <w:t>UKRPIF funding by discipline</w:t>
            </w:r>
            <w:r w:rsidR="009A0781">
              <w:rPr>
                <w:noProof/>
                <w:webHidden/>
              </w:rPr>
              <w:tab/>
            </w:r>
            <w:r w:rsidR="009A0781">
              <w:rPr>
                <w:noProof/>
                <w:webHidden/>
              </w:rPr>
              <w:fldChar w:fldCharType="begin"/>
            </w:r>
            <w:r w:rsidR="009A0781">
              <w:rPr>
                <w:noProof/>
                <w:webHidden/>
              </w:rPr>
              <w:instrText xml:space="preserve"> PAGEREF _Toc514831647 \h </w:instrText>
            </w:r>
            <w:r w:rsidR="009A0781">
              <w:rPr>
                <w:noProof/>
                <w:webHidden/>
              </w:rPr>
            </w:r>
            <w:r w:rsidR="009A0781">
              <w:rPr>
                <w:noProof/>
                <w:webHidden/>
              </w:rPr>
              <w:fldChar w:fldCharType="separate"/>
            </w:r>
            <w:r w:rsidR="002761B3">
              <w:rPr>
                <w:noProof/>
                <w:webHidden/>
              </w:rPr>
              <w:t>22</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48" w:history="1">
            <w:r w:rsidR="009A0781" w:rsidRPr="009B0FC8">
              <w:rPr>
                <w:rStyle w:val="Hyperlink"/>
                <w:noProof/>
              </w:rPr>
              <w:t>UKRPIF funding by capital expenditure category</w:t>
            </w:r>
            <w:r w:rsidR="009A0781">
              <w:rPr>
                <w:noProof/>
                <w:webHidden/>
              </w:rPr>
              <w:tab/>
            </w:r>
            <w:r w:rsidR="009A0781">
              <w:rPr>
                <w:noProof/>
                <w:webHidden/>
              </w:rPr>
              <w:fldChar w:fldCharType="begin"/>
            </w:r>
            <w:r w:rsidR="009A0781">
              <w:rPr>
                <w:noProof/>
                <w:webHidden/>
              </w:rPr>
              <w:instrText xml:space="preserve"> PAGEREF _Toc514831648 \h </w:instrText>
            </w:r>
            <w:r w:rsidR="009A0781">
              <w:rPr>
                <w:noProof/>
                <w:webHidden/>
              </w:rPr>
            </w:r>
            <w:r w:rsidR="009A0781">
              <w:rPr>
                <w:noProof/>
                <w:webHidden/>
              </w:rPr>
              <w:fldChar w:fldCharType="separate"/>
            </w:r>
            <w:r w:rsidR="002761B3">
              <w:rPr>
                <w:noProof/>
                <w:webHidden/>
              </w:rPr>
              <w:t>24</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49" w:history="1">
            <w:r w:rsidR="009A0781" w:rsidRPr="009B0FC8">
              <w:rPr>
                <w:rStyle w:val="Hyperlink"/>
                <w:noProof/>
              </w:rPr>
              <w:t>UKRPIF projects by region</w:t>
            </w:r>
            <w:r w:rsidR="009A0781">
              <w:rPr>
                <w:noProof/>
                <w:webHidden/>
              </w:rPr>
              <w:tab/>
            </w:r>
            <w:r w:rsidR="009A0781">
              <w:rPr>
                <w:noProof/>
                <w:webHidden/>
              </w:rPr>
              <w:fldChar w:fldCharType="begin"/>
            </w:r>
            <w:r w:rsidR="009A0781">
              <w:rPr>
                <w:noProof/>
                <w:webHidden/>
              </w:rPr>
              <w:instrText xml:space="preserve"> PAGEREF _Toc514831649 \h </w:instrText>
            </w:r>
            <w:r w:rsidR="009A0781">
              <w:rPr>
                <w:noProof/>
                <w:webHidden/>
              </w:rPr>
            </w:r>
            <w:r w:rsidR="009A0781">
              <w:rPr>
                <w:noProof/>
                <w:webHidden/>
              </w:rPr>
              <w:fldChar w:fldCharType="separate"/>
            </w:r>
            <w:r w:rsidR="002761B3">
              <w:rPr>
                <w:noProof/>
                <w:webHidden/>
              </w:rPr>
              <w:t>25</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50" w:history="1">
            <w:r w:rsidR="009A0781" w:rsidRPr="009B0FC8">
              <w:rPr>
                <w:rStyle w:val="Hyperlink"/>
                <w:noProof/>
              </w:rPr>
              <w:t>Co-investment matching the UKRPIF funding</w:t>
            </w:r>
            <w:r w:rsidR="009A0781">
              <w:rPr>
                <w:noProof/>
                <w:webHidden/>
              </w:rPr>
              <w:tab/>
            </w:r>
            <w:r w:rsidR="009A0781">
              <w:rPr>
                <w:noProof/>
                <w:webHidden/>
              </w:rPr>
              <w:fldChar w:fldCharType="begin"/>
            </w:r>
            <w:r w:rsidR="009A0781">
              <w:rPr>
                <w:noProof/>
                <w:webHidden/>
              </w:rPr>
              <w:instrText xml:space="preserve"> PAGEREF _Toc514831650 \h </w:instrText>
            </w:r>
            <w:r w:rsidR="009A0781">
              <w:rPr>
                <w:noProof/>
                <w:webHidden/>
              </w:rPr>
            </w:r>
            <w:r w:rsidR="009A0781">
              <w:rPr>
                <w:noProof/>
                <w:webHidden/>
              </w:rPr>
              <w:fldChar w:fldCharType="separate"/>
            </w:r>
            <w:r w:rsidR="002761B3">
              <w:rPr>
                <w:noProof/>
                <w:webHidden/>
              </w:rPr>
              <w:t>29</w:t>
            </w:r>
            <w:r w:rsidR="009A0781">
              <w:rPr>
                <w:noProof/>
                <w:webHidden/>
              </w:rPr>
              <w:fldChar w:fldCharType="end"/>
            </w:r>
          </w:hyperlink>
        </w:p>
        <w:p w:rsidR="009A0781" w:rsidRDefault="003171D7">
          <w:pPr>
            <w:pStyle w:val="TOC1"/>
            <w:tabs>
              <w:tab w:val="left" w:pos="440"/>
              <w:tab w:val="right" w:leader="dot" w:pos="9628"/>
            </w:tabs>
            <w:rPr>
              <w:rFonts w:asciiTheme="minorHAnsi" w:eastAsiaTheme="minorEastAsia" w:hAnsiTheme="minorHAnsi" w:cstheme="minorBidi"/>
              <w:noProof/>
              <w:sz w:val="22"/>
              <w:szCs w:val="22"/>
              <w:lang w:eastAsia="en-GB"/>
            </w:rPr>
          </w:pPr>
          <w:hyperlink w:anchor="_Toc514831651" w:history="1">
            <w:r w:rsidR="009A0781" w:rsidRPr="009B0FC8">
              <w:rPr>
                <w:rStyle w:val="Hyperlink"/>
                <w:noProof/>
              </w:rPr>
              <w:t>4.</w:t>
            </w:r>
            <w:r w:rsidR="009A0781">
              <w:rPr>
                <w:rFonts w:asciiTheme="minorHAnsi" w:eastAsiaTheme="minorEastAsia" w:hAnsiTheme="minorHAnsi" w:cstheme="minorBidi"/>
                <w:noProof/>
                <w:sz w:val="22"/>
                <w:szCs w:val="22"/>
                <w:lang w:eastAsia="en-GB"/>
              </w:rPr>
              <w:tab/>
            </w:r>
            <w:r w:rsidR="009A0781" w:rsidRPr="009B0FC8">
              <w:rPr>
                <w:rStyle w:val="Hyperlink"/>
                <w:noProof/>
              </w:rPr>
              <w:t>Evaluating research infrastructure investment</w:t>
            </w:r>
            <w:r w:rsidR="009A0781">
              <w:rPr>
                <w:noProof/>
                <w:webHidden/>
              </w:rPr>
              <w:tab/>
            </w:r>
            <w:r w:rsidR="009A0781">
              <w:rPr>
                <w:noProof/>
                <w:webHidden/>
              </w:rPr>
              <w:fldChar w:fldCharType="begin"/>
            </w:r>
            <w:r w:rsidR="009A0781">
              <w:rPr>
                <w:noProof/>
                <w:webHidden/>
              </w:rPr>
              <w:instrText xml:space="preserve"> PAGEREF _Toc514831651 \h </w:instrText>
            </w:r>
            <w:r w:rsidR="009A0781">
              <w:rPr>
                <w:noProof/>
                <w:webHidden/>
              </w:rPr>
            </w:r>
            <w:r w:rsidR="009A0781">
              <w:rPr>
                <w:noProof/>
                <w:webHidden/>
              </w:rPr>
              <w:fldChar w:fldCharType="separate"/>
            </w:r>
            <w:r w:rsidR="002761B3">
              <w:rPr>
                <w:noProof/>
                <w:webHidden/>
              </w:rPr>
              <w:t>31</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52" w:history="1">
            <w:r w:rsidR="009A0781" w:rsidRPr="009B0FC8">
              <w:rPr>
                <w:rStyle w:val="Hyperlink"/>
                <w:noProof/>
              </w:rPr>
              <w:t>Creating a logic model for the UKRPIF</w:t>
            </w:r>
            <w:r w:rsidR="009A0781">
              <w:rPr>
                <w:noProof/>
                <w:webHidden/>
              </w:rPr>
              <w:tab/>
            </w:r>
            <w:r w:rsidR="009A0781">
              <w:rPr>
                <w:noProof/>
                <w:webHidden/>
              </w:rPr>
              <w:fldChar w:fldCharType="begin"/>
            </w:r>
            <w:r w:rsidR="009A0781">
              <w:rPr>
                <w:noProof/>
                <w:webHidden/>
              </w:rPr>
              <w:instrText xml:space="preserve"> PAGEREF _Toc514831652 \h </w:instrText>
            </w:r>
            <w:r w:rsidR="009A0781">
              <w:rPr>
                <w:noProof/>
                <w:webHidden/>
              </w:rPr>
            </w:r>
            <w:r w:rsidR="009A0781">
              <w:rPr>
                <w:noProof/>
                <w:webHidden/>
              </w:rPr>
              <w:fldChar w:fldCharType="separate"/>
            </w:r>
            <w:r w:rsidR="002761B3">
              <w:rPr>
                <w:noProof/>
                <w:webHidden/>
              </w:rPr>
              <w:t>31</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53" w:history="1">
            <w:r w:rsidR="009A0781" w:rsidRPr="009B0FC8">
              <w:rPr>
                <w:rStyle w:val="Hyperlink"/>
                <w:noProof/>
              </w:rPr>
              <w:t>Evaluating social science projects</w:t>
            </w:r>
            <w:r w:rsidR="009A0781">
              <w:rPr>
                <w:noProof/>
                <w:webHidden/>
              </w:rPr>
              <w:tab/>
            </w:r>
            <w:r w:rsidR="009A0781">
              <w:rPr>
                <w:noProof/>
                <w:webHidden/>
              </w:rPr>
              <w:fldChar w:fldCharType="begin"/>
            </w:r>
            <w:r w:rsidR="009A0781">
              <w:rPr>
                <w:noProof/>
                <w:webHidden/>
              </w:rPr>
              <w:instrText xml:space="preserve"> PAGEREF _Toc514831653 \h </w:instrText>
            </w:r>
            <w:r w:rsidR="009A0781">
              <w:rPr>
                <w:noProof/>
                <w:webHidden/>
              </w:rPr>
            </w:r>
            <w:r w:rsidR="009A0781">
              <w:rPr>
                <w:noProof/>
                <w:webHidden/>
              </w:rPr>
              <w:fldChar w:fldCharType="separate"/>
            </w:r>
            <w:r w:rsidR="002761B3">
              <w:rPr>
                <w:noProof/>
                <w:webHidden/>
              </w:rPr>
              <w:t>35</w:t>
            </w:r>
            <w:r w:rsidR="009A0781">
              <w:rPr>
                <w:noProof/>
                <w:webHidden/>
              </w:rPr>
              <w:fldChar w:fldCharType="end"/>
            </w:r>
          </w:hyperlink>
        </w:p>
        <w:p w:rsidR="009A0781" w:rsidRDefault="003171D7">
          <w:pPr>
            <w:pStyle w:val="TOC1"/>
            <w:tabs>
              <w:tab w:val="left" w:pos="440"/>
              <w:tab w:val="right" w:leader="dot" w:pos="9628"/>
            </w:tabs>
            <w:rPr>
              <w:rFonts w:asciiTheme="minorHAnsi" w:eastAsiaTheme="minorEastAsia" w:hAnsiTheme="minorHAnsi" w:cstheme="minorBidi"/>
              <w:noProof/>
              <w:sz w:val="22"/>
              <w:szCs w:val="22"/>
              <w:lang w:eastAsia="en-GB"/>
            </w:rPr>
          </w:pPr>
          <w:hyperlink w:anchor="_Toc514831654" w:history="1">
            <w:r w:rsidR="009A0781" w:rsidRPr="009B0FC8">
              <w:rPr>
                <w:rStyle w:val="Hyperlink"/>
                <w:noProof/>
              </w:rPr>
              <w:t>5.</w:t>
            </w:r>
            <w:r w:rsidR="009A0781">
              <w:rPr>
                <w:rFonts w:asciiTheme="minorHAnsi" w:eastAsiaTheme="minorEastAsia" w:hAnsiTheme="minorHAnsi" w:cstheme="minorBidi"/>
                <w:noProof/>
                <w:sz w:val="22"/>
                <w:szCs w:val="22"/>
                <w:lang w:eastAsia="en-GB"/>
              </w:rPr>
              <w:tab/>
            </w:r>
            <w:r w:rsidR="009A0781" w:rsidRPr="009B0FC8">
              <w:rPr>
                <w:rStyle w:val="Hyperlink"/>
                <w:noProof/>
              </w:rPr>
              <w:t>Emerging UKRPIF outputs</w:t>
            </w:r>
            <w:r w:rsidR="009A0781">
              <w:rPr>
                <w:noProof/>
                <w:webHidden/>
              </w:rPr>
              <w:tab/>
            </w:r>
            <w:r w:rsidR="009A0781">
              <w:rPr>
                <w:noProof/>
                <w:webHidden/>
              </w:rPr>
              <w:fldChar w:fldCharType="begin"/>
            </w:r>
            <w:r w:rsidR="009A0781">
              <w:rPr>
                <w:noProof/>
                <w:webHidden/>
              </w:rPr>
              <w:instrText xml:space="preserve"> PAGEREF _Toc514831654 \h </w:instrText>
            </w:r>
            <w:r w:rsidR="009A0781">
              <w:rPr>
                <w:noProof/>
                <w:webHidden/>
              </w:rPr>
            </w:r>
            <w:r w:rsidR="009A0781">
              <w:rPr>
                <w:noProof/>
                <w:webHidden/>
              </w:rPr>
              <w:fldChar w:fldCharType="separate"/>
            </w:r>
            <w:r w:rsidR="002761B3">
              <w:rPr>
                <w:noProof/>
                <w:webHidden/>
              </w:rPr>
              <w:t>37</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55" w:history="1">
            <w:r w:rsidR="009A0781" w:rsidRPr="009B0FC8">
              <w:rPr>
                <w:rStyle w:val="Hyperlink"/>
                <w:noProof/>
              </w:rPr>
              <w:t>Changes to operating models</w:t>
            </w:r>
            <w:r w:rsidR="009A0781">
              <w:rPr>
                <w:noProof/>
                <w:webHidden/>
              </w:rPr>
              <w:tab/>
            </w:r>
            <w:r w:rsidR="009A0781">
              <w:rPr>
                <w:noProof/>
                <w:webHidden/>
              </w:rPr>
              <w:fldChar w:fldCharType="begin"/>
            </w:r>
            <w:r w:rsidR="009A0781">
              <w:rPr>
                <w:noProof/>
                <w:webHidden/>
              </w:rPr>
              <w:instrText xml:space="preserve"> PAGEREF _Toc514831655 \h </w:instrText>
            </w:r>
            <w:r w:rsidR="009A0781">
              <w:rPr>
                <w:noProof/>
                <w:webHidden/>
              </w:rPr>
            </w:r>
            <w:r w:rsidR="009A0781">
              <w:rPr>
                <w:noProof/>
                <w:webHidden/>
              </w:rPr>
              <w:fldChar w:fldCharType="separate"/>
            </w:r>
            <w:r w:rsidR="002761B3">
              <w:rPr>
                <w:noProof/>
                <w:webHidden/>
              </w:rPr>
              <w:t>38</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r:id="rId10" w:anchor="_Toc514831656" w:history="1">
            <w:r w:rsidR="009A0781" w:rsidRPr="009B0FC8">
              <w:rPr>
                <w:rStyle w:val="Hyperlink"/>
                <w:noProof/>
              </w:rPr>
              <w:t>Co-locating the King’s College London (KCL) Research and Innovation Hub in Cancer (RIHC) with NHS delivery</w:t>
            </w:r>
            <w:r w:rsidR="009A0781">
              <w:rPr>
                <w:noProof/>
                <w:webHidden/>
              </w:rPr>
              <w:tab/>
            </w:r>
            <w:r w:rsidR="009A0781">
              <w:rPr>
                <w:noProof/>
                <w:webHidden/>
              </w:rPr>
              <w:fldChar w:fldCharType="begin"/>
            </w:r>
            <w:r w:rsidR="009A0781">
              <w:rPr>
                <w:noProof/>
                <w:webHidden/>
              </w:rPr>
              <w:instrText xml:space="preserve"> PAGEREF _Toc514831656 \h </w:instrText>
            </w:r>
            <w:r w:rsidR="009A0781">
              <w:rPr>
                <w:noProof/>
                <w:webHidden/>
              </w:rPr>
            </w:r>
            <w:r w:rsidR="009A0781">
              <w:rPr>
                <w:noProof/>
                <w:webHidden/>
              </w:rPr>
              <w:fldChar w:fldCharType="separate"/>
            </w:r>
            <w:r w:rsidR="002761B3">
              <w:rPr>
                <w:noProof/>
                <w:webHidden/>
              </w:rPr>
              <w:t>38</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57" w:history="1">
            <w:r w:rsidR="009A0781" w:rsidRPr="009B0FC8">
              <w:rPr>
                <w:rStyle w:val="Hyperlink"/>
                <w:noProof/>
              </w:rPr>
              <w:t>Impact on market readiness</w:t>
            </w:r>
            <w:r w:rsidR="009A0781">
              <w:rPr>
                <w:noProof/>
                <w:webHidden/>
              </w:rPr>
              <w:tab/>
            </w:r>
            <w:r w:rsidR="009A0781">
              <w:rPr>
                <w:noProof/>
                <w:webHidden/>
              </w:rPr>
              <w:fldChar w:fldCharType="begin"/>
            </w:r>
            <w:r w:rsidR="009A0781">
              <w:rPr>
                <w:noProof/>
                <w:webHidden/>
              </w:rPr>
              <w:instrText xml:space="preserve"> PAGEREF _Toc514831657 \h </w:instrText>
            </w:r>
            <w:r w:rsidR="009A0781">
              <w:rPr>
                <w:noProof/>
                <w:webHidden/>
              </w:rPr>
            </w:r>
            <w:r w:rsidR="009A0781">
              <w:rPr>
                <w:noProof/>
                <w:webHidden/>
              </w:rPr>
              <w:fldChar w:fldCharType="separate"/>
            </w:r>
            <w:r w:rsidR="002761B3">
              <w:rPr>
                <w:noProof/>
                <w:webHidden/>
              </w:rPr>
              <w:t>39</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r:id="rId11" w:anchor="_Toc514831658" w:history="1">
            <w:r w:rsidR="009A0781" w:rsidRPr="009B0FC8">
              <w:rPr>
                <w:rStyle w:val="Hyperlink"/>
                <w:noProof/>
              </w:rPr>
              <w:t>From research to market ready products at the High Temperature Research Centre (HTRC), University of Birmingham</w:t>
            </w:r>
            <w:r w:rsidR="009A0781">
              <w:rPr>
                <w:noProof/>
                <w:webHidden/>
              </w:rPr>
              <w:tab/>
            </w:r>
            <w:r w:rsidR="009A0781">
              <w:rPr>
                <w:noProof/>
                <w:webHidden/>
              </w:rPr>
              <w:fldChar w:fldCharType="begin"/>
            </w:r>
            <w:r w:rsidR="009A0781">
              <w:rPr>
                <w:noProof/>
                <w:webHidden/>
              </w:rPr>
              <w:instrText xml:space="preserve"> PAGEREF _Toc514831658 \h </w:instrText>
            </w:r>
            <w:r w:rsidR="009A0781">
              <w:rPr>
                <w:noProof/>
                <w:webHidden/>
              </w:rPr>
            </w:r>
            <w:r w:rsidR="009A0781">
              <w:rPr>
                <w:noProof/>
                <w:webHidden/>
              </w:rPr>
              <w:fldChar w:fldCharType="separate"/>
            </w:r>
            <w:r w:rsidR="002761B3">
              <w:rPr>
                <w:noProof/>
                <w:webHidden/>
              </w:rPr>
              <w:t>40</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59" w:history="1">
            <w:r w:rsidR="009A0781" w:rsidRPr="009B0FC8">
              <w:rPr>
                <w:rStyle w:val="Hyperlink"/>
                <w:noProof/>
              </w:rPr>
              <w:t>Impact on research outputs</w:t>
            </w:r>
            <w:r w:rsidR="009A0781">
              <w:rPr>
                <w:noProof/>
                <w:webHidden/>
              </w:rPr>
              <w:tab/>
            </w:r>
            <w:r w:rsidR="009A0781">
              <w:rPr>
                <w:noProof/>
                <w:webHidden/>
              </w:rPr>
              <w:fldChar w:fldCharType="begin"/>
            </w:r>
            <w:r w:rsidR="009A0781">
              <w:rPr>
                <w:noProof/>
                <w:webHidden/>
              </w:rPr>
              <w:instrText xml:space="preserve"> PAGEREF _Toc514831659 \h </w:instrText>
            </w:r>
            <w:r w:rsidR="009A0781">
              <w:rPr>
                <w:noProof/>
                <w:webHidden/>
              </w:rPr>
            </w:r>
            <w:r w:rsidR="009A0781">
              <w:rPr>
                <w:noProof/>
                <w:webHidden/>
              </w:rPr>
              <w:fldChar w:fldCharType="separate"/>
            </w:r>
            <w:r w:rsidR="002761B3">
              <w:rPr>
                <w:noProof/>
                <w:webHidden/>
              </w:rPr>
              <w:t>41</w:t>
            </w:r>
            <w:r w:rsidR="009A0781">
              <w:rPr>
                <w:noProof/>
                <w:webHidden/>
              </w:rPr>
              <w:fldChar w:fldCharType="end"/>
            </w:r>
          </w:hyperlink>
        </w:p>
        <w:p w:rsidR="009A0781" w:rsidRDefault="003171D7">
          <w:pPr>
            <w:pStyle w:val="TOC3"/>
            <w:tabs>
              <w:tab w:val="left" w:pos="880"/>
              <w:tab w:val="right" w:leader="dot" w:pos="9628"/>
            </w:tabs>
            <w:rPr>
              <w:rFonts w:asciiTheme="minorHAnsi" w:hAnsiTheme="minorHAnsi" w:cstheme="minorBidi"/>
              <w:noProof/>
              <w:sz w:val="22"/>
              <w:lang w:eastAsia="en-GB"/>
            </w:rPr>
          </w:pPr>
          <w:hyperlink w:anchor="_Toc514831660" w:history="1">
            <w:r w:rsidR="009A0781" w:rsidRPr="009B0FC8">
              <w:rPr>
                <w:rStyle w:val="Hyperlink"/>
                <w:noProof/>
              </w:rPr>
              <w:t>1)</w:t>
            </w:r>
            <w:r w:rsidR="009A0781">
              <w:rPr>
                <w:rFonts w:asciiTheme="minorHAnsi" w:hAnsiTheme="minorHAnsi" w:cstheme="minorBidi"/>
                <w:noProof/>
                <w:sz w:val="22"/>
                <w:lang w:eastAsia="en-GB"/>
              </w:rPr>
              <w:tab/>
            </w:r>
            <w:r w:rsidR="009A0781" w:rsidRPr="009B0FC8">
              <w:rPr>
                <w:rStyle w:val="Hyperlink"/>
                <w:noProof/>
              </w:rPr>
              <w:t>Publications and intellectual property</w:t>
            </w:r>
            <w:r w:rsidR="009A0781">
              <w:rPr>
                <w:noProof/>
                <w:webHidden/>
              </w:rPr>
              <w:tab/>
            </w:r>
            <w:r w:rsidR="009A0781">
              <w:rPr>
                <w:noProof/>
                <w:webHidden/>
              </w:rPr>
              <w:fldChar w:fldCharType="begin"/>
            </w:r>
            <w:r w:rsidR="009A0781">
              <w:rPr>
                <w:noProof/>
                <w:webHidden/>
              </w:rPr>
              <w:instrText xml:space="preserve"> PAGEREF _Toc514831660 \h </w:instrText>
            </w:r>
            <w:r w:rsidR="009A0781">
              <w:rPr>
                <w:noProof/>
                <w:webHidden/>
              </w:rPr>
            </w:r>
            <w:r w:rsidR="009A0781">
              <w:rPr>
                <w:noProof/>
                <w:webHidden/>
              </w:rPr>
              <w:fldChar w:fldCharType="separate"/>
            </w:r>
            <w:r w:rsidR="002761B3">
              <w:rPr>
                <w:noProof/>
                <w:webHidden/>
              </w:rPr>
              <w:t>41</w:t>
            </w:r>
            <w:r w:rsidR="009A0781">
              <w:rPr>
                <w:noProof/>
                <w:webHidden/>
              </w:rPr>
              <w:fldChar w:fldCharType="end"/>
            </w:r>
          </w:hyperlink>
        </w:p>
        <w:p w:rsidR="009A0781" w:rsidRDefault="003171D7">
          <w:pPr>
            <w:pStyle w:val="TOC3"/>
            <w:tabs>
              <w:tab w:val="left" w:pos="880"/>
              <w:tab w:val="right" w:leader="dot" w:pos="9628"/>
            </w:tabs>
            <w:rPr>
              <w:rFonts w:asciiTheme="minorHAnsi" w:hAnsiTheme="minorHAnsi" w:cstheme="minorBidi"/>
              <w:noProof/>
              <w:sz w:val="22"/>
              <w:lang w:eastAsia="en-GB"/>
            </w:rPr>
          </w:pPr>
          <w:hyperlink w:anchor="_Toc514831661" w:history="1">
            <w:r w:rsidR="009A0781" w:rsidRPr="009B0FC8">
              <w:rPr>
                <w:rStyle w:val="Hyperlink"/>
                <w:noProof/>
              </w:rPr>
              <w:t>2)</w:t>
            </w:r>
            <w:r w:rsidR="009A0781">
              <w:rPr>
                <w:rFonts w:asciiTheme="minorHAnsi" w:hAnsiTheme="minorHAnsi" w:cstheme="minorBidi"/>
                <w:noProof/>
                <w:sz w:val="22"/>
                <w:lang w:eastAsia="en-GB"/>
              </w:rPr>
              <w:tab/>
            </w:r>
            <w:r w:rsidR="009A0781" w:rsidRPr="009B0FC8">
              <w:rPr>
                <w:rStyle w:val="Hyperlink"/>
                <w:noProof/>
              </w:rPr>
              <w:t>Standard-setting and thought leadership</w:t>
            </w:r>
            <w:r w:rsidR="009A0781">
              <w:rPr>
                <w:noProof/>
                <w:webHidden/>
              </w:rPr>
              <w:tab/>
            </w:r>
            <w:r w:rsidR="009A0781">
              <w:rPr>
                <w:noProof/>
                <w:webHidden/>
              </w:rPr>
              <w:fldChar w:fldCharType="begin"/>
            </w:r>
            <w:r w:rsidR="009A0781">
              <w:rPr>
                <w:noProof/>
                <w:webHidden/>
              </w:rPr>
              <w:instrText xml:space="preserve"> PAGEREF _Toc514831661 \h </w:instrText>
            </w:r>
            <w:r w:rsidR="009A0781">
              <w:rPr>
                <w:noProof/>
                <w:webHidden/>
              </w:rPr>
            </w:r>
            <w:r w:rsidR="009A0781">
              <w:rPr>
                <w:noProof/>
                <w:webHidden/>
              </w:rPr>
              <w:fldChar w:fldCharType="separate"/>
            </w:r>
            <w:r w:rsidR="002761B3">
              <w:rPr>
                <w:noProof/>
                <w:webHidden/>
              </w:rPr>
              <w:t>43</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r:id="rId12" w:anchor="_Toc514831662" w:history="1">
            <w:r w:rsidR="009A0781" w:rsidRPr="009B0FC8">
              <w:rPr>
                <w:rStyle w:val="Hyperlink"/>
                <w:noProof/>
              </w:rPr>
              <w:t>Standard Setting at the 5G Innovation Centre (5GIC), University of Surrey</w:t>
            </w:r>
            <w:r w:rsidR="009A0781">
              <w:rPr>
                <w:noProof/>
                <w:webHidden/>
              </w:rPr>
              <w:tab/>
            </w:r>
            <w:r w:rsidR="009A0781">
              <w:rPr>
                <w:noProof/>
                <w:webHidden/>
              </w:rPr>
              <w:fldChar w:fldCharType="begin"/>
            </w:r>
            <w:r w:rsidR="009A0781">
              <w:rPr>
                <w:noProof/>
                <w:webHidden/>
              </w:rPr>
              <w:instrText xml:space="preserve"> PAGEREF _Toc514831662 \h </w:instrText>
            </w:r>
            <w:r w:rsidR="009A0781">
              <w:rPr>
                <w:noProof/>
                <w:webHidden/>
              </w:rPr>
            </w:r>
            <w:r w:rsidR="009A0781">
              <w:rPr>
                <w:noProof/>
                <w:webHidden/>
              </w:rPr>
              <w:fldChar w:fldCharType="separate"/>
            </w:r>
            <w:r w:rsidR="002761B3">
              <w:rPr>
                <w:noProof/>
                <w:webHidden/>
              </w:rPr>
              <w:t>43</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63" w:history="1">
            <w:r w:rsidR="009A0781" w:rsidRPr="009B0FC8">
              <w:rPr>
                <w:rStyle w:val="Hyperlink"/>
                <w:noProof/>
              </w:rPr>
              <w:t>Impact on collaboration with HEIs</w:t>
            </w:r>
            <w:r w:rsidR="009A0781">
              <w:rPr>
                <w:noProof/>
                <w:webHidden/>
              </w:rPr>
              <w:tab/>
            </w:r>
            <w:r w:rsidR="009A0781">
              <w:rPr>
                <w:noProof/>
                <w:webHidden/>
              </w:rPr>
              <w:fldChar w:fldCharType="begin"/>
            </w:r>
            <w:r w:rsidR="009A0781">
              <w:rPr>
                <w:noProof/>
                <w:webHidden/>
              </w:rPr>
              <w:instrText xml:space="preserve"> PAGEREF _Toc514831663 \h </w:instrText>
            </w:r>
            <w:r w:rsidR="009A0781">
              <w:rPr>
                <w:noProof/>
                <w:webHidden/>
              </w:rPr>
            </w:r>
            <w:r w:rsidR="009A0781">
              <w:rPr>
                <w:noProof/>
                <w:webHidden/>
              </w:rPr>
              <w:fldChar w:fldCharType="separate"/>
            </w:r>
            <w:r w:rsidR="002761B3">
              <w:rPr>
                <w:noProof/>
                <w:webHidden/>
              </w:rPr>
              <w:t>43</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64" w:history="1">
            <w:r w:rsidR="009A0781" w:rsidRPr="009B0FC8">
              <w:rPr>
                <w:rStyle w:val="Hyperlink"/>
                <w:noProof/>
                <w:lang w:eastAsia="en-GB"/>
              </w:rPr>
              <w:t>Impact on collaboration with industry</w:t>
            </w:r>
            <w:r w:rsidR="009A0781">
              <w:rPr>
                <w:noProof/>
                <w:webHidden/>
              </w:rPr>
              <w:tab/>
            </w:r>
            <w:r w:rsidR="009A0781">
              <w:rPr>
                <w:noProof/>
                <w:webHidden/>
              </w:rPr>
              <w:fldChar w:fldCharType="begin"/>
            </w:r>
            <w:r w:rsidR="009A0781">
              <w:rPr>
                <w:noProof/>
                <w:webHidden/>
              </w:rPr>
              <w:instrText xml:space="preserve"> PAGEREF _Toc514831664 \h </w:instrText>
            </w:r>
            <w:r w:rsidR="009A0781">
              <w:rPr>
                <w:noProof/>
                <w:webHidden/>
              </w:rPr>
            </w:r>
            <w:r w:rsidR="009A0781">
              <w:rPr>
                <w:noProof/>
                <w:webHidden/>
              </w:rPr>
              <w:fldChar w:fldCharType="separate"/>
            </w:r>
            <w:r w:rsidR="002761B3">
              <w:rPr>
                <w:noProof/>
                <w:webHidden/>
              </w:rPr>
              <w:t>44</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r:id="rId13" w:anchor="_Toc514831665" w:history="1">
            <w:r w:rsidR="009A0781" w:rsidRPr="009B0FC8">
              <w:rPr>
                <w:rStyle w:val="Hyperlink"/>
                <w:noProof/>
              </w:rPr>
              <w:t>Industry engagement at the Maxwell Centre, University of Cambridge</w:t>
            </w:r>
            <w:r w:rsidR="009A0781">
              <w:rPr>
                <w:noProof/>
                <w:webHidden/>
              </w:rPr>
              <w:tab/>
            </w:r>
            <w:r w:rsidR="009A0781">
              <w:rPr>
                <w:noProof/>
                <w:webHidden/>
              </w:rPr>
              <w:fldChar w:fldCharType="begin"/>
            </w:r>
            <w:r w:rsidR="009A0781">
              <w:rPr>
                <w:noProof/>
                <w:webHidden/>
              </w:rPr>
              <w:instrText xml:space="preserve"> PAGEREF _Toc514831665 \h </w:instrText>
            </w:r>
            <w:r w:rsidR="009A0781">
              <w:rPr>
                <w:noProof/>
                <w:webHidden/>
              </w:rPr>
            </w:r>
            <w:r w:rsidR="009A0781">
              <w:rPr>
                <w:noProof/>
                <w:webHidden/>
              </w:rPr>
              <w:fldChar w:fldCharType="separate"/>
            </w:r>
            <w:r w:rsidR="002761B3">
              <w:rPr>
                <w:noProof/>
                <w:webHidden/>
              </w:rPr>
              <w:t>45</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66" w:history="1">
            <w:r w:rsidR="009A0781" w:rsidRPr="009B0FC8">
              <w:rPr>
                <w:rStyle w:val="Hyperlink"/>
                <w:noProof/>
              </w:rPr>
              <w:t>Impact on start-up/spin-out and SMEs</w:t>
            </w:r>
            <w:r w:rsidR="009A0781">
              <w:rPr>
                <w:noProof/>
                <w:webHidden/>
              </w:rPr>
              <w:tab/>
            </w:r>
            <w:r w:rsidR="009A0781">
              <w:rPr>
                <w:noProof/>
                <w:webHidden/>
              </w:rPr>
              <w:fldChar w:fldCharType="begin"/>
            </w:r>
            <w:r w:rsidR="009A0781">
              <w:rPr>
                <w:noProof/>
                <w:webHidden/>
              </w:rPr>
              <w:instrText xml:space="preserve"> PAGEREF _Toc514831666 \h </w:instrText>
            </w:r>
            <w:r w:rsidR="009A0781">
              <w:rPr>
                <w:noProof/>
                <w:webHidden/>
              </w:rPr>
            </w:r>
            <w:r w:rsidR="009A0781">
              <w:rPr>
                <w:noProof/>
                <w:webHidden/>
              </w:rPr>
              <w:fldChar w:fldCharType="separate"/>
            </w:r>
            <w:r w:rsidR="002761B3">
              <w:rPr>
                <w:noProof/>
                <w:webHidden/>
              </w:rPr>
              <w:t>46</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67" w:history="1">
            <w:r w:rsidR="009A0781" w:rsidRPr="009B0FC8">
              <w:rPr>
                <w:rStyle w:val="Hyperlink"/>
                <w:noProof/>
              </w:rPr>
              <w:t>Impact on student numbers</w:t>
            </w:r>
            <w:r w:rsidR="009A0781">
              <w:rPr>
                <w:noProof/>
                <w:webHidden/>
              </w:rPr>
              <w:tab/>
            </w:r>
            <w:r w:rsidR="009A0781">
              <w:rPr>
                <w:noProof/>
                <w:webHidden/>
              </w:rPr>
              <w:fldChar w:fldCharType="begin"/>
            </w:r>
            <w:r w:rsidR="009A0781">
              <w:rPr>
                <w:noProof/>
                <w:webHidden/>
              </w:rPr>
              <w:instrText xml:space="preserve"> PAGEREF _Toc514831667 \h </w:instrText>
            </w:r>
            <w:r w:rsidR="009A0781">
              <w:rPr>
                <w:noProof/>
                <w:webHidden/>
              </w:rPr>
            </w:r>
            <w:r w:rsidR="009A0781">
              <w:rPr>
                <w:noProof/>
                <w:webHidden/>
              </w:rPr>
              <w:fldChar w:fldCharType="separate"/>
            </w:r>
            <w:r w:rsidR="002761B3">
              <w:rPr>
                <w:noProof/>
                <w:webHidden/>
              </w:rPr>
              <w:t>47</w:t>
            </w:r>
            <w:r w:rsidR="009A0781">
              <w:rPr>
                <w:noProof/>
                <w:webHidden/>
              </w:rPr>
              <w:fldChar w:fldCharType="end"/>
            </w:r>
          </w:hyperlink>
        </w:p>
        <w:p w:rsidR="009A0781" w:rsidRDefault="003171D7">
          <w:pPr>
            <w:pStyle w:val="TOC1"/>
            <w:tabs>
              <w:tab w:val="left" w:pos="440"/>
              <w:tab w:val="right" w:leader="dot" w:pos="9628"/>
            </w:tabs>
            <w:rPr>
              <w:rFonts w:asciiTheme="minorHAnsi" w:eastAsiaTheme="minorEastAsia" w:hAnsiTheme="minorHAnsi" w:cstheme="minorBidi"/>
              <w:noProof/>
              <w:sz w:val="22"/>
              <w:szCs w:val="22"/>
              <w:lang w:eastAsia="en-GB"/>
            </w:rPr>
          </w:pPr>
          <w:hyperlink w:anchor="_Toc514831668" w:history="1">
            <w:r w:rsidR="009A0781" w:rsidRPr="009B0FC8">
              <w:rPr>
                <w:rStyle w:val="Hyperlink"/>
                <w:noProof/>
              </w:rPr>
              <w:t>6.</w:t>
            </w:r>
            <w:r w:rsidR="009A0781">
              <w:rPr>
                <w:rFonts w:asciiTheme="minorHAnsi" w:eastAsiaTheme="minorEastAsia" w:hAnsiTheme="minorHAnsi" w:cstheme="minorBidi"/>
                <w:noProof/>
                <w:sz w:val="22"/>
                <w:szCs w:val="22"/>
                <w:lang w:eastAsia="en-GB"/>
              </w:rPr>
              <w:tab/>
            </w:r>
            <w:r w:rsidR="009A0781" w:rsidRPr="009B0FC8">
              <w:rPr>
                <w:rStyle w:val="Hyperlink"/>
                <w:noProof/>
              </w:rPr>
              <w:t>Conclusion</w:t>
            </w:r>
            <w:r w:rsidR="009A0781">
              <w:rPr>
                <w:noProof/>
                <w:webHidden/>
              </w:rPr>
              <w:tab/>
            </w:r>
            <w:r w:rsidR="009A0781">
              <w:rPr>
                <w:noProof/>
                <w:webHidden/>
              </w:rPr>
              <w:fldChar w:fldCharType="begin"/>
            </w:r>
            <w:r w:rsidR="009A0781">
              <w:rPr>
                <w:noProof/>
                <w:webHidden/>
              </w:rPr>
              <w:instrText xml:space="preserve"> PAGEREF _Toc514831668 \h </w:instrText>
            </w:r>
            <w:r w:rsidR="009A0781">
              <w:rPr>
                <w:noProof/>
                <w:webHidden/>
              </w:rPr>
            </w:r>
            <w:r w:rsidR="009A0781">
              <w:rPr>
                <w:noProof/>
                <w:webHidden/>
              </w:rPr>
              <w:fldChar w:fldCharType="separate"/>
            </w:r>
            <w:r w:rsidR="002761B3">
              <w:rPr>
                <w:noProof/>
                <w:webHidden/>
              </w:rPr>
              <w:t>49</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69" w:history="1">
            <w:r w:rsidR="009A0781" w:rsidRPr="009B0FC8">
              <w:rPr>
                <w:rStyle w:val="Hyperlink"/>
                <w:noProof/>
              </w:rPr>
              <w:t>Emerging outputs</w:t>
            </w:r>
            <w:r w:rsidR="009A0781">
              <w:rPr>
                <w:noProof/>
                <w:webHidden/>
              </w:rPr>
              <w:tab/>
            </w:r>
            <w:r w:rsidR="009A0781">
              <w:rPr>
                <w:noProof/>
                <w:webHidden/>
              </w:rPr>
              <w:fldChar w:fldCharType="begin"/>
            </w:r>
            <w:r w:rsidR="009A0781">
              <w:rPr>
                <w:noProof/>
                <w:webHidden/>
              </w:rPr>
              <w:instrText xml:space="preserve"> PAGEREF _Toc514831669 \h </w:instrText>
            </w:r>
            <w:r w:rsidR="009A0781">
              <w:rPr>
                <w:noProof/>
                <w:webHidden/>
              </w:rPr>
            </w:r>
            <w:r w:rsidR="009A0781">
              <w:rPr>
                <w:noProof/>
                <w:webHidden/>
              </w:rPr>
              <w:fldChar w:fldCharType="separate"/>
            </w:r>
            <w:r w:rsidR="002761B3">
              <w:rPr>
                <w:noProof/>
                <w:webHidden/>
              </w:rPr>
              <w:t>49</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70" w:history="1">
            <w:r w:rsidR="009A0781" w:rsidRPr="009B0FC8">
              <w:rPr>
                <w:rStyle w:val="Hyperlink"/>
                <w:noProof/>
              </w:rPr>
              <w:t>Evaluation going forward</w:t>
            </w:r>
            <w:r w:rsidR="009A0781">
              <w:rPr>
                <w:noProof/>
                <w:webHidden/>
              </w:rPr>
              <w:tab/>
            </w:r>
            <w:r w:rsidR="009A0781">
              <w:rPr>
                <w:noProof/>
                <w:webHidden/>
              </w:rPr>
              <w:fldChar w:fldCharType="begin"/>
            </w:r>
            <w:r w:rsidR="009A0781">
              <w:rPr>
                <w:noProof/>
                <w:webHidden/>
              </w:rPr>
              <w:instrText xml:space="preserve"> PAGEREF _Toc514831670 \h </w:instrText>
            </w:r>
            <w:r w:rsidR="009A0781">
              <w:rPr>
                <w:noProof/>
                <w:webHidden/>
              </w:rPr>
            </w:r>
            <w:r w:rsidR="009A0781">
              <w:rPr>
                <w:noProof/>
                <w:webHidden/>
              </w:rPr>
              <w:fldChar w:fldCharType="separate"/>
            </w:r>
            <w:r w:rsidR="002761B3">
              <w:rPr>
                <w:noProof/>
                <w:webHidden/>
              </w:rPr>
              <w:t>50</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w:anchor="_Toc514831671" w:history="1">
            <w:r w:rsidR="009A0781" w:rsidRPr="009B0FC8">
              <w:rPr>
                <w:rStyle w:val="Hyperlink"/>
                <w:noProof/>
              </w:rPr>
              <w:t>Quantitative</w:t>
            </w:r>
            <w:r w:rsidR="009A0781">
              <w:rPr>
                <w:noProof/>
                <w:webHidden/>
              </w:rPr>
              <w:tab/>
            </w:r>
            <w:r w:rsidR="009A0781">
              <w:rPr>
                <w:noProof/>
                <w:webHidden/>
              </w:rPr>
              <w:fldChar w:fldCharType="begin"/>
            </w:r>
            <w:r w:rsidR="009A0781">
              <w:rPr>
                <w:noProof/>
                <w:webHidden/>
              </w:rPr>
              <w:instrText xml:space="preserve"> PAGEREF _Toc514831671 \h </w:instrText>
            </w:r>
            <w:r w:rsidR="009A0781">
              <w:rPr>
                <w:noProof/>
                <w:webHidden/>
              </w:rPr>
            </w:r>
            <w:r w:rsidR="009A0781">
              <w:rPr>
                <w:noProof/>
                <w:webHidden/>
              </w:rPr>
              <w:fldChar w:fldCharType="separate"/>
            </w:r>
            <w:r w:rsidR="002761B3">
              <w:rPr>
                <w:noProof/>
                <w:webHidden/>
              </w:rPr>
              <w:t>50</w:t>
            </w:r>
            <w:r w:rsidR="009A0781">
              <w:rPr>
                <w:noProof/>
                <w:webHidden/>
              </w:rPr>
              <w:fldChar w:fldCharType="end"/>
            </w:r>
          </w:hyperlink>
        </w:p>
        <w:p w:rsidR="009A0781" w:rsidRDefault="003171D7">
          <w:pPr>
            <w:pStyle w:val="TOC3"/>
            <w:tabs>
              <w:tab w:val="right" w:leader="dot" w:pos="9628"/>
            </w:tabs>
            <w:rPr>
              <w:rFonts w:asciiTheme="minorHAnsi" w:hAnsiTheme="minorHAnsi" w:cstheme="minorBidi"/>
              <w:noProof/>
              <w:sz w:val="22"/>
              <w:lang w:eastAsia="en-GB"/>
            </w:rPr>
          </w:pPr>
          <w:hyperlink w:anchor="_Toc514831672" w:history="1">
            <w:r w:rsidR="009A0781" w:rsidRPr="009B0FC8">
              <w:rPr>
                <w:rStyle w:val="Hyperlink"/>
                <w:noProof/>
              </w:rPr>
              <w:t>Qualitative</w:t>
            </w:r>
            <w:r w:rsidR="009A0781">
              <w:rPr>
                <w:noProof/>
                <w:webHidden/>
              </w:rPr>
              <w:tab/>
            </w:r>
            <w:r w:rsidR="009A0781">
              <w:rPr>
                <w:noProof/>
                <w:webHidden/>
              </w:rPr>
              <w:fldChar w:fldCharType="begin"/>
            </w:r>
            <w:r w:rsidR="009A0781">
              <w:rPr>
                <w:noProof/>
                <w:webHidden/>
              </w:rPr>
              <w:instrText xml:space="preserve"> PAGEREF _Toc514831672 \h </w:instrText>
            </w:r>
            <w:r w:rsidR="009A0781">
              <w:rPr>
                <w:noProof/>
                <w:webHidden/>
              </w:rPr>
            </w:r>
            <w:r w:rsidR="009A0781">
              <w:rPr>
                <w:noProof/>
                <w:webHidden/>
              </w:rPr>
              <w:fldChar w:fldCharType="separate"/>
            </w:r>
            <w:r w:rsidR="002761B3">
              <w:rPr>
                <w:noProof/>
                <w:webHidden/>
              </w:rPr>
              <w:t>50</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73" w:history="1">
            <w:r w:rsidR="009A0781" w:rsidRPr="009B0FC8">
              <w:rPr>
                <w:rStyle w:val="Hyperlink"/>
                <w:noProof/>
              </w:rPr>
              <w:t>Lessons and reflections</w:t>
            </w:r>
            <w:r w:rsidR="009A0781">
              <w:rPr>
                <w:noProof/>
                <w:webHidden/>
              </w:rPr>
              <w:tab/>
            </w:r>
            <w:r w:rsidR="009A0781">
              <w:rPr>
                <w:noProof/>
                <w:webHidden/>
              </w:rPr>
              <w:fldChar w:fldCharType="begin"/>
            </w:r>
            <w:r w:rsidR="009A0781">
              <w:rPr>
                <w:noProof/>
                <w:webHidden/>
              </w:rPr>
              <w:instrText xml:space="preserve"> PAGEREF _Toc514831673 \h </w:instrText>
            </w:r>
            <w:r w:rsidR="009A0781">
              <w:rPr>
                <w:noProof/>
                <w:webHidden/>
              </w:rPr>
            </w:r>
            <w:r w:rsidR="009A0781">
              <w:rPr>
                <w:noProof/>
                <w:webHidden/>
              </w:rPr>
              <w:fldChar w:fldCharType="separate"/>
            </w:r>
            <w:r w:rsidR="002761B3">
              <w:rPr>
                <w:noProof/>
                <w:webHidden/>
              </w:rPr>
              <w:t>51</w:t>
            </w:r>
            <w:r w:rsidR="009A0781">
              <w:rPr>
                <w:noProof/>
                <w:webHidden/>
              </w:rPr>
              <w:fldChar w:fldCharType="end"/>
            </w:r>
          </w:hyperlink>
        </w:p>
        <w:p w:rsidR="009A0781" w:rsidRDefault="003171D7">
          <w:pPr>
            <w:pStyle w:val="TOC2"/>
            <w:tabs>
              <w:tab w:val="right" w:leader="dot" w:pos="9628"/>
            </w:tabs>
            <w:rPr>
              <w:rFonts w:asciiTheme="minorHAnsi" w:hAnsiTheme="minorHAnsi" w:cstheme="minorBidi"/>
              <w:noProof/>
              <w:sz w:val="22"/>
              <w:lang w:eastAsia="en-GB"/>
            </w:rPr>
          </w:pPr>
          <w:hyperlink w:anchor="_Toc514831674" w:history="1">
            <w:r w:rsidR="009A0781" w:rsidRPr="009B0FC8">
              <w:rPr>
                <w:rStyle w:val="Hyperlink"/>
                <w:noProof/>
              </w:rPr>
              <w:t>An approach to future evaluations of UKRPIF</w:t>
            </w:r>
            <w:r w:rsidR="009A0781">
              <w:rPr>
                <w:noProof/>
                <w:webHidden/>
              </w:rPr>
              <w:tab/>
            </w:r>
            <w:r w:rsidR="009A0781">
              <w:rPr>
                <w:noProof/>
                <w:webHidden/>
              </w:rPr>
              <w:fldChar w:fldCharType="begin"/>
            </w:r>
            <w:r w:rsidR="009A0781">
              <w:rPr>
                <w:noProof/>
                <w:webHidden/>
              </w:rPr>
              <w:instrText xml:space="preserve"> PAGEREF _Toc514831674 \h </w:instrText>
            </w:r>
            <w:r w:rsidR="009A0781">
              <w:rPr>
                <w:noProof/>
                <w:webHidden/>
              </w:rPr>
            </w:r>
            <w:r w:rsidR="009A0781">
              <w:rPr>
                <w:noProof/>
                <w:webHidden/>
              </w:rPr>
              <w:fldChar w:fldCharType="separate"/>
            </w:r>
            <w:r w:rsidR="002761B3">
              <w:rPr>
                <w:noProof/>
                <w:webHidden/>
              </w:rPr>
              <w:t>51</w:t>
            </w:r>
            <w:r w:rsidR="009A0781">
              <w:rPr>
                <w:noProof/>
                <w:webHidden/>
              </w:rPr>
              <w:fldChar w:fldCharType="end"/>
            </w:r>
          </w:hyperlink>
        </w:p>
        <w:p w:rsidR="009A0781" w:rsidRDefault="003171D7">
          <w:pPr>
            <w:pStyle w:val="TOC3"/>
            <w:tabs>
              <w:tab w:val="left" w:pos="880"/>
              <w:tab w:val="right" w:leader="dot" w:pos="9628"/>
            </w:tabs>
            <w:rPr>
              <w:rFonts w:asciiTheme="minorHAnsi" w:hAnsiTheme="minorHAnsi" w:cstheme="minorBidi"/>
              <w:noProof/>
              <w:sz w:val="22"/>
              <w:lang w:eastAsia="en-GB"/>
            </w:rPr>
          </w:pPr>
          <w:hyperlink w:anchor="_Toc514831675" w:history="1">
            <w:r w:rsidR="009A0781" w:rsidRPr="009B0FC8">
              <w:rPr>
                <w:rStyle w:val="Hyperlink"/>
                <w:noProof/>
              </w:rPr>
              <w:t>1)</w:t>
            </w:r>
            <w:r w:rsidR="009A0781">
              <w:rPr>
                <w:rFonts w:asciiTheme="minorHAnsi" w:hAnsiTheme="minorHAnsi" w:cstheme="minorBidi"/>
                <w:noProof/>
                <w:sz w:val="22"/>
                <w:lang w:eastAsia="en-GB"/>
              </w:rPr>
              <w:tab/>
            </w:r>
            <w:r w:rsidR="009A0781" w:rsidRPr="009B0FC8">
              <w:rPr>
                <w:rStyle w:val="Hyperlink"/>
                <w:noProof/>
              </w:rPr>
              <w:t>Applying methods from past evaluations</w:t>
            </w:r>
            <w:r w:rsidR="009A0781">
              <w:rPr>
                <w:noProof/>
                <w:webHidden/>
              </w:rPr>
              <w:tab/>
            </w:r>
            <w:r w:rsidR="009A0781">
              <w:rPr>
                <w:noProof/>
                <w:webHidden/>
              </w:rPr>
              <w:fldChar w:fldCharType="begin"/>
            </w:r>
            <w:r w:rsidR="009A0781">
              <w:rPr>
                <w:noProof/>
                <w:webHidden/>
              </w:rPr>
              <w:instrText xml:space="preserve"> PAGEREF _Toc514831675 \h </w:instrText>
            </w:r>
            <w:r w:rsidR="009A0781">
              <w:rPr>
                <w:noProof/>
                <w:webHidden/>
              </w:rPr>
            </w:r>
            <w:r w:rsidR="009A0781">
              <w:rPr>
                <w:noProof/>
                <w:webHidden/>
              </w:rPr>
              <w:fldChar w:fldCharType="separate"/>
            </w:r>
            <w:r w:rsidR="002761B3">
              <w:rPr>
                <w:noProof/>
                <w:webHidden/>
              </w:rPr>
              <w:t>51</w:t>
            </w:r>
            <w:r w:rsidR="009A0781">
              <w:rPr>
                <w:noProof/>
                <w:webHidden/>
              </w:rPr>
              <w:fldChar w:fldCharType="end"/>
            </w:r>
          </w:hyperlink>
        </w:p>
        <w:p w:rsidR="009A0781" w:rsidRDefault="003171D7">
          <w:pPr>
            <w:pStyle w:val="TOC3"/>
            <w:tabs>
              <w:tab w:val="left" w:pos="880"/>
              <w:tab w:val="right" w:leader="dot" w:pos="9628"/>
            </w:tabs>
            <w:rPr>
              <w:rFonts w:asciiTheme="minorHAnsi" w:hAnsiTheme="minorHAnsi" w:cstheme="minorBidi"/>
              <w:noProof/>
              <w:sz w:val="22"/>
              <w:lang w:eastAsia="en-GB"/>
            </w:rPr>
          </w:pPr>
          <w:hyperlink w:anchor="_Toc514831676" w:history="1">
            <w:r w:rsidR="009A0781" w:rsidRPr="009B0FC8">
              <w:rPr>
                <w:rStyle w:val="Hyperlink"/>
                <w:noProof/>
              </w:rPr>
              <w:t>2)</w:t>
            </w:r>
            <w:r w:rsidR="009A0781">
              <w:rPr>
                <w:rFonts w:asciiTheme="minorHAnsi" w:hAnsiTheme="minorHAnsi" w:cstheme="minorBidi"/>
                <w:noProof/>
                <w:sz w:val="22"/>
                <w:lang w:eastAsia="en-GB"/>
              </w:rPr>
              <w:tab/>
            </w:r>
            <w:r w:rsidR="009A0781" w:rsidRPr="009B0FC8">
              <w:rPr>
                <w:rStyle w:val="Hyperlink"/>
                <w:noProof/>
              </w:rPr>
              <w:t>Developing evaluation approaches</w:t>
            </w:r>
            <w:r w:rsidR="009A0781">
              <w:rPr>
                <w:noProof/>
                <w:webHidden/>
              </w:rPr>
              <w:tab/>
            </w:r>
            <w:r w:rsidR="009A0781">
              <w:rPr>
                <w:noProof/>
                <w:webHidden/>
              </w:rPr>
              <w:fldChar w:fldCharType="begin"/>
            </w:r>
            <w:r w:rsidR="009A0781">
              <w:rPr>
                <w:noProof/>
                <w:webHidden/>
              </w:rPr>
              <w:instrText xml:space="preserve"> PAGEREF _Toc514831676 \h </w:instrText>
            </w:r>
            <w:r w:rsidR="009A0781">
              <w:rPr>
                <w:noProof/>
                <w:webHidden/>
              </w:rPr>
            </w:r>
            <w:r w:rsidR="009A0781">
              <w:rPr>
                <w:noProof/>
                <w:webHidden/>
              </w:rPr>
              <w:fldChar w:fldCharType="separate"/>
            </w:r>
            <w:r w:rsidR="002761B3">
              <w:rPr>
                <w:noProof/>
                <w:webHidden/>
              </w:rPr>
              <w:t>52</w:t>
            </w:r>
            <w:r w:rsidR="009A0781">
              <w:rPr>
                <w:noProof/>
                <w:webHidden/>
              </w:rPr>
              <w:fldChar w:fldCharType="end"/>
            </w:r>
          </w:hyperlink>
        </w:p>
        <w:p w:rsidR="009A0781" w:rsidRDefault="003171D7">
          <w:pPr>
            <w:pStyle w:val="TOC1"/>
            <w:tabs>
              <w:tab w:val="right" w:leader="dot" w:pos="9628"/>
            </w:tabs>
            <w:rPr>
              <w:rFonts w:asciiTheme="minorHAnsi" w:eastAsiaTheme="minorEastAsia" w:hAnsiTheme="minorHAnsi" w:cstheme="minorBidi"/>
              <w:noProof/>
              <w:sz w:val="22"/>
              <w:szCs w:val="22"/>
              <w:lang w:eastAsia="en-GB"/>
            </w:rPr>
          </w:pPr>
          <w:hyperlink w:anchor="_Toc514831677" w:history="1">
            <w:r w:rsidR="009A0781" w:rsidRPr="009B0FC8">
              <w:rPr>
                <w:rStyle w:val="Hyperlink"/>
                <w:noProof/>
              </w:rPr>
              <w:t>References:</w:t>
            </w:r>
            <w:r w:rsidR="009A0781">
              <w:rPr>
                <w:noProof/>
                <w:webHidden/>
              </w:rPr>
              <w:tab/>
            </w:r>
            <w:r w:rsidR="009A0781">
              <w:rPr>
                <w:noProof/>
                <w:webHidden/>
              </w:rPr>
              <w:fldChar w:fldCharType="begin"/>
            </w:r>
            <w:r w:rsidR="009A0781">
              <w:rPr>
                <w:noProof/>
                <w:webHidden/>
              </w:rPr>
              <w:instrText xml:space="preserve"> PAGEREF _Toc514831677 \h </w:instrText>
            </w:r>
            <w:r w:rsidR="009A0781">
              <w:rPr>
                <w:noProof/>
                <w:webHidden/>
              </w:rPr>
            </w:r>
            <w:r w:rsidR="009A0781">
              <w:rPr>
                <w:noProof/>
                <w:webHidden/>
              </w:rPr>
              <w:fldChar w:fldCharType="separate"/>
            </w:r>
            <w:r w:rsidR="002761B3">
              <w:rPr>
                <w:noProof/>
                <w:webHidden/>
              </w:rPr>
              <w:t>54</w:t>
            </w:r>
            <w:r w:rsidR="009A0781">
              <w:rPr>
                <w:noProof/>
                <w:webHidden/>
              </w:rPr>
              <w:fldChar w:fldCharType="end"/>
            </w:r>
          </w:hyperlink>
        </w:p>
        <w:p w:rsidR="00873739" w:rsidRDefault="00873739">
          <w:r>
            <w:rPr>
              <w:b/>
              <w:bCs/>
              <w:noProof/>
            </w:rPr>
            <w:fldChar w:fldCharType="end"/>
          </w:r>
        </w:p>
      </w:sdtContent>
    </w:sdt>
    <w:p w:rsidR="00873739" w:rsidRDefault="00873739">
      <w:pPr>
        <w:rPr>
          <w:rFonts w:ascii="Arial" w:eastAsiaTheme="majorEastAsia" w:hAnsi="Arial" w:cs="Arial"/>
          <w:b/>
          <w:color w:val="993365"/>
          <w:sz w:val="48"/>
          <w:szCs w:val="32"/>
        </w:rPr>
      </w:pPr>
      <w:r>
        <w:br w:type="page"/>
      </w:r>
    </w:p>
    <w:p w:rsidR="00924EA5" w:rsidRDefault="00924EA5" w:rsidP="00E675FC">
      <w:pPr>
        <w:pStyle w:val="Belmana1"/>
      </w:pPr>
      <w:bookmarkStart w:id="4" w:name="_Toc514831630"/>
      <w:r>
        <w:lastRenderedPageBreak/>
        <w:t>Foreword</w:t>
      </w:r>
      <w:bookmarkEnd w:id="4"/>
      <w:bookmarkEnd w:id="3"/>
    </w:p>
    <w:p w:rsidR="000767A5" w:rsidRDefault="000767A5" w:rsidP="000767A5">
      <w:pPr>
        <w:rPr>
          <w:rFonts w:ascii="Arial" w:hAnsi="Arial" w:cs="Arial"/>
        </w:rPr>
      </w:pPr>
      <w:r w:rsidRPr="00004F0D">
        <w:rPr>
          <w:rFonts w:ascii="Arial" w:hAnsi="Arial" w:cs="Arial"/>
        </w:rPr>
        <w:t>Now in its sixt</w:t>
      </w:r>
      <w:r>
        <w:rPr>
          <w:rFonts w:ascii="Arial" w:hAnsi="Arial" w:cs="Arial"/>
        </w:rPr>
        <w:t xml:space="preserve">h round of operation, </w:t>
      </w:r>
      <w:r w:rsidRPr="00004F0D">
        <w:rPr>
          <w:rFonts w:ascii="Arial" w:hAnsi="Arial" w:cs="Arial"/>
        </w:rPr>
        <w:t xml:space="preserve">the UK Research Partnership Investment Fund (UKRPIF) </w:t>
      </w:r>
      <w:r>
        <w:rPr>
          <w:rFonts w:ascii="Arial" w:hAnsi="Arial" w:cs="Arial"/>
        </w:rPr>
        <w:t xml:space="preserve">is the largest competitive grant funding scheme managed by Research England. </w:t>
      </w:r>
      <w:r w:rsidRPr="004D0678">
        <w:rPr>
          <w:rFonts w:ascii="Arial" w:hAnsi="Arial" w:cs="Arial"/>
        </w:rPr>
        <w:t xml:space="preserve">Established in 2012, the </w:t>
      </w:r>
      <w:r>
        <w:rPr>
          <w:rFonts w:ascii="Arial" w:hAnsi="Arial" w:cs="Arial"/>
        </w:rPr>
        <w:t>UKRPIF has provided over £680 million of capital funding to 43 research projects across the UK in its first five rounds. Supporting research excellence and encouraging collaboration between universities and non-public organisations is key in meeting national priorities and global challenges. UKRPIF is central to this, enhancing the research facilities of universities undertaking world-leading research and fostering long-term strategic partnerships between universities and other organisations active in research.</w:t>
      </w:r>
    </w:p>
    <w:p w:rsidR="000767A5" w:rsidRDefault="000767A5" w:rsidP="000767A5">
      <w:pPr>
        <w:rPr>
          <w:rFonts w:ascii="Arial" w:hAnsi="Arial" w:cs="Arial"/>
        </w:rPr>
      </w:pPr>
      <w:r>
        <w:rPr>
          <w:rFonts w:ascii="Arial" w:hAnsi="Arial" w:cs="Arial"/>
        </w:rPr>
        <w:t xml:space="preserve">Research England, working with the three funding bodies, has funded a diverse portfolio of research projects. Projects are often multi and inter-disciplinary in nature, forging collaborations across departments, universities, and external organisations. With projects across a breadth of research areas, including high value manufacturing, neuroscience, cancer research, aerospace, agriculture and the social sciences, the UKRPIF exemplifies the diversity and the scope of the research base in the UK. </w:t>
      </w:r>
    </w:p>
    <w:p w:rsidR="000767A5" w:rsidRDefault="000767A5" w:rsidP="000767A5">
      <w:pPr>
        <w:rPr>
          <w:rFonts w:ascii="Arial" w:hAnsi="Arial" w:cs="Arial"/>
        </w:rPr>
      </w:pPr>
      <w:r>
        <w:rPr>
          <w:rFonts w:ascii="Arial" w:hAnsi="Arial" w:cs="Arial"/>
        </w:rPr>
        <w:t xml:space="preserve">The unique nature of the UKRPIF scheme means that for every £1 awarded, universities must attract double match funding from non-public sources. To date, over £1.7 billion of investment has been committed from co-investment partners, with almost £1 billion of this from industry and almost £330 million from charitable organisations. </w:t>
      </w:r>
    </w:p>
    <w:p w:rsidR="000767A5" w:rsidRPr="007F3B19" w:rsidRDefault="000767A5" w:rsidP="000767A5">
      <w:pPr>
        <w:rPr>
          <w:rFonts w:ascii="Arial" w:hAnsi="Arial" w:cs="Arial"/>
        </w:rPr>
      </w:pPr>
      <w:r w:rsidRPr="007F3B19">
        <w:rPr>
          <w:rFonts w:ascii="Arial" w:hAnsi="Arial" w:cs="Arial"/>
        </w:rPr>
        <w:t xml:space="preserve">With many of our projects specialising in big data initiatives, healthcare, and transport, there is a clear alignment with the UK’s industrial strategy. Enabling and enhancing new and existing partnerships, the UKRPIF is a prime example of how research institutions can work with other organisations to accelerate </w:t>
      </w:r>
      <w:r>
        <w:rPr>
          <w:rFonts w:ascii="Arial" w:hAnsi="Arial" w:cs="Arial"/>
        </w:rPr>
        <w:t xml:space="preserve">and translate </w:t>
      </w:r>
      <w:r w:rsidRPr="007F3B19">
        <w:rPr>
          <w:rFonts w:ascii="Arial" w:hAnsi="Arial" w:cs="Arial"/>
        </w:rPr>
        <w:t>research and innovation.</w:t>
      </w:r>
    </w:p>
    <w:p w:rsidR="000767A5" w:rsidRDefault="000767A5" w:rsidP="000767A5">
      <w:pPr>
        <w:rPr>
          <w:rFonts w:ascii="Arial" w:hAnsi="Arial" w:cs="Arial"/>
        </w:rPr>
      </w:pPr>
      <w:r>
        <w:rPr>
          <w:rFonts w:ascii="Arial" w:hAnsi="Arial" w:cs="Arial"/>
        </w:rPr>
        <w:t xml:space="preserve">This interim evaluation report captures a snapshot of just some of the emerging research outcomes of the scheme; with most projects still in their infancy, many of their benefits will be realised in the years to come. Capital funding of this nature remains crucial to establishing the UK as a place where world-leading research can take place in world-leading facilities. </w:t>
      </w:r>
    </w:p>
    <w:p w:rsidR="000767A5" w:rsidRDefault="000767A5" w:rsidP="000767A5">
      <w:pPr>
        <w:rPr>
          <w:rFonts w:ascii="Arial" w:hAnsi="Arial" w:cs="Arial"/>
        </w:rPr>
      </w:pPr>
    </w:p>
    <w:p w:rsidR="002761B3" w:rsidRDefault="002761B3" w:rsidP="000767A5">
      <w:pPr>
        <w:rPr>
          <w:rFonts w:ascii="Arial" w:hAnsi="Arial" w:cs="Arial"/>
        </w:rPr>
      </w:pPr>
    </w:p>
    <w:p w:rsidR="000767A5" w:rsidRDefault="000767A5" w:rsidP="000767A5">
      <w:pPr>
        <w:rPr>
          <w:rFonts w:ascii="Arial" w:hAnsi="Arial" w:cs="Arial"/>
        </w:rPr>
      </w:pPr>
      <w:r>
        <w:rPr>
          <w:rFonts w:ascii="Arial" w:hAnsi="Arial" w:cs="Arial"/>
        </w:rPr>
        <w:t>David Sweeney</w:t>
      </w:r>
    </w:p>
    <w:p w:rsidR="000767A5" w:rsidRDefault="000767A5" w:rsidP="000767A5">
      <w:r>
        <w:rPr>
          <w:rFonts w:ascii="Arial" w:hAnsi="Arial" w:cs="Arial"/>
        </w:rPr>
        <w:t>Executive Chair, Research England</w:t>
      </w:r>
    </w:p>
    <w:p w:rsidR="00F2626B" w:rsidRPr="000767A5" w:rsidRDefault="00F2626B" w:rsidP="000767A5">
      <w:pPr>
        <w:pStyle w:val="Belmana1"/>
      </w:pPr>
      <w:bookmarkStart w:id="5" w:name="_Toc500164093"/>
      <w:bookmarkStart w:id="6" w:name="_Toc514831631"/>
      <w:r w:rsidRPr="006A1202">
        <w:lastRenderedPageBreak/>
        <w:t>Abbreviations</w:t>
      </w:r>
      <w:bookmarkEnd w:id="5"/>
      <w:bookmarkEnd w:id="6"/>
    </w:p>
    <w:tbl>
      <w:tblPr>
        <w:tblW w:w="9908" w:type="dxa"/>
        <w:tblCellMar>
          <w:left w:w="0" w:type="dxa"/>
          <w:right w:w="0" w:type="dxa"/>
        </w:tblCellMar>
        <w:tblLook w:val="04A0" w:firstRow="1" w:lastRow="0" w:firstColumn="1" w:lastColumn="0" w:noHBand="0" w:noVBand="1"/>
      </w:tblPr>
      <w:tblGrid>
        <w:gridCol w:w="1257"/>
        <w:gridCol w:w="8651"/>
      </w:tblGrid>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sidRPr="00B76F34">
              <w:rPr>
                <w:rFonts w:ascii="Arial" w:hAnsi="Arial" w:cs="Arial"/>
                <w:b/>
                <w:color w:val="000000"/>
                <w:szCs w:val="24"/>
              </w:rPr>
              <w:t>BEIS</w:t>
            </w:r>
          </w:p>
        </w:tc>
        <w:tc>
          <w:tcPr>
            <w:tcW w:w="8651" w:type="dxa"/>
            <w:shd w:val="clear" w:color="auto" w:fill="auto"/>
            <w:noWrap/>
            <w:tcMar>
              <w:top w:w="15" w:type="dxa"/>
              <w:left w:w="15" w:type="dxa"/>
              <w:bottom w:w="0" w:type="dxa"/>
              <w:right w:w="15" w:type="dxa"/>
            </w:tcMar>
            <w:vAlign w:val="bottom"/>
          </w:tcPr>
          <w:p w:rsidR="001522A2" w:rsidRPr="00071653" w:rsidRDefault="001522A2" w:rsidP="00B12DFE">
            <w:pPr>
              <w:rPr>
                <w:rFonts w:ascii="Arial" w:hAnsi="Arial" w:cs="Arial"/>
                <w:color w:val="000000"/>
                <w:szCs w:val="24"/>
              </w:rPr>
            </w:pPr>
            <w:r w:rsidRPr="00B76F34">
              <w:rPr>
                <w:rFonts w:ascii="Arial" w:hAnsi="Arial" w:cs="Arial"/>
                <w:color w:val="000000"/>
                <w:szCs w:val="24"/>
              </w:rPr>
              <w:t>Department for Business, Energy and Industrial Strategy</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Pr>
                <w:rFonts w:ascii="Arial" w:hAnsi="Arial" w:cs="Arial"/>
                <w:b/>
                <w:color w:val="000000"/>
                <w:szCs w:val="24"/>
              </w:rPr>
              <w:t>BIVF</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sidRPr="00CA5BC4">
              <w:rPr>
                <w:rFonts w:ascii="Arial" w:hAnsi="Arial" w:cs="Arial"/>
                <w:color w:val="000000"/>
                <w:szCs w:val="24"/>
              </w:rPr>
              <w:t>Boehringer Ingleheim Venture Fund</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b/>
                <w:color w:val="000000"/>
                <w:szCs w:val="24"/>
              </w:rPr>
            </w:pPr>
            <w:r>
              <w:rPr>
                <w:rFonts w:ascii="Arial" w:hAnsi="Arial" w:cs="Arial"/>
                <w:b/>
                <w:color w:val="000000"/>
                <w:szCs w:val="24"/>
              </w:rPr>
              <w:t>CDT</w:t>
            </w:r>
          </w:p>
        </w:tc>
        <w:tc>
          <w:tcPr>
            <w:tcW w:w="8651" w:type="dxa"/>
            <w:shd w:val="clear" w:color="auto" w:fill="auto"/>
            <w:noWrap/>
            <w:tcMar>
              <w:top w:w="15" w:type="dxa"/>
              <w:left w:w="15" w:type="dxa"/>
              <w:bottom w:w="0" w:type="dxa"/>
              <w:right w:w="15" w:type="dxa"/>
            </w:tcMar>
            <w:vAlign w:val="bottom"/>
          </w:tcPr>
          <w:p w:rsidR="001522A2" w:rsidRPr="00127276" w:rsidRDefault="001522A2" w:rsidP="00B12DFE">
            <w:pPr>
              <w:rPr>
                <w:rFonts w:ascii="Arial" w:hAnsi="Arial" w:cs="Arial"/>
                <w:color w:val="000000"/>
                <w:szCs w:val="24"/>
              </w:rPr>
            </w:pPr>
            <w:r>
              <w:rPr>
                <w:rFonts w:ascii="Arial" w:hAnsi="Arial" w:cs="Arial"/>
                <w:color w:val="000000"/>
                <w:szCs w:val="24"/>
              </w:rPr>
              <w:t>Centre for Doctoral Training</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b/>
                <w:color w:val="000000"/>
                <w:szCs w:val="24"/>
              </w:rPr>
            </w:pPr>
            <w:r>
              <w:rPr>
                <w:rFonts w:ascii="Arial" w:hAnsi="Arial" w:cs="Arial"/>
                <w:b/>
                <w:color w:val="000000"/>
                <w:szCs w:val="24"/>
              </w:rPr>
              <w:t>CERN</w:t>
            </w:r>
          </w:p>
        </w:tc>
        <w:tc>
          <w:tcPr>
            <w:tcW w:w="8651"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color w:val="000000"/>
                <w:szCs w:val="24"/>
              </w:rPr>
            </w:pPr>
            <w:r w:rsidRPr="00127276">
              <w:rPr>
                <w:rFonts w:ascii="Arial" w:hAnsi="Arial" w:cs="Arial"/>
                <w:color w:val="000000"/>
                <w:szCs w:val="24"/>
              </w:rPr>
              <w:t>The European Organization for Nuclear Research</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b/>
                <w:color w:val="000000"/>
                <w:szCs w:val="24"/>
              </w:rPr>
            </w:pPr>
            <w:r>
              <w:rPr>
                <w:rFonts w:ascii="Arial" w:hAnsi="Arial" w:cs="Arial"/>
                <w:b/>
                <w:color w:val="000000"/>
                <w:szCs w:val="24"/>
              </w:rPr>
              <w:t>CURE</w:t>
            </w:r>
          </w:p>
        </w:tc>
        <w:tc>
          <w:tcPr>
            <w:tcW w:w="8651" w:type="dxa"/>
            <w:shd w:val="clear" w:color="auto" w:fill="auto"/>
            <w:noWrap/>
            <w:tcMar>
              <w:top w:w="15" w:type="dxa"/>
              <w:left w:w="15" w:type="dxa"/>
              <w:bottom w:w="0" w:type="dxa"/>
              <w:right w:w="15" w:type="dxa"/>
            </w:tcMar>
            <w:vAlign w:val="bottom"/>
          </w:tcPr>
          <w:p w:rsidR="001522A2" w:rsidRPr="00127276" w:rsidRDefault="001522A2" w:rsidP="00B12DFE">
            <w:pPr>
              <w:rPr>
                <w:rFonts w:ascii="Arial" w:hAnsi="Arial" w:cs="Arial"/>
                <w:color w:val="000000"/>
                <w:szCs w:val="24"/>
              </w:rPr>
            </w:pPr>
            <w:r>
              <w:rPr>
                <w:rFonts w:ascii="Arial" w:hAnsi="Arial" w:cs="Arial"/>
                <w:color w:val="000000"/>
                <w:szCs w:val="24"/>
              </w:rPr>
              <w:t>The Creative Fund for Research Exploitation</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b/>
                <w:color w:val="000000"/>
                <w:szCs w:val="24"/>
              </w:rPr>
            </w:pPr>
            <w:r>
              <w:rPr>
                <w:rFonts w:ascii="Arial" w:hAnsi="Arial" w:cs="Arial"/>
                <w:b/>
                <w:color w:val="000000"/>
                <w:szCs w:val="24"/>
              </w:rPr>
              <w:t>DCMS</w:t>
            </w:r>
          </w:p>
        </w:tc>
        <w:tc>
          <w:tcPr>
            <w:tcW w:w="8651"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color w:val="000000"/>
                <w:szCs w:val="24"/>
              </w:rPr>
            </w:pPr>
            <w:r>
              <w:rPr>
                <w:rFonts w:ascii="Arial" w:hAnsi="Arial" w:cs="Arial"/>
                <w:color w:val="000000"/>
                <w:szCs w:val="24"/>
              </w:rPr>
              <w:t>Department for Culture, Media and Sport</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Pr>
                <w:rFonts w:ascii="Arial" w:hAnsi="Arial" w:cs="Arial"/>
                <w:b/>
                <w:color w:val="000000"/>
                <w:szCs w:val="24"/>
              </w:rPr>
              <w:t>DfE</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Pr>
                <w:rFonts w:ascii="Arial" w:hAnsi="Arial" w:cs="Arial"/>
                <w:color w:val="000000"/>
                <w:szCs w:val="24"/>
              </w:rPr>
              <w:t>Department for the Economy, Northern Ireland</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sidRPr="00B76F34">
              <w:rPr>
                <w:rFonts w:ascii="Arial" w:hAnsi="Arial" w:cs="Arial"/>
                <w:b/>
                <w:color w:val="000000"/>
                <w:szCs w:val="24"/>
              </w:rPr>
              <w:t>ESPRC</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sidRPr="00B76F34">
              <w:rPr>
                <w:rFonts w:ascii="Arial" w:hAnsi="Arial" w:cs="Arial"/>
                <w:color w:val="000000"/>
                <w:szCs w:val="24"/>
              </w:rPr>
              <w:t xml:space="preserve">Engineering and Physical Sciences Research Council </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Pr>
                <w:rFonts w:ascii="Arial" w:hAnsi="Arial" w:cs="Arial"/>
                <w:b/>
                <w:color w:val="000000"/>
                <w:szCs w:val="24"/>
              </w:rPr>
              <w:t>FLEXIS</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sidRPr="001522A2">
              <w:rPr>
                <w:rFonts w:ascii="Arial" w:hAnsi="Arial" w:cs="Arial"/>
                <w:color w:val="000000"/>
                <w:szCs w:val="24"/>
              </w:rPr>
              <w:t>Flexible Integrated Energy Systems</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b/>
                <w:color w:val="000000"/>
                <w:szCs w:val="24"/>
              </w:rPr>
            </w:pPr>
            <w:r>
              <w:rPr>
                <w:rFonts w:ascii="Arial" w:hAnsi="Arial" w:cs="Arial"/>
                <w:b/>
                <w:color w:val="000000"/>
                <w:szCs w:val="24"/>
              </w:rPr>
              <w:t>FTE</w:t>
            </w:r>
          </w:p>
        </w:tc>
        <w:tc>
          <w:tcPr>
            <w:tcW w:w="8651" w:type="dxa"/>
            <w:shd w:val="clear" w:color="auto" w:fill="auto"/>
            <w:noWrap/>
            <w:tcMar>
              <w:top w:w="15" w:type="dxa"/>
              <w:left w:w="15" w:type="dxa"/>
              <w:bottom w:w="0" w:type="dxa"/>
              <w:right w:w="15" w:type="dxa"/>
            </w:tcMar>
            <w:vAlign w:val="bottom"/>
          </w:tcPr>
          <w:p w:rsidR="001522A2" w:rsidRPr="001522A2" w:rsidRDefault="001522A2" w:rsidP="00B12DFE">
            <w:pPr>
              <w:rPr>
                <w:rFonts w:ascii="Arial" w:hAnsi="Arial" w:cs="Arial"/>
                <w:color w:val="000000"/>
                <w:szCs w:val="24"/>
              </w:rPr>
            </w:pPr>
            <w:r>
              <w:rPr>
                <w:rFonts w:ascii="Arial" w:hAnsi="Arial" w:cs="Arial"/>
                <w:color w:val="000000"/>
                <w:szCs w:val="24"/>
              </w:rPr>
              <w:t>Full Time Equivalent</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sidRPr="00B76F34">
              <w:rPr>
                <w:rFonts w:ascii="Arial" w:hAnsi="Arial" w:cs="Arial"/>
                <w:b/>
                <w:color w:val="000000"/>
                <w:szCs w:val="24"/>
              </w:rPr>
              <w:t>HEFCE</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sidRPr="00B76F34">
              <w:rPr>
                <w:rFonts w:ascii="Arial" w:hAnsi="Arial" w:cs="Arial"/>
                <w:color w:val="000000"/>
                <w:szCs w:val="24"/>
              </w:rPr>
              <w:t>Higher Education Funding Council for England</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Pr>
                <w:rFonts w:ascii="Arial" w:hAnsi="Arial" w:cs="Arial"/>
                <w:b/>
                <w:color w:val="000000"/>
                <w:szCs w:val="24"/>
              </w:rPr>
              <w:t>HEFCW</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Pr>
                <w:rFonts w:ascii="Arial" w:hAnsi="Arial" w:cs="Arial"/>
                <w:color w:val="000000"/>
                <w:szCs w:val="24"/>
              </w:rPr>
              <w:t>Higher Education Funding Council for Wales</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sidRPr="00B76F34">
              <w:rPr>
                <w:rFonts w:ascii="Arial" w:hAnsi="Arial" w:cs="Arial"/>
                <w:b/>
                <w:color w:val="000000"/>
                <w:szCs w:val="24"/>
              </w:rPr>
              <w:t>HEI</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sidRPr="00B76F34">
              <w:rPr>
                <w:rFonts w:ascii="Arial" w:hAnsi="Arial" w:cs="Arial"/>
                <w:color w:val="000000"/>
                <w:szCs w:val="24"/>
              </w:rPr>
              <w:t>Higher Education Institution</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Pr>
                <w:rFonts w:ascii="Arial" w:hAnsi="Arial" w:cs="Arial"/>
                <w:b/>
                <w:color w:val="000000"/>
                <w:szCs w:val="24"/>
              </w:rPr>
              <w:t>HESA</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Pr>
                <w:rFonts w:ascii="Arial" w:hAnsi="Arial" w:cs="Arial"/>
                <w:color w:val="000000"/>
                <w:szCs w:val="24"/>
              </w:rPr>
              <w:t>Higher Education Statistics Agency</w:t>
            </w:r>
          </w:p>
        </w:tc>
      </w:tr>
      <w:tr w:rsidR="008B7BA8" w:rsidRPr="00FC5AAD" w:rsidTr="00011BBF">
        <w:trPr>
          <w:trHeight w:val="300"/>
        </w:trPr>
        <w:tc>
          <w:tcPr>
            <w:tcW w:w="1257" w:type="dxa"/>
            <w:shd w:val="clear" w:color="auto" w:fill="auto"/>
            <w:noWrap/>
            <w:tcMar>
              <w:top w:w="15" w:type="dxa"/>
              <w:left w:w="15" w:type="dxa"/>
              <w:bottom w:w="0" w:type="dxa"/>
              <w:right w:w="15" w:type="dxa"/>
            </w:tcMar>
            <w:vAlign w:val="bottom"/>
          </w:tcPr>
          <w:p w:rsidR="008B7BA8" w:rsidRPr="00B76F34" w:rsidRDefault="008B7BA8" w:rsidP="00B12DFE">
            <w:pPr>
              <w:rPr>
                <w:rFonts w:ascii="Arial" w:hAnsi="Arial" w:cs="Arial"/>
                <w:b/>
                <w:color w:val="000000"/>
                <w:szCs w:val="24"/>
              </w:rPr>
            </w:pPr>
            <w:r>
              <w:rPr>
                <w:rFonts w:ascii="Arial" w:hAnsi="Arial" w:cs="Arial"/>
                <w:b/>
                <w:color w:val="000000"/>
                <w:szCs w:val="24"/>
              </w:rPr>
              <w:t>HMT</w:t>
            </w:r>
          </w:p>
        </w:tc>
        <w:tc>
          <w:tcPr>
            <w:tcW w:w="8651" w:type="dxa"/>
            <w:shd w:val="clear" w:color="auto" w:fill="auto"/>
            <w:noWrap/>
            <w:tcMar>
              <w:top w:w="15" w:type="dxa"/>
              <w:left w:w="15" w:type="dxa"/>
              <w:bottom w:w="0" w:type="dxa"/>
              <w:right w:w="15" w:type="dxa"/>
            </w:tcMar>
            <w:vAlign w:val="bottom"/>
          </w:tcPr>
          <w:p w:rsidR="008B7BA8" w:rsidRPr="00B76F34" w:rsidRDefault="008B7BA8" w:rsidP="00B12DFE">
            <w:pPr>
              <w:rPr>
                <w:rFonts w:ascii="Arial" w:hAnsi="Arial" w:cs="Arial"/>
                <w:color w:val="000000"/>
                <w:szCs w:val="24"/>
              </w:rPr>
            </w:pPr>
            <w:r>
              <w:rPr>
                <w:rFonts w:ascii="Arial" w:hAnsi="Arial" w:cs="Arial"/>
                <w:color w:val="000000"/>
                <w:szCs w:val="24"/>
              </w:rPr>
              <w:t>HM Treasury</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sidRPr="00B76F34">
              <w:rPr>
                <w:rFonts w:ascii="Arial" w:hAnsi="Arial" w:cs="Arial"/>
                <w:b/>
                <w:color w:val="000000"/>
                <w:szCs w:val="24"/>
              </w:rPr>
              <w:t>HVM</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sidRPr="00B76F34">
              <w:rPr>
                <w:rFonts w:ascii="Arial" w:hAnsi="Arial" w:cs="Arial"/>
                <w:color w:val="000000"/>
                <w:szCs w:val="24"/>
              </w:rPr>
              <w:t>High Value Manufacturing</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b/>
                <w:color w:val="000000"/>
                <w:szCs w:val="24"/>
              </w:rPr>
            </w:pPr>
            <w:r>
              <w:rPr>
                <w:rFonts w:ascii="Arial" w:hAnsi="Arial" w:cs="Arial"/>
                <w:b/>
                <w:color w:val="000000"/>
                <w:szCs w:val="24"/>
              </w:rPr>
              <w:t>IoT</w:t>
            </w:r>
          </w:p>
        </w:tc>
        <w:tc>
          <w:tcPr>
            <w:tcW w:w="8651" w:type="dxa"/>
            <w:shd w:val="clear" w:color="auto" w:fill="auto"/>
            <w:noWrap/>
            <w:tcMar>
              <w:top w:w="15" w:type="dxa"/>
              <w:left w:w="15" w:type="dxa"/>
              <w:bottom w:w="0" w:type="dxa"/>
              <w:right w:w="15" w:type="dxa"/>
            </w:tcMar>
            <w:vAlign w:val="bottom"/>
          </w:tcPr>
          <w:p w:rsidR="001522A2" w:rsidRPr="00B76F34" w:rsidRDefault="001522A2" w:rsidP="00B12DFE">
            <w:pPr>
              <w:rPr>
                <w:rFonts w:ascii="Arial" w:hAnsi="Arial" w:cs="Arial"/>
                <w:color w:val="000000"/>
                <w:szCs w:val="24"/>
              </w:rPr>
            </w:pPr>
            <w:r>
              <w:rPr>
                <w:rFonts w:ascii="Arial" w:hAnsi="Arial" w:cs="Arial"/>
                <w:color w:val="000000"/>
                <w:szCs w:val="24"/>
              </w:rPr>
              <w:t>Internet of Things</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b/>
                <w:color w:val="000000"/>
                <w:szCs w:val="24"/>
              </w:rPr>
            </w:pPr>
            <w:r>
              <w:rPr>
                <w:rFonts w:ascii="Arial" w:hAnsi="Arial" w:cs="Arial"/>
                <w:b/>
                <w:color w:val="000000"/>
                <w:szCs w:val="24"/>
              </w:rPr>
              <w:t>IP</w:t>
            </w:r>
          </w:p>
        </w:tc>
        <w:tc>
          <w:tcPr>
            <w:tcW w:w="8651"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color w:val="000000"/>
                <w:szCs w:val="24"/>
              </w:rPr>
            </w:pPr>
            <w:r>
              <w:rPr>
                <w:rFonts w:ascii="Arial" w:hAnsi="Arial" w:cs="Arial"/>
                <w:color w:val="000000"/>
                <w:szCs w:val="24"/>
              </w:rPr>
              <w:t>Intellectual Property</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b/>
                <w:color w:val="000000"/>
                <w:szCs w:val="24"/>
              </w:rPr>
            </w:pPr>
            <w:r>
              <w:rPr>
                <w:rFonts w:ascii="Arial" w:hAnsi="Arial" w:cs="Arial"/>
                <w:b/>
                <w:color w:val="000000"/>
                <w:szCs w:val="24"/>
              </w:rPr>
              <w:t>ISG</w:t>
            </w:r>
          </w:p>
        </w:tc>
        <w:tc>
          <w:tcPr>
            <w:tcW w:w="8651"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color w:val="000000"/>
                <w:szCs w:val="24"/>
              </w:rPr>
            </w:pPr>
            <w:r>
              <w:rPr>
                <w:rFonts w:ascii="Arial" w:hAnsi="Arial" w:cs="Arial"/>
                <w:color w:val="000000"/>
                <w:szCs w:val="24"/>
              </w:rPr>
              <w:t>Industry Specification Group</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b/>
                <w:color w:val="000000"/>
                <w:szCs w:val="24"/>
              </w:rPr>
            </w:pPr>
            <w:r>
              <w:rPr>
                <w:rFonts w:ascii="Arial" w:hAnsi="Arial" w:cs="Arial"/>
                <w:b/>
                <w:color w:val="000000"/>
                <w:szCs w:val="24"/>
              </w:rPr>
              <w:t>KCL</w:t>
            </w:r>
          </w:p>
        </w:tc>
        <w:tc>
          <w:tcPr>
            <w:tcW w:w="8651" w:type="dxa"/>
            <w:shd w:val="clear" w:color="auto" w:fill="auto"/>
            <w:noWrap/>
            <w:tcMar>
              <w:top w:w="15" w:type="dxa"/>
              <w:left w:w="15" w:type="dxa"/>
              <w:bottom w:w="0" w:type="dxa"/>
              <w:right w:w="15" w:type="dxa"/>
            </w:tcMar>
            <w:vAlign w:val="bottom"/>
          </w:tcPr>
          <w:p w:rsidR="001522A2" w:rsidRDefault="001522A2" w:rsidP="00B12DFE">
            <w:pPr>
              <w:rPr>
                <w:rFonts w:ascii="Arial" w:hAnsi="Arial" w:cs="Arial"/>
                <w:color w:val="000000"/>
                <w:szCs w:val="24"/>
              </w:rPr>
            </w:pPr>
            <w:r>
              <w:rPr>
                <w:rFonts w:ascii="Arial" w:hAnsi="Arial" w:cs="Arial"/>
                <w:color w:val="000000"/>
                <w:szCs w:val="24"/>
              </w:rPr>
              <w:t>King’s College London</w:t>
            </w:r>
          </w:p>
        </w:tc>
      </w:tr>
      <w:tr w:rsidR="001522A2" w:rsidRPr="00FC5AAD" w:rsidTr="00CA5BC4">
        <w:trPr>
          <w:trHeight w:val="300"/>
        </w:trPr>
        <w:tc>
          <w:tcPr>
            <w:tcW w:w="1257" w:type="dxa"/>
            <w:shd w:val="clear" w:color="auto" w:fill="auto"/>
            <w:noWrap/>
            <w:tcMar>
              <w:top w:w="15" w:type="dxa"/>
              <w:left w:w="15" w:type="dxa"/>
              <w:bottom w:w="0" w:type="dxa"/>
              <w:right w:w="15" w:type="dxa"/>
            </w:tcMar>
            <w:vAlign w:val="bottom"/>
          </w:tcPr>
          <w:p w:rsidR="001522A2" w:rsidRPr="00B76F34" w:rsidRDefault="001522A2" w:rsidP="001522A2">
            <w:pPr>
              <w:rPr>
                <w:rFonts w:ascii="Arial" w:hAnsi="Arial" w:cs="Arial"/>
                <w:b/>
                <w:color w:val="000000"/>
                <w:szCs w:val="24"/>
              </w:rPr>
            </w:pPr>
            <w:r w:rsidRPr="00B76F34">
              <w:rPr>
                <w:rFonts w:ascii="Arial" w:hAnsi="Arial" w:cs="Arial"/>
                <w:b/>
                <w:color w:val="000000"/>
                <w:szCs w:val="24"/>
              </w:rPr>
              <w:t>KPI</w:t>
            </w:r>
          </w:p>
        </w:tc>
        <w:tc>
          <w:tcPr>
            <w:tcW w:w="8651" w:type="dxa"/>
            <w:shd w:val="clear" w:color="auto" w:fill="auto"/>
            <w:noWrap/>
            <w:tcMar>
              <w:top w:w="15" w:type="dxa"/>
              <w:left w:w="15" w:type="dxa"/>
              <w:bottom w:w="0" w:type="dxa"/>
              <w:right w:w="15" w:type="dxa"/>
            </w:tcMar>
            <w:vAlign w:val="bottom"/>
          </w:tcPr>
          <w:p w:rsidR="001522A2" w:rsidRPr="00B76F34" w:rsidRDefault="001522A2" w:rsidP="001522A2">
            <w:pPr>
              <w:rPr>
                <w:rFonts w:ascii="Arial" w:hAnsi="Arial" w:cs="Arial"/>
                <w:color w:val="000000"/>
                <w:szCs w:val="24"/>
              </w:rPr>
            </w:pPr>
            <w:r w:rsidRPr="00B76F34">
              <w:rPr>
                <w:rFonts w:ascii="Arial" w:hAnsi="Arial" w:cs="Arial"/>
                <w:color w:val="000000"/>
                <w:szCs w:val="24"/>
              </w:rPr>
              <w:t>Key Performance Indicator</w:t>
            </w:r>
          </w:p>
        </w:tc>
      </w:tr>
      <w:tr w:rsidR="00011BBF" w:rsidRPr="00FC5AAD" w:rsidTr="00CA5BC4">
        <w:trPr>
          <w:trHeight w:val="300"/>
        </w:trPr>
        <w:tc>
          <w:tcPr>
            <w:tcW w:w="1257" w:type="dxa"/>
            <w:shd w:val="clear" w:color="auto" w:fill="auto"/>
            <w:noWrap/>
            <w:tcMar>
              <w:top w:w="15" w:type="dxa"/>
              <w:left w:w="15" w:type="dxa"/>
              <w:bottom w:w="0" w:type="dxa"/>
              <w:right w:w="15" w:type="dxa"/>
            </w:tcMar>
            <w:vAlign w:val="bottom"/>
          </w:tcPr>
          <w:p w:rsidR="00011BBF" w:rsidRDefault="00011BBF" w:rsidP="00B12DFE">
            <w:pPr>
              <w:rPr>
                <w:rFonts w:ascii="Arial" w:hAnsi="Arial" w:cs="Arial"/>
                <w:b/>
                <w:color w:val="000000"/>
                <w:szCs w:val="24"/>
              </w:rPr>
            </w:pPr>
            <w:r>
              <w:rPr>
                <w:rFonts w:ascii="Arial" w:hAnsi="Arial" w:cs="Arial"/>
                <w:b/>
                <w:color w:val="000000"/>
                <w:szCs w:val="24"/>
              </w:rPr>
              <w:t>LEP</w:t>
            </w:r>
          </w:p>
        </w:tc>
        <w:tc>
          <w:tcPr>
            <w:tcW w:w="8651" w:type="dxa"/>
            <w:shd w:val="clear" w:color="auto" w:fill="auto"/>
            <w:noWrap/>
            <w:tcMar>
              <w:top w:w="15" w:type="dxa"/>
              <w:left w:w="15" w:type="dxa"/>
              <w:bottom w:w="0" w:type="dxa"/>
              <w:right w:w="15" w:type="dxa"/>
            </w:tcMar>
            <w:vAlign w:val="bottom"/>
          </w:tcPr>
          <w:p w:rsidR="00011BBF" w:rsidRDefault="00011BBF" w:rsidP="00B12DFE">
            <w:pPr>
              <w:rPr>
                <w:rFonts w:ascii="Arial" w:hAnsi="Arial" w:cs="Arial"/>
                <w:color w:val="000000"/>
                <w:szCs w:val="24"/>
              </w:rPr>
            </w:pPr>
            <w:r>
              <w:rPr>
                <w:rFonts w:ascii="Arial" w:hAnsi="Arial" w:cs="Arial"/>
                <w:color w:val="000000"/>
                <w:szCs w:val="24"/>
              </w:rPr>
              <w:t>Local Enterprise Partnership</w:t>
            </w:r>
          </w:p>
        </w:tc>
      </w:tr>
      <w:tr w:rsidR="00011BBF" w:rsidRPr="00FC5AAD" w:rsidTr="00CA5BC4">
        <w:trPr>
          <w:trHeight w:val="300"/>
        </w:trPr>
        <w:tc>
          <w:tcPr>
            <w:tcW w:w="1257" w:type="dxa"/>
            <w:shd w:val="clear" w:color="auto" w:fill="auto"/>
            <w:noWrap/>
            <w:tcMar>
              <w:top w:w="15" w:type="dxa"/>
              <w:left w:w="15" w:type="dxa"/>
              <w:bottom w:w="0" w:type="dxa"/>
              <w:right w:w="15" w:type="dxa"/>
            </w:tcMar>
            <w:vAlign w:val="bottom"/>
          </w:tcPr>
          <w:p w:rsidR="00011BBF" w:rsidRDefault="00011BBF" w:rsidP="00B12DFE">
            <w:pPr>
              <w:rPr>
                <w:rFonts w:ascii="Arial" w:hAnsi="Arial" w:cs="Arial"/>
                <w:b/>
                <w:color w:val="000000"/>
                <w:szCs w:val="24"/>
              </w:rPr>
            </w:pPr>
            <w:r>
              <w:rPr>
                <w:rFonts w:ascii="Arial" w:hAnsi="Arial" w:cs="Arial"/>
                <w:b/>
                <w:color w:val="000000"/>
                <w:szCs w:val="24"/>
              </w:rPr>
              <w:t>LSE</w:t>
            </w:r>
          </w:p>
        </w:tc>
        <w:tc>
          <w:tcPr>
            <w:tcW w:w="8651" w:type="dxa"/>
            <w:shd w:val="clear" w:color="auto" w:fill="auto"/>
            <w:noWrap/>
            <w:tcMar>
              <w:top w:w="15" w:type="dxa"/>
              <w:left w:w="15" w:type="dxa"/>
              <w:bottom w:w="0" w:type="dxa"/>
              <w:right w:w="15" w:type="dxa"/>
            </w:tcMar>
            <w:vAlign w:val="bottom"/>
          </w:tcPr>
          <w:p w:rsidR="00011BBF" w:rsidRDefault="00011BBF" w:rsidP="00B12DFE">
            <w:pPr>
              <w:rPr>
                <w:rFonts w:ascii="Arial" w:hAnsi="Arial" w:cs="Arial"/>
                <w:color w:val="000000"/>
                <w:szCs w:val="24"/>
              </w:rPr>
            </w:pPr>
            <w:r>
              <w:rPr>
                <w:rFonts w:ascii="Arial" w:hAnsi="Arial" w:cs="Arial"/>
                <w:color w:val="000000"/>
                <w:szCs w:val="24"/>
              </w:rPr>
              <w:t>London School of Economics</w:t>
            </w:r>
          </w:p>
        </w:tc>
      </w:tr>
      <w:tr w:rsidR="00011BBF" w:rsidRPr="00FC5AAD" w:rsidTr="00CA5BC4">
        <w:trPr>
          <w:trHeight w:val="300"/>
        </w:trPr>
        <w:tc>
          <w:tcPr>
            <w:tcW w:w="1257" w:type="dxa"/>
            <w:shd w:val="clear" w:color="auto" w:fill="auto"/>
            <w:noWrap/>
            <w:tcMar>
              <w:top w:w="15" w:type="dxa"/>
              <w:left w:w="15" w:type="dxa"/>
              <w:bottom w:w="0" w:type="dxa"/>
              <w:right w:w="15" w:type="dxa"/>
            </w:tcMar>
            <w:vAlign w:val="bottom"/>
          </w:tcPr>
          <w:p w:rsidR="00011BBF" w:rsidRDefault="00011BBF" w:rsidP="00B12DFE">
            <w:pPr>
              <w:rPr>
                <w:rFonts w:ascii="Arial" w:hAnsi="Arial" w:cs="Arial"/>
                <w:b/>
                <w:color w:val="000000"/>
                <w:szCs w:val="24"/>
              </w:rPr>
            </w:pPr>
            <w:r w:rsidRPr="00B76F34" w:rsidDel="001522A2">
              <w:rPr>
                <w:rFonts w:ascii="Arial" w:hAnsi="Arial" w:cs="Arial"/>
                <w:b/>
                <w:color w:val="000000"/>
                <w:szCs w:val="24"/>
              </w:rPr>
              <w:t>KPI</w:t>
            </w:r>
          </w:p>
        </w:tc>
        <w:tc>
          <w:tcPr>
            <w:tcW w:w="8651" w:type="dxa"/>
            <w:shd w:val="clear" w:color="auto" w:fill="auto"/>
            <w:noWrap/>
            <w:tcMar>
              <w:top w:w="15" w:type="dxa"/>
              <w:left w:w="15" w:type="dxa"/>
              <w:bottom w:w="0" w:type="dxa"/>
              <w:right w:w="15" w:type="dxa"/>
            </w:tcMar>
            <w:vAlign w:val="bottom"/>
          </w:tcPr>
          <w:p w:rsidR="00011BBF" w:rsidRDefault="00011BBF" w:rsidP="00B12DFE">
            <w:pPr>
              <w:rPr>
                <w:rFonts w:ascii="Arial" w:hAnsi="Arial" w:cs="Arial"/>
                <w:color w:val="000000"/>
                <w:szCs w:val="24"/>
              </w:rPr>
            </w:pPr>
            <w:r w:rsidRPr="00B76F34" w:rsidDel="001522A2">
              <w:rPr>
                <w:rFonts w:ascii="Arial" w:hAnsi="Arial" w:cs="Arial"/>
                <w:color w:val="000000"/>
                <w:szCs w:val="24"/>
              </w:rPr>
              <w:t>Key Performance Indicator</w:t>
            </w:r>
          </w:p>
        </w:tc>
      </w:tr>
      <w:tr w:rsidR="00011BBF" w:rsidRPr="00FC5AAD" w:rsidDel="001522A2" w:rsidTr="00CA5BC4">
        <w:trPr>
          <w:trHeight w:val="300"/>
        </w:trPr>
        <w:tc>
          <w:tcPr>
            <w:tcW w:w="1257" w:type="dxa"/>
            <w:shd w:val="clear" w:color="auto" w:fill="auto"/>
            <w:noWrap/>
            <w:tcMar>
              <w:top w:w="15" w:type="dxa"/>
              <w:left w:w="15" w:type="dxa"/>
              <w:bottom w:w="0" w:type="dxa"/>
              <w:right w:w="15" w:type="dxa"/>
            </w:tcMar>
            <w:vAlign w:val="bottom"/>
          </w:tcPr>
          <w:p w:rsidR="00011BBF" w:rsidRPr="00B76F34" w:rsidDel="001522A2" w:rsidRDefault="00011BBF" w:rsidP="00403E01">
            <w:pPr>
              <w:rPr>
                <w:rFonts w:ascii="Arial" w:hAnsi="Arial" w:cs="Arial"/>
                <w:b/>
                <w:color w:val="000000"/>
                <w:szCs w:val="24"/>
              </w:rPr>
            </w:pPr>
            <w:r>
              <w:rPr>
                <w:rFonts w:ascii="Arial" w:hAnsi="Arial" w:cs="Arial"/>
                <w:b/>
                <w:color w:val="000000"/>
                <w:szCs w:val="24"/>
              </w:rPr>
              <w:t>MMV</w:t>
            </w:r>
          </w:p>
        </w:tc>
        <w:tc>
          <w:tcPr>
            <w:tcW w:w="8651" w:type="dxa"/>
            <w:shd w:val="clear" w:color="auto" w:fill="auto"/>
            <w:noWrap/>
            <w:tcMar>
              <w:top w:w="15" w:type="dxa"/>
              <w:left w:w="15" w:type="dxa"/>
              <w:bottom w:w="0" w:type="dxa"/>
              <w:right w:w="15" w:type="dxa"/>
            </w:tcMar>
            <w:vAlign w:val="bottom"/>
          </w:tcPr>
          <w:p w:rsidR="00011BBF" w:rsidRPr="00B76F34" w:rsidDel="001522A2" w:rsidRDefault="00011BBF" w:rsidP="00403E01">
            <w:pPr>
              <w:rPr>
                <w:rFonts w:ascii="Arial" w:hAnsi="Arial" w:cs="Arial"/>
                <w:color w:val="000000"/>
                <w:szCs w:val="24"/>
              </w:rPr>
            </w:pPr>
            <w:r>
              <w:rPr>
                <w:rFonts w:ascii="Arial" w:hAnsi="Arial" w:cs="Arial"/>
                <w:color w:val="000000"/>
                <w:szCs w:val="24"/>
              </w:rPr>
              <w:t>Medicines for Malaria Venture</w:t>
            </w:r>
          </w:p>
        </w:tc>
      </w:tr>
      <w:tr w:rsidR="00011BBF" w:rsidRPr="00FC5AAD" w:rsidTr="00CA5BC4">
        <w:trPr>
          <w:trHeight w:val="300"/>
        </w:trPr>
        <w:tc>
          <w:tcPr>
            <w:tcW w:w="1257" w:type="dxa"/>
            <w:shd w:val="clear" w:color="auto" w:fill="auto"/>
            <w:noWrap/>
            <w:tcMar>
              <w:top w:w="15" w:type="dxa"/>
              <w:left w:w="15" w:type="dxa"/>
              <w:bottom w:w="0" w:type="dxa"/>
              <w:right w:w="15" w:type="dxa"/>
            </w:tcMar>
            <w:vAlign w:val="bottom"/>
          </w:tcPr>
          <w:p w:rsidR="00011BBF" w:rsidRPr="00B76F34" w:rsidRDefault="00011BBF" w:rsidP="00403E01">
            <w:pPr>
              <w:rPr>
                <w:rFonts w:ascii="Arial" w:hAnsi="Arial" w:cs="Arial"/>
                <w:b/>
                <w:color w:val="000000"/>
                <w:szCs w:val="24"/>
              </w:rPr>
            </w:pPr>
            <w:r>
              <w:rPr>
                <w:rFonts w:ascii="Arial" w:hAnsi="Arial" w:cs="Arial"/>
                <w:b/>
                <w:color w:val="000000"/>
                <w:szCs w:val="24"/>
              </w:rPr>
              <w:t>MRC</w:t>
            </w:r>
          </w:p>
        </w:tc>
        <w:tc>
          <w:tcPr>
            <w:tcW w:w="8651" w:type="dxa"/>
            <w:shd w:val="clear" w:color="auto" w:fill="auto"/>
            <w:noWrap/>
            <w:tcMar>
              <w:top w:w="15" w:type="dxa"/>
              <w:left w:w="15" w:type="dxa"/>
              <w:bottom w:w="0" w:type="dxa"/>
              <w:right w:w="15" w:type="dxa"/>
            </w:tcMar>
            <w:vAlign w:val="bottom"/>
          </w:tcPr>
          <w:p w:rsidR="00011BBF" w:rsidRPr="00B76F34" w:rsidRDefault="00011BBF" w:rsidP="00403E01">
            <w:pPr>
              <w:rPr>
                <w:rFonts w:ascii="Arial" w:hAnsi="Arial" w:cs="Arial"/>
                <w:color w:val="000000"/>
                <w:szCs w:val="24"/>
              </w:rPr>
            </w:pPr>
            <w:r>
              <w:rPr>
                <w:rFonts w:ascii="Arial" w:hAnsi="Arial" w:cs="Arial"/>
                <w:color w:val="000000"/>
                <w:szCs w:val="24"/>
              </w:rPr>
              <w:t>Medical Research Council</w:t>
            </w:r>
          </w:p>
        </w:tc>
      </w:tr>
      <w:tr w:rsidR="00011BBF" w:rsidRPr="00FC5AAD" w:rsidTr="00CA5BC4">
        <w:trPr>
          <w:trHeight w:val="300"/>
        </w:trPr>
        <w:tc>
          <w:tcPr>
            <w:tcW w:w="1257" w:type="dxa"/>
            <w:shd w:val="clear" w:color="auto" w:fill="auto"/>
            <w:noWrap/>
            <w:tcMar>
              <w:top w:w="15" w:type="dxa"/>
              <w:left w:w="15" w:type="dxa"/>
              <w:bottom w:w="0" w:type="dxa"/>
              <w:right w:w="15" w:type="dxa"/>
            </w:tcMar>
            <w:vAlign w:val="bottom"/>
          </w:tcPr>
          <w:p w:rsidR="00011BBF" w:rsidRDefault="00011BBF" w:rsidP="00403E01">
            <w:pPr>
              <w:rPr>
                <w:rFonts w:ascii="Arial" w:hAnsi="Arial" w:cs="Arial"/>
                <w:b/>
                <w:color w:val="000000"/>
                <w:szCs w:val="24"/>
              </w:rPr>
            </w:pPr>
            <w:r w:rsidRPr="00B76F34">
              <w:rPr>
                <w:rFonts w:ascii="Arial" w:hAnsi="Arial" w:cs="Arial"/>
                <w:b/>
                <w:color w:val="000000"/>
                <w:szCs w:val="24"/>
              </w:rPr>
              <w:t>NAO</w:t>
            </w:r>
          </w:p>
        </w:tc>
        <w:tc>
          <w:tcPr>
            <w:tcW w:w="8651" w:type="dxa"/>
            <w:shd w:val="clear" w:color="auto" w:fill="auto"/>
            <w:noWrap/>
            <w:tcMar>
              <w:top w:w="15" w:type="dxa"/>
              <w:left w:w="15" w:type="dxa"/>
              <w:bottom w:w="0" w:type="dxa"/>
              <w:right w:w="15" w:type="dxa"/>
            </w:tcMar>
            <w:vAlign w:val="bottom"/>
          </w:tcPr>
          <w:p w:rsidR="00011BBF" w:rsidRDefault="00011BBF" w:rsidP="00403E01">
            <w:pPr>
              <w:rPr>
                <w:rFonts w:ascii="Arial" w:hAnsi="Arial" w:cs="Arial"/>
                <w:color w:val="000000"/>
                <w:szCs w:val="24"/>
              </w:rPr>
            </w:pPr>
            <w:r w:rsidRPr="00B76F34">
              <w:rPr>
                <w:rFonts w:ascii="Arial" w:hAnsi="Arial" w:cs="Arial"/>
                <w:color w:val="000000"/>
                <w:szCs w:val="24"/>
              </w:rPr>
              <w:t>National Audit Office</w:t>
            </w:r>
          </w:p>
        </w:tc>
      </w:tr>
      <w:tr w:rsidR="00011BBF" w:rsidRPr="00FC5AAD" w:rsidTr="00CA5BC4">
        <w:trPr>
          <w:trHeight w:val="300"/>
        </w:trPr>
        <w:tc>
          <w:tcPr>
            <w:tcW w:w="1257" w:type="dxa"/>
            <w:shd w:val="clear" w:color="auto" w:fill="auto"/>
            <w:noWrap/>
            <w:tcMar>
              <w:top w:w="15" w:type="dxa"/>
              <w:left w:w="15" w:type="dxa"/>
              <w:bottom w:w="0" w:type="dxa"/>
              <w:right w:w="15" w:type="dxa"/>
            </w:tcMar>
            <w:vAlign w:val="bottom"/>
          </w:tcPr>
          <w:p w:rsidR="00011BBF" w:rsidRDefault="00011BBF" w:rsidP="00403E01">
            <w:pPr>
              <w:rPr>
                <w:rFonts w:ascii="Arial" w:hAnsi="Arial" w:cs="Arial"/>
                <w:b/>
                <w:color w:val="000000"/>
                <w:szCs w:val="24"/>
              </w:rPr>
            </w:pPr>
            <w:r>
              <w:rPr>
                <w:rFonts w:ascii="Arial" w:hAnsi="Arial" w:cs="Arial"/>
                <w:b/>
                <w:color w:val="000000"/>
                <w:szCs w:val="24"/>
              </w:rPr>
              <w:t>NPL</w:t>
            </w:r>
          </w:p>
        </w:tc>
        <w:tc>
          <w:tcPr>
            <w:tcW w:w="8651" w:type="dxa"/>
            <w:shd w:val="clear" w:color="auto" w:fill="auto"/>
            <w:noWrap/>
            <w:tcMar>
              <w:top w:w="15" w:type="dxa"/>
              <w:left w:w="15" w:type="dxa"/>
              <w:bottom w:w="0" w:type="dxa"/>
              <w:right w:w="15" w:type="dxa"/>
            </w:tcMar>
            <w:vAlign w:val="bottom"/>
          </w:tcPr>
          <w:p w:rsidR="00011BBF" w:rsidRDefault="00011BBF" w:rsidP="00403E01">
            <w:pPr>
              <w:rPr>
                <w:rFonts w:ascii="Arial" w:hAnsi="Arial" w:cs="Arial"/>
                <w:color w:val="000000"/>
                <w:szCs w:val="24"/>
              </w:rPr>
            </w:pPr>
            <w:r>
              <w:rPr>
                <w:rFonts w:ascii="Arial" w:hAnsi="Arial" w:cs="Arial"/>
                <w:color w:val="000000"/>
                <w:szCs w:val="24"/>
              </w:rPr>
              <w:t>National Physical Laboratory</w:t>
            </w:r>
          </w:p>
        </w:tc>
      </w:tr>
      <w:tr w:rsidR="00011BBF" w:rsidRPr="00FC5AAD" w:rsidTr="00CA5BC4">
        <w:trPr>
          <w:trHeight w:val="300"/>
        </w:trPr>
        <w:tc>
          <w:tcPr>
            <w:tcW w:w="1257" w:type="dxa"/>
            <w:shd w:val="clear" w:color="auto" w:fill="auto"/>
            <w:noWrap/>
            <w:tcMar>
              <w:top w:w="15" w:type="dxa"/>
              <w:left w:w="15" w:type="dxa"/>
              <w:bottom w:w="0" w:type="dxa"/>
              <w:right w:w="15" w:type="dxa"/>
            </w:tcMar>
            <w:vAlign w:val="bottom"/>
          </w:tcPr>
          <w:p w:rsidR="00011BBF" w:rsidRPr="00B76F34" w:rsidRDefault="00011BBF" w:rsidP="00403E01">
            <w:pPr>
              <w:rPr>
                <w:rFonts w:ascii="Arial" w:hAnsi="Arial" w:cs="Arial"/>
                <w:b/>
                <w:color w:val="000000"/>
                <w:szCs w:val="24"/>
              </w:rPr>
            </w:pPr>
            <w:r w:rsidRPr="00B76F34">
              <w:rPr>
                <w:rFonts w:ascii="Arial" w:hAnsi="Arial" w:cs="Arial"/>
                <w:b/>
                <w:color w:val="000000"/>
                <w:szCs w:val="24"/>
              </w:rPr>
              <w:t>OECD</w:t>
            </w:r>
          </w:p>
        </w:tc>
        <w:tc>
          <w:tcPr>
            <w:tcW w:w="8651" w:type="dxa"/>
            <w:shd w:val="clear" w:color="auto" w:fill="auto"/>
            <w:noWrap/>
            <w:tcMar>
              <w:top w:w="15" w:type="dxa"/>
              <w:left w:w="15" w:type="dxa"/>
              <w:bottom w:w="0" w:type="dxa"/>
              <w:right w:w="15" w:type="dxa"/>
            </w:tcMar>
            <w:vAlign w:val="bottom"/>
          </w:tcPr>
          <w:p w:rsidR="00011BBF" w:rsidRPr="00B76F34" w:rsidRDefault="00011BBF" w:rsidP="00403E01">
            <w:pPr>
              <w:rPr>
                <w:rFonts w:ascii="Arial" w:hAnsi="Arial" w:cs="Arial"/>
                <w:color w:val="000000"/>
                <w:szCs w:val="24"/>
              </w:rPr>
            </w:pPr>
            <w:r w:rsidRPr="00B76F34">
              <w:rPr>
                <w:rFonts w:ascii="Arial" w:hAnsi="Arial" w:cs="Arial"/>
                <w:color w:val="000000"/>
                <w:szCs w:val="24"/>
              </w:rPr>
              <w:t>Organisation for Economic Co-operation and Development</w:t>
            </w:r>
          </w:p>
        </w:tc>
      </w:tr>
      <w:tr w:rsidR="00011BBF" w:rsidRPr="00FC5AAD" w:rsidTr="00CA5BC4">
        <w:trPr>
          <w:trHeight w:val="300"/>
        </w:trPr>
        <w:tc>
          <w:tcPr>
            <w:tcW w:w="1257" w:type="dxa"/>
            <w:shd w:val="clear" w:color="auto" w:fill="auto"/>
            <w:noWrap/>
            <w:tcMar>
              <w:top w:w="15" w:type="dxa"/>
              <w:left w:w="15" w:type="dxa"/>
              <w:bottom w:w="0" w:type="dxa"/>
              <w:right w:w="15" w:type="dxa"/>
            </w:tcMar>
            <w:vAlign w:val="bottom"/>
          </w:tcPr>
          <w:p w:rsidR="00011BBF" w:rsidRPr="00B76F34" w:rsidRDefault="00011BBF" w:rsidP="00403E01">
            <w:pPr>
              <w:rPr>
                <w:rFonts w:ascii="Arial" w:hAnsi="Arial" w:cs="Arial"/>
                <w:b/>
                <w:color w:val="000000"/>
                <w:szCs w:val="24"/>
              </w:rPr>
            </w:pPr>
            <w:r w:rsidRPr="00B76F34">
              <w:rPr>
                <w:rFonts w:ascii="Arial" w:hAnsi="Arial" w:cs="Arial"/>
                <w:b/>
                <w:color w:val="000000"/>
                <w:szCs w:val="24"/>
              </w:rPr>
              <w:t>PBB</w:t>
            </w:r>
          </w:p>
        </w:tc>
        <w:tc>
          <w:tcPr>
            <w:tcW w:w="8651" w:type="dxa"/>
            <w:shd w:val="clear" w:color="auto" w:fill="auto"/>
            <w:noWrap/>
            <w:tcMar>
              <w:top w:w="15" w:type="dxa"/>
              <w:left w:w="15" w:type="dxa"/>
              <w:bottom w:w="0" w:type="dxa"/>
              <w:right w:w="15" w:type="dxa"/>
            </w:tcMar>
            <w:vAlign w:val="bottom"/>
          </w:tcPr>
          <w:p w:rsidR="00011BBF" w:rsidRPr="00B76F34" w:rsidRDefault="00011BBF" w:rsidP="00403E01">
            <w:pPr>
              <w:rPr>
                <w:rFonts w:ascii="Arial" w:hAnsi="Arial" w:cs="Arial"/>
                <w:color w:val="000000"/>
                <w:szCs w:val="24"/>
              </w:rPr>
            </w:pPr>
            <w:r w:rsidRPr="00470397">
              <w:rPr>
                <w:rFonts w:ascii="Arial" w:hAnsi="Arial" w:cs="Arial"/>
                <w:color w:val="000000"/>
                <w:szCs w:val="24"/>
              </w:rPr>
              <w:t>Purpose Built Building</w:t>
            </w:r>
          </w:p>
        </w:tc>
      </w:tr>
      <w:tr w:rsidR="00011BBF" w:rsidRPr="00470397" w:rsidTr="00CA5BC4">
        <w:trPr>
          <w:trHeight w:val="300"/>
        </w:trPr>
        <w:tc>
          <w:tcPr>
            <w:tcW w:w="1257" w:type="dxa"/>
            <w:vAlign w:val="bottom"/>
          </w:tcPr>
          <w:p w:rsidR="00011BBF" w:rsidRPr="00B76F34" w:rsidRDefault="00011BBF" w:rsidP="001522A2">
            <w:pPr>
              <w:rPr>
                <w:rFonts w:ascii="Arial" w:hAnsi="Arial" w:cs="Arial"/>
                <w:b/>
                <w:color w:val="000000"/>
                <w:szCs w:val="24"/>
              </w:rPr>
            </w:pPr>
            <w:r w:rsidRPr="00B76F34">
              <w:rPr>
                <w:rFonts w:ascii="Arial" w:hAnsi="Arial" w:cs="Arial"/>
                <w:b/>
                <w:color w:val="000000"/>
                <w:szCs w:val="24"/>
              </w:rPr>
              <w:t>PhD</w:t>
            </w:r>
          </w:p>
        </w:tc>
        <w:tc>
          <w:tcPr>
            <w:tcW w:w="8651" w:type="dxa"/>
            <w:vAlign w:val="bottom"/>
          </w:tcPr>
          <w:p w:rsidR="00011BBF" w:rsidRPr="00470397" w:rsidRDefault="00011BBF" w:rsidP="00011BBF">
            <w:pPr>
              <w:ind w:firstLine="16"/>
              <w:rPr>
                <w:rFonts w:ascii="Arial" w:hAnsi="Arial" w:cs="Arial"/>
                <w:color w:val="000000"/>
                <w:szCs w:val="24"/>
              </w:rPr>
            </w:pPr>
            <w:r w:rsidRPr="00470397">
              <w:rPr>
                <w:rFonts w:ascii="Arial" w:hAnsi="Arial" w:cs="Arial"/>
                <w:color w:val="000000"/>
                <w:szCs w:val="24"/>
              </w:rPr>
              <w:t>Doctor of Philosophy</w:t>
            </w:r>
          </w:p>
        </w:tc>
      </w:tr>
      <w:tr w:rsidR="00011BBF" w:rsidRPr="00B76F34" w:rsidTr="00CA5BC4">
        <w:trPr>
          <w:trHeight w:val="300"/>
        </w:trPr>
        <w:tc>
          <w:tcPr>
            <w:tcW w:w="1257" w:type="dxa"/>
            <w:vAlign w:val="bottom"/>
          </w:tcPr>
          <w:p w:rsidR="00011BBF" w:rsidRPr="00B76F34" w:rsidRDefault="00011BBF" w:rsidP="001522A2">
            <w:pPr>
              <w:rPr>
                <w:rFonts w:ascii="Arial" w:hAnsi="Arial" w:cs="Arial"/>
                <w:b/>
                <w:color w:val="000000"/>
                <w:szCs w:val="24"/>
              </w:rPr>
            </w:pPr>
            <w:r w:rsidRPr="00B76F34">
              <w:rPr>
                <w:rFonts w:ascii="Arial" w:hAnsi="Arial" w:cs="Arial"/>
                <w:b/>
                <w:color w:val="000000"/>
                <w:szCs w:val="24"/>
              </w:rPr>
              <w:t>R&amp;D</w:t>
            </w:r>
          </w:p>
        </w:tc>
        <w:tc>
          <w:tcPr>
            <w:tcW w:w="8651" w:type="dxa"/>
            <w:vAlign w:val="bottom"/>
          </w:tcPr>
          <w:p w:rsidR="00011BBF" w:rsidRPr="00B76F34" w:rsidRDefault="00011BBF" w:rsidP="001522A2">
            <w:pPr>
              <w:rPr>
                <w:rFonts w:ascii="Arial" w:hAnsi="Arial" w:cs="Arial"/>
                <w:color w:val="000000"/>
                <w:szCs w:val="24"/>
              </w:rPr>
            </w:pPr>
            <w:r w:rsidRPr="00470397">
              <w:rPr>
                <w:rFonts w:ascii="Arial" w:hAnsi="Arial" w:cs="Arial"/>
                <w:color w:val="000000"/>
                <w:szCs w:val="24"/>
              </w:rPr>
              <w:t>Research and Development</w:t>
            </w:r>
          </w:p>
        </w:tc>
      </w:tr>
      <w:tr w:rsidR="00011BBF" w:rsidRPr="00B76F34" w:rsidTr="00CA5BC4">
        <w:trPr>
          <w:trHeight w:val="300"/>
        </w:trPr>
        <w:tc>
          <w:tcPr>
            <w:tcW w:w="1257" w:type="dxa"/>
            <w:vAlign w:val="bottom"/>
          </w:tcPr>
          <w:p w:rsidR="00011BBF" w:rsidRPr="00B76F34" w:rsidRDefault="00011BBF" w:rsidP="001522A2">
            <w:pPr>
              <w:rPr>
                <w:rFonts w:ascii="Arial" w:hAnsi="Arial" w:cs="Arial"/>
                <w:b/>
                <w:color w:val="000000"/>
                <w:szCs w:val="24"/>
              </w:rPr>
            </w:pPr>
            <w:r>
              <w:rPr>
                <w:rFonts w:ascii="Arial" w:hAnsi="Arial" w:cs="Arial"/>
                <w:b/>
                <w:color w:val="000000"/>
                <w:szCs w:val="24"/>
              </w:rPr>
              <w:t>REF</w:t>
            </w:r>
          </w:p>
        </w:tc>
        <w:tc>
          <w:tcPr>
            <w:tcW w:w="8651" w:type="dxa"/>
            <w:vAlign w:val="bottom"/>
          </w:tcPr>
          <w:p w:rsidR="00011BBF" w:rsidRPr="00B76F34" w:rsidRDefault="00011BBF" w:rsidP="001522A2">
            <w:pPr>
              <w:rPr>
                <w:rFonts w:ascii="Arial" w:hAnsi="Arial" w:cs="Arial"/>
                <w:color w:val="000000"/>
                <w:szCs w:val="24"/>
              </w:rPr>
            </w:pPr>
            <w:r>
              <w:rPr>
                <w:rFonts w:ascii="Arial" w:hAnsi="Arial" w:cs="Arial"/>
                <w:color w:val="000000"/>
                <w:szCs w:val="24"/>
              </w:rPr>
              <w:t>Research Excellence Framework</w:t>
            </w:r>
          </w:p>
        </w:tc>
      </w:tr>
      <w:tr w:rsidR="00011BBF" w:rsidRPr="00B76F34" w:rsidTr="00CA5BC4">
        <w:trPr>
          <w:trHeight w:val="300"/>
        </w:trPr>
        <w:tc>
          <w:tcPr>
            <w:tcW w:w="1257" w:type="dxa"/>
            <w:vAlign w:val="bottom"/>
          </w:tcPr>
          <w:p w:rsidR="00011BBF" w:rsidRPr="00B76F34" w:rsidRDefault="00011BBF" w:rsidP="001522A2">
            <w:pPr>
              <w:rPr>
                <w:rFonts w:ascii="Arial" w:hAnsi="Arial" w:cs="Arial"/>
                <w:b/>
                <w:color w:val="000000"/>
                <w:szCs w:val="24"/>
              </w:rPr>
            </w:pPr>
            <w:r w:rsidRPr="00B76F34">
              <w:rPr>
                <w:rFonts w:ascii="Arial" w:hAnsi="Arial" w:cs="Arial"/>
                <w:b/>
                <w:color w:val="000000"/>
                <w:szCs w:val="24"/>
              </w:rPr>
              <w:t>SFC</w:t>
            </w:r>
          </w:p>
        </w:tc>
        <w:tc>
          <w:tcPr>
            <w:tcW w:w="8651" w:type="dxa"/>
            <w:vAlign w:val="bottom"/>
          </w:tcPr>
          <w:p w:rsidR="00011BBF" w:rsidRPr="00B76F34" w:rsidRDefault="00011BBF" w:rsidP="001522A2">
            <w:pPr>
              <w:rPr>
                <w:rFonts w:ascii="Arial" w:hAnsi="Arial" w:cs="Arial"/>
                <w:color w:val="000000"/>
                <w:szCs w:val="24"/>
              </w:rPr>
            </w:pPr>
            <w:r w:rsidRPr="00470397">
              <w:rPr>
                <w:rFonts w:ascii="Arial" w:hAnsi="Arial" w:cs="Arial"/>
                <w:color w:val="000000"/>
                <w:szCs w:val="24"/>
              </w:rPr>
              <w:t>Scottish Funding Council</w:t>
            </w:r>
          </w:p>
        </w:tc>
      </w:tr>
      <w:tr w:rsidR="00011BBF" w:rsidRPr="00B76F34" w:rsidTr="00CA5BC4">
        <w:trPr>
          <w:trHeight w:val="300"/>
        </w:trPr>
        <w:tc>
          <w:tcPr>
            <w:tcW w:w="1257" w:type="dxa"/>
            <w:vAlign w:val="bottom"/>
          </w:tcPr>
          <w:p w:rsidR="00011BBF" w:rsidRPr="00B76F34" w:rsidRDefault="00011BBF" w:rsidP="001522A2">
            <w:pPr>
              <w:rPr>
                <w:rFonts w:ascii="Arial" w:hAnsi="Arial" w:cs="Arial"/>
                <w:b/>
                <w:color w:val="000000"/>
                <w:szCs w:val="24"/>
              </w:rPr>
            </w:pPr>
            <w:r w:rsidRPr="00B76F34">
              <w:rPr>
                <w:rFonts w:ascii="Arial" w:hAnsi="Arial" w:cs="Arial"/>
                <w:b/>
                <w:color w:val="000000"/>
                <w:szCs w:val="24"/>
              </w:rPr>
              <w:t>SME</w:t>
            </w:r>
          </w:p>
        </w:tc>
        <w:tc>
          <w:tcPr>
            <w:tcW w:w="8651" w:type="dxa"/>
            <w:vAlign w:val="bottom"/>
          </w:tcPr>
          <w:p w:rsidR="00011BBF" w:rsidRPr="00470397" w:rsidRDefault="00011BBF" w:rsidP="001522A2">
            <w:pPr>
              <w:rPr>
                <w:rFonts w:ascii="Arial" w:hAnsi="Arial" w:cs="Arial"/>
                <w:color w:val="000000"/>
                <w:szCs w:val="24"/>
              </w:rPr>
            </w:pPr>
            <w:r w:rsidRPr="00470397">
              <w:rPr>
                <w:rFonts w:ascii="Arial" w:hAnsi="Arial" w:cs="Arial"/>
                <w:color w:val="000000"/>
                <w:szCs w:val="24"/>
              </w:rPr>
              <w:t>Small and Medium Sized Enterprises</w:t>
            </w:r>
          </w:p>
        </w:tc>
      </w:tr>
      <w:tr w:rsidR="00011BBF" w:rsidRPr="00B76F34" w:rsidTr="00CA5BC4">
        <w:trPr>
          <w:trHeight w:val="300"/>
        </w:trPr>
        <w:tc>
          <w:tcPr>
            <w:tcW w:w="1257" w:type="dxa"/>
            <w:vAlign w:val="bottom"/>
          </w:tcPr>
          <w:p w:rsidR="00011BBF" w:rsidRPr="00B76F34" w:rsidRDefault="00011BBF" w:rsidP="001522A2">
            <w:pPr>
              <w:rPr>
                <w:rFonts w:ascii="Arial" w:hAnsi="Arial" w:cs="Arial"/>
                <w:b/>
                <w:color w:val="000000"/>
                <w:szCs w:val="24"/>
              </w:rPr>
            </w:pPr>
            <w:r>
              <w:rPr>
                <w:rFonts w:ascii="Arial" w:hAnsi="Arial" w:cs="Arial"/>
                <w:b/>
                <w:color w:val="000000"/>
                <w:szCs w:val="24"/>
              </w:rPr>
              <w:t>STEM</w:t>
            </w:r>
          </w:p>
        </w:tc>
        <w:tc>
          <w:tcPr>
            <w:tcW w:w="8651" w:type="dxa"/>
            <w:vAlign w:val="bottom"/>
          </w:tcPr>
          <w:p w:rsidR="00011BBF" w:rsidRPr="00B76F34" w:rsidRDefault="00011BBF" w:rsidP="001522A2">
            <w:pPr>
              <w:rPr>
                <w:rFonts w:ascii="Arial" w:hAnsi="Arial" w:cs="Arial"/>
                <w:color w:val="000000"/>
                <w:szCs w:val="24"/>
              </w:rPr>
            </w:pPr>
            <w:r>
              <w:rPr>
                <w:rFonts w:ascii="Arial" w:hAnsi="Arial" w:cs="Arial"/>
                <w:color w:val="000000"/>
                <w:szCs w:val="24"/>
              </w:rPr>
              <w:t>Science, Technology, Engineering and Maths</w:t>
            </w:r>
          </w:p>
        </w:tc>
      </w:tr>
      <w:tr w:rsidR="00011BBF" w:rsidRPr="00B76F34" w:rsidTr="00CA5BC4">
        <w:trPr>
          <w:trHeight w:val="300"/>
        </w:trPr>
        <w:tc>
          <w:tcPr>
            <w:tcW w:w="1257" w:type="dxa"/>
            <w:vAlign w:val="bottom"/>
          </w:tcPr>
          <w:p w:rsidR="00011BBF" w:rsidRPr="00B76F34" w:rsidRDefault="00011BBF" w:rsidP="001522A2">
            <w:pPr>
              <w:rPr>
                <w:rFonts w:ascii="Arial" w:hAnsi="Arial" w:cs="Arial"/>
                <w:b/>
                <w:color w:val="000000"/>
                <w:szCs w:val="24"/>
              </w:rPr>
            </w:pPr>
            <w:r>
              <w:rPr>
                <w:rFonts w:ascii="Arial" w:hAnsi="Arial" w:cs="Arial"/>
                <w:b/>
                <w:color w:val="000000"/>
                <w:szCs w:val="24"/>
              </w:rPr>
              <w:t>STFC</w:t>
            </w:r>
          </w:p>
        </w:tc>
        <w:tc>
          <w:tcPr>
            <w:tcW w:w="8651" w:type="dxa"/>
            <w:vAlign w:val="bottom"/>
          </w:tcPr>
          <w:p w:rsidR="00011BBF" w:rsidRPr="00470397" w:rsidRDefault="00011BBF" w:rsidP="001522A2">
            <w:pPr>
              <w:rPr>
                <w:rFonts w:ascii="Arial" w:hAnsi="Arial" w:cs="Arial"/>
                <w:color w:val="000000"/>
                <w:szCs w:val="24"/>
              </w:rPr>
            </w:pPr>
            <w:r w:rsidRPr="00011BBF">
              <w:rPr>
                <w:rFonts w:ascii="Arial" w:hAnsi="Arial" w:cs="Arial"/>
                <w:color w:val="000000"/>
                <w:szCs w:val="24"/>
              </w:rPr>
              <w:t>Science and Technology Facilities Council</w:t>
            </w:r>
          </w:p>
        </w:tc>
      </w:tr>
      <w:tr w:rsidR="00011BBF" w:rsidRPr="00B76F34" w:rsidTr="00CA5BC4">
        <w:trPr>
          <w:trHeight w:val="300"/>
        </w:trPr>
        <w:tc>
          <w:tcPr>
            <w:tcW w:w="1257" w:type="dxa"/>
            <w:vAlign w:val="bottom"/>
          </w:tcPr>
          <w:p w:rsidR="00011BBF" w:rsidRDefault="00011BBF" w:rsidP="001522A2">
            <w:pPr>
              <w:rPr>
                <w:rFonts w:ascii="Arial" w:hAnsi="Arial" w:cs="Arial"/>
                <w:b/>
                <w:color w:val="000000"/>
                <w:szCs w:val="24"/>
              </w:rPr>
            </w:pPr>
            <w:r>
              <w:rPr>
                <w:rFonts w:ascii="Arial" w:hAnsi="Arial" w:cs="Arial"/>
                <w:b/>
                <w:color w:val="000000"/>
                <w:szCs w:val="24"/>
              </w:rPr>
              <w:t>TRL</w:t>
            </w:r>
          </w:p>
        </w:tc>
        <w:tc>
          <w:tcPr>
            <w:tcW w:w="8651" w:type="dxa"/>
            <w:vAlign w:val="bottom"/>
          </w:tcPr>
          <w:p w:rsidR="00011BBF" w:rsidRPr="00470397" w:rsidRDefault="00011BBF" w:rsidP="001522A2">
            <w:pPr>
              <w:rPr>
                <w:rFonts w:ascii="Arial" w:hAnsi="Arial" w:cs="Arial"/>
                <w:color w:val="000000"/>
                <w:szCs w:val="24"/>
              </w:rPr>
            </w:pPr>
            <w:r>
              <w:rPr>
                <w:rFonts w:ascii="Arial" w:hAnsi="Arial" w:cs="Arial"/>
                <w:color w:val="000000"/>
                <w:szCs w:val="24"/>
              </w:rPr>
              <w:t>Technology Readiness Level</w:t>
            </w:r>
          </w:p>
        </w:tc>
      </w:tr>
      <w:tr w:rsidR="005B3C1F" w:rsidRPr="00B76F34" w:rsidTr="00CA5BC4">
        <w:trPr>
          <w:trHeight w:val="300"/>
        </w:trPr>
        <w:tc>
          <w:tcPr>
            <w:tcW w:w="1257" w:type="dxa"/>
            <w:vAlign w:val="bottom"/>
          </w:tcPr>
          <w:p w:rsidR="005B3C1F" w:rsidRPr="00B76F34" w:rsidRDefault="005B3C1F" w:rsidP="001522A2">
            <w:pPr>
              <w:rPr>
                <w:rFonts w:ascii="Arial" w:hAnsi="Arial" w:cs="Arial"/>
                <w:b/>
                <w:color w:val="000000"/>
                <w:szCs w:val="24"/>
              </w:rPr>
            </w:pPr>
            <w:r>
              <w:rPr>
                <w:rFonts w:ascii="Arial" w:hAnsi="Arial" w:cs="Arial"/>
                <w:b/>
                <w:color w:val="000000"/>
                <w:szCs w:val="24"/>
              </w:rPr>
              <w:t>UKRI</w:t>
            </w:r>
          </w:p>
        </w:tc>
        <w:tc>
          <w:tcPr>
            <w:tcW w:w="8651" w:type="dxa"/>
            <w:vAlign w:val="bottom"/>
          </w:tcPr>
          <w:p w:rsidR="005B3C1F" w:rsidRPr="00470397" w:rsidRDefault="005B3C1F" w:rsidP="001522A2">
            <w:pPr>
              <w:rPr>
                <w:rFonts w:ascii="Arial" w:hAnsi="Arial" w:cs="Arial"/>
                <w:color w:val="000000"/>
                <w:szCs w:val="24"/>
              </w:rPr>
            </w:pPr>
            <w:r>
              <w:rPr>
                <w:rFonts w:ascii="Arial" w:hAnsi="Arial" w:cs="Arial"/>
                <w:color w:val="000000"/>
                <w:szCs w:val="24"/>
              </w:rPr>
              <w:t>UK Research and Innovation</w:t>
            </w:r>
          </w:p>
        </w:tc>
      </w:tr>
      <w:tr w:rsidR="00011BBF" w:rsidRPr="00B76F34" w:rsidTr="00CA5BC4">
        <w:trPr>
          <w:trHeight w:val="300"/>
        </w:trPr>
        <w:tc>
          <w:tcPr>
            <w:tcW w:w="1257" w:type="dxa"/>
            <w:vAlign w:val="bottom"/>
          </w:tcPr>
          <w:p w:rsidR="00011BBF" w:rsidRPr="00B76F34" w:rsidRDefault="00011BBF" w:rsidP="001522A2">
            <w:pPr>
              <w:rPr>
                <w:rFonts w:ascii="Arial" w:hAnsi="Arial" w:cs="Arial"/>
                <w:b/>
                <w:color w:val="000000"/>
                <w:szCs w:val="24"/>
              </w:rPr>
            </w:pPr>
            <w:r w:rsidRPr="00B76F34">
              <w:rPr>
                <w:rFonts w:ascii="Arial" w:hAnsi="Arial" w:cs="Arial"/>
                <w:b/>
                <w:color w:val="000000"/>
                <w:szCs w:val="24"/>
              </w:rPr>
              <w:t>UKRPIF</w:t>
            </w:r>
          </w:p>
        </w:tc>
        <w:tc>
          <w:tcPr>
            <w:tcW w:w="8651" w:type="dxa"/>
            <w:vAlign w:val="bottom"/>
          </w:tcPr>
          <w:p w:rsidR="00011BBF" w:rsidRPr="00B76F34" w:rsidRDefault="00011BBF" w:rsidP="001522A2">
            <w:pPr>
              <w:rPr>
                <w:rFonts w:ascii="Arial" w:hAnsi="Arial" w:cs="Arial"/>
                <w:color w:val="000000"/>
                <w:szCs w:val="24"/>
              </w:rPr>
            </w:pPr>
            <w:r w:rsidRPr="00470397">
              <w:rPr>
                <w:rFonts w:ascii="Arial" w:hAnsi="Arial" w:cs="Arial"/>
                <w:color w:val="000000"/>
                <w:szCs w:val="24"/>
              </w:rPr>
              <w:t>United Kingdom Research Partnership Investment Fund</w:t>
            </w:r>
          </w:p>
        </w:tc>
      </w:tr>
    </w:tbl>
    <w:p w:rsidR="00B84942" w:rsidRDefault="001522A2" w:rsidP="00924EA5">
      <w:pPr>
        <w:pStyle w:val="Belmana4normal"/>
      </w:pPr>
      <w:r>
        <w:t xml:space="preserve"> </w:t>
      </w:r>
      <w:r w:rsidR="00B84942">
        <w:br w:type="page"/>
      </w:r>
    </w:p>
    <w:p w:rsidR="00B84942" w:rsidRDefault="00B84942" w:rsidP="00E675FC">
      <w:pPr>
        <w:pStyle w:val="Belmana1"/>
      </w:pPr>
      <w:bookmarkStart w:id="7" w:name="_Toc499547995"/>
      <w:bookmarkStart w:id="8" w:name="_Toc514831632"/>
      <w:r>
        <w:t>Executive Summary</w:t>
      </w:r>
      <w:bookmarkEnd w:id="7"/>
      <w:bookmarkEnd w:id="8"/>
    </w:p>
    <w:p w:rsidR="00B84942" w:rsidRDefault="00B84942" w:rsidP="00B84942">
      <w:pPr>
        <w:pStyle w:val="Belmana2"/>
      </w:pPr>
      <w:bookmarkStart w:id="9" w:name="_Toc499547996"/>
      <w:bookmarkStart w:id="10" w:name="_Toc514831633"/>
      <w:r>
        <w:t>Purpose</w:t>
      </w:r>
      <w:bookmarkEnd w:id="9"/>
      <w:bookmarkEnd w:id="10"/>
    </w:p>
    <w:p w:rsidR="00616E8F" w:rsidRDefault="00B84942" w:rsidP="00616E8F">
      <w:pPr>
        <w:pStyle w:val="Belmananormal"/>
      </w:pPr>
      <w:r>
        <w:t xml:space="preserve">This </w:t>
      </w:r>
      <w:r w:rsidR="00EA3536">
        <w:t>r</w:t>
      </w:r>
      <w:r>
        <w:t xml:space="preserve">eport presents an independent, interim evaluation of the UK Research Partnership Investment Fund (UKRPIF) programme commissioned by </w:t>
      </w:r>
      <w:r w:rsidR="004D682B">
        <w:t xml:space="preserve">the former </w:t>
      </w:r>
      <w:r w:rsidRPr="00106B3F">
        <w:t>Higher Education Funding Council for England</w:t>
      </w:r>
      <w:r>
        <w:t xml:space="preserve"> (HEFCE</w:t>
      </w:r>
      <w:r w:rsidR="005B3C1F">
        <w:t>)</w:t>
      </w:r>
      <w:r>
        <w:t xml:space="preserve">. The </w:t>
      </w:r>
      <w:r w:rsidR="00EA3536">
        <w:t>r</w:t>
      </w:r>
      <w:r>
        <w:t xml:space="preserve">eport summarises the activities funded through UKRPIF grants and reviews the early outputs. The evaluation is based on evidence and data provided by </w:t>
      </w:r>
      <w:r w:rsidR="005B3C1F">
        <w:t>HEFCE</w:t>
      </w:r>
      <w:r w:rsidR="00616E8F">
        <w:t>,</w:t>
      </w:r>
      <w:r>
        <w:t xml:space="preserve"> and on a series of case studies which involved </w:t>
      </w:r>
      <w:r w:rsidR="00E21773">
        <w:t xml:space="preserve">a </w:t>
      </w:r>
      <w:r>
        <w:t>document</w:t>
      </w:r>
      <w:r w:rsidR="00E21773">
        <w:t xml:space="preserve"> review</w:t>
      </w:r>
      <w:r>
        <w:t xml:space="preserve">, interviews with key stakeholders and site visits. </w:t>
      </w:r>
      <w:r w:rsidR="005B3C1F">
        <w:t>Research England, a new council within UK Research and Innovation (UKRI) operating from April 2018, will continue to manage the UKRPIF.</w:t>
      </w:r>
    </w:p>
    <w:p w:rsidR="00B84942" w:rsidRDefault="00B84942" w:rsidP="004D5636">
      <w:pPr>
        <w:pStyle w:val="Belmananormal"/>
        <w:spacing w:after="60"/>
      </w:pPr>
      <w:r>
        <w:t>Progress has been assessed in accordance with the core objectives of the UKRPIF</w:t>
      </w:r>
      <w:r w:rsidR="00EA3536">
        <w:t>.</w:t>
      </w:r>
      <w:r>
        <w:t xml:space="preserve"> These </w:t>
      </w:r>
      <w:r w:rsidR="00E21773">
        <w:t xml:space="preserve">objectives </w:t>
      </w:r>
      <w:r>
        <w:t>are</w:t>
      </w:r>
      <w:r w:rsidR="00E21773">
        <w:t xml:space="preserve"> to</w:t>
      </w:r>
      <w:r>
        <w:t>:</w:t>
      </w:r>
    </w:p>
    <w:p w:rsidR="00B84942" w:rsidRPr="001D0D87" w:rsidRDefault="00B84942" w:rsidP="004D5636">
      <w:pPr>
        <w:numPr>
          <w:ilvl w:val="0"/>
          <w:numId w:val="12"/>
        </w:numPr>
        <w:shd w:val="clear" w:color="auto" w:fill="FFFFFF"/>
        <w:spacing w:after="60" w:line="240" w:lineRule="auto"/>
        <w:rPr>
          <w:rFonts w:ascii="Arial" w:eastAsia="Times New Roman" w:hAnsi="Arial" w:cs="Arial"/>
          <w:color w:val="222222"/>
          <w:lang w:eastAsia="en-GB"/>
        </w:rPr>
      </w:pPr>
      <w:r w:rsidRPr="001D0D87">
        <w:rPr>
          <w:rFonts w:ascii="Arial" w:eastAsia="Times New Roman" w:hAnsi="Arial" w:cs="Arial"/>
          <w:color w:val="222222"/>
          <w:lang w:eastAsia="en-GB"/>
        </w:rPr>
        <w:t xml:space="preserve">Enhance the research facilities of </w:t>
      </w:r>
      <w:r w:rsidR="003A4174" w:rsidRPr="0091626B">
        <w:rPr>
          <w:rFonts w:ascii="Arial" w:eastAsia="Times New Roman" w:hAnsi="Arial" w:cs="Arial"/>
          <w:color w:val="222222"/>
          <w:lang w:eastAsia="en-GB"/>
        </w:rPr>
        <w:t>Higher Education Institutions (</w:t>
      </w:r>
      <w:r w:rsidRPr="001D0D87">
        <w:rPr>
          <w:rFonts w:ascii="Arial" w:eastAsia="Times New Roman" w:hAnsi="Arial" w:cs="Arial"/>
          <w:color w:val="222222"/>
          <w:lang w:eastAsia="en-GB"/>
        </w:rPr>
        <w:t>HEIs</w:t>
      </w:r>
      <w:r w:rsidR="008C31F7">
        <w:rPr>
          <w:rFonts w:ascii="Arial" w:eastAsia="Times New Roman" w:hAnsi="Arial" w:cs="Arial"/>
          <w:color w:val="222222"/>
          <w:lang w:eastAsia="en-GB"/>
        </w:rPr>
        <w:t>)</w:t>
      </w:r>
      <w:r w:rsidRPr="001D0D87">
        <w:rPr>
          <w:rFonts w:ascii="Arial" w:eastAsia="Times New Roman" w:hAnsi="Arial" w:cs="Arial"/>
          <w:color w:val="222222"/>
          <w:lang w:eastAsia="en-GB"/>
        </w:rPr>
        <w:t xml:space="preserve"> und</w:t>
      </w:r>
      <w:r w:rsidR="00871716">
        <w:rPr>
          <w:rFonts w:ascii="Arial" w:eastAsia="Times New Roman" w:hAnsi="Arial" w:cs="Arial"/>
          <w:color w:val="222222"/>
          <w:lang w:eastAsia="en-GB"/>
        </w:rPr>
        <w:t>ertaking world-leading research;</w:t>
      </w:r>
    </w:p>
    <w:p w:rsidR="00B84942" w:rsidRPr="001D0D87" w:rsidRDefault="00B84942" w:rsidP="004D5636">
      <w:pPr>
        <w:numPr>
          <w:ilvl w:val="0"/>
          <w:numId w:val="12"/>
        </w:numPr>
        <w:shd w:val="clear" w:color="auto" w:fill="FFFFFF"/>
        <w:spacing w:after="60" w:line="240" w:lineRule="auto"/>
        <w:rPr>
          <w:rFonts w:ascii="Arial" w:eastAsia="Times New Roman" w:hAnsi="Arial" w:cs="Arial"/>
          <w:color w:val="222222"/>
          <w:lang w:eastAsia="en-GB"/>
        </w:rPr>
      </w:pPr>
      <w:r w:rsidRPr="001D0D87">
        <w:rPr>
          <w:rFonts w:ascii="Arial" w:eastAsia="Times New Roman" w:hAnsi="Arial" w:cs="Arial"/>
          <w:color w:val="222222"/>
          <w:lang w:eastAsia="en-GB"/>
        </w:rPr>
        <w:t>Encourage strategic partnerships between HEIs and other o</w:t>
      </w:r>
      <w:r w:rsidR="00871716">
        <w:rPr>
          <w:rFonts w:ascii="Arial" w:eastAsia="Times New Roman" w:hAnsi="Arial" w:cs="Arial"/>
          <w:color w:val="222222"/>
          <w:lang w:eastAsia="en-GB"/>
        </w:rPr>
        <w:t>rganisations active in research;</w:t>
      </w:r>
    </w:p>
    <w:p w:rsidR="00B84942" w:rsidRPr="001D0D87" w:rsidRDefault="00B84942" w:rsidP="004D5636">
      <w:pPr>
        <w:numPr>
          <w:ilvl w:val="0"/>
          <w:numId w:val="12"/>
        </w:numPr>
        <w:shd w:val="clear" w:color="auto" w:fill="FFFFFF"/>
        <w:spacing w:after="60" w:line="240" w:lineRule="auto"/>
        <w:rPr>
          <w:rFonts w:ascii="Arial" w:eastAsia="Times New Roman" w:hAnsi="Arial" w:cs="Arial"/>
          <w:color w:val="222222"/>
          <w:lang w:eastAsia="en-GB"/>
        </w:rPr>
      </w:pPr>
      <w:r w:rsidRPr="001D0D87">
        <w:rPr>
          <w:rFonts w:ascii="Arial" w:eastAsia="Times New Roman" w:hAnsi="Arial" w:cs="Arial"/>
          <w:color w:val="222222"/>
          <w:lang w:eastAsia="en-GB"/>
        </w:rPr>
        <w:t>Stimu</w:t>
      </w:r>
      <w:r w:rsidR="00605991">
        <w:rPr>
          <w:rFonts w:ascii="Arial" w:eastAsia="Times New Roman" w:hAnsi="Arial" w:cs="Arial"/>
          <w:color w:val="222222"/>
          <w:lang w:eastAsia="en-GB"/>
        </w:rPr>
        <w:t>late additional investment in higher education</w:t>
      </w:r>
      <w:r w:rsidR="00871716">
        <w:rPr>
          <w:rFonts w:ascii="Arial" w:eastAsia="Times New Roman" w:hAnsi="Arial" w:cs="Arial"/>
          <w:color w:val="222222"/>
          <w:lang w:eastAsia="en-GB"/>
        </w:rPr>
        <w:t xml:space="preserve"> research and</w:t>
      </w:r>
      <w:r w:rsidR="00EA3536">
        <w:rPr>
          <w:rFonts w:ascii="Arial" w:eastAsia="Times New Roman" w:hAnsi="Arial" w:cs="Arial"/>
          <w:color w:val="222222"/>
          <w:lang w:eastAsia="en-GB"/>
        </w:rPr>
        <w:t>;</w:t>
      </w:r>
    </w:p>
    <w:p w:rsidR="00B84942" w:rsidRPr="007B5FBA" w:rsidRDefault="00B84942" w:rsidP="008A4AAB">
      <w:pPr>
        <w:numPr>
          <w:ilvl w:val="0"/>
          <w:numId w:val="12"/>
        </w:numPr>
        <w:shd w:val="clear" w:color="auto" w:fill="FFFFFF"/>
        <w:spacing w:after="60" w:line="240" w:lineRule="auto"/>
        <w:rPr>
          <w:rFonts w:ascii="Arial" w:eastAsia="Times New Roman" w:hAnsi="Arial" w:cs="Arial"/>
          <w:color w:val="222222"/>
          <w:lang w:eastAsia="en-GB"/>
        </w:rPr>
      </w:pPr>
      <w:r w:rsidRPr="001D0D87">
        <w:rPr>
          <w:rFonts w:ascii="Arial" w:eastAsia="Times New Roman" w:hAnsi="Arial" w:cs="Arial"/>
          <w:color w:val="222222"/>
          <w:lang w:eastAsia="en-GB"/>
        </w:rPr>
        <w:t>Strengthen the contribution of the research base to economic growth.</w:t>
      </w:r>
    </w:p>
    <w:p w:rsidR="00B84942" w:rsidRDefault="00B84942" w:rsidP="00B84942">
      <w:pPr>
        <w:pStyle w:val="Belmana2"/>
      </w:pPr>
      <w:bookmarkStart w:id="11" w:name="_Toc499547998"/>
      <w:bookmarkStart w:id="12" w:name="_Toc514831634"/>
      <w:r>
        <w:t xml:space="preserve">Headline </w:t>
      </w:r>
      <w:r w:rsidR="009C3448">
        <w:t>f</w:t>
      </w:r>
      <w:r>
        <w:t>indings</w:t>
      </w:r>
      <w:bookmarkEnd w:id="11"/>
      <w:bookmarkEnd w:id="12"/>
      <w:r>
        <w:t xml:space="preserve"> </w:t>
      </w:r>
    </w:p>
    <w:p w:rsidR="00A07EA5" w:rsidRDefault="0041030C" w:rsidP="00A07EA5">
      <w:pPr>
        <w:pStyle w:val="Belmananormal"/>
      </w:pPr>
      <w:r>
        <w:t xml:space="preserve">The UKRPIF supported </w:t>
      </w:r>
      <w:r w:rsidR="00B524B4">
        <w:t>43 projects across</w:t>
      </w:r>
      <w:r w:rsidR="005B1373">
        <w:t xml:space="preserve"> the first</w:t>
      </w:r>
      <w:r w:rsidR="00B524B4">
        <w:t xml:space="preserve"> </w:t>
      </w:r>
      <w:r w:rsidR="00FA6942">
        <w:t>five</w:t>
      </w:r>
      <w:r w:rsidR="00B524B4">
        <w:t xml:space="preserve"> rounds of funding. In total, £681m was provided in UKRPIF grants against an initial committed co-investment of £1.67bn from private sector sources. </w:t>
      </w:r>
      <w:r w:rsidR="008A23D5">
        <w:t xml:space="preserve">As projects have matured, investment profiles have been revised and additional co-investment committed, </w:t>
      </w:r>
      <w:r w:rsidR="00DD7ED0">
        <w:t xml:space="preserve">with </w:t>
      </w:r>
      <w:r w:rsidR="008A23D5">
        <w:t xml:space="preserve">total </w:t>
      </w:r>
      <w:r w:rsidR="00DD7ED0">
        <w:t xml:space="preserve">committed funds reported to HEFCE amounting to £1.73bn by August 2017. </w:t>
      </w:r>
    </w:p>
    <w:p w:rsidR="00A56921" w:rsidRDefault="0041030C">
      <w:pPr>
        <w:pStyle w:val="Belmananormal"/>
      </w:pPr>
      <w:r>
        <w:t xml:space="preserve">The committed co-investment includes </w:t>
      </w:r>
      <w:r w:rsidR="00A07EA5">
        <w:t>almost £1bn of co-investment from industry partners</w:t>
      </w:r>
      <w:r>
        <w:t>,</w:t>
      </w:r>
      <w:r w:rsidR="00A07EA5">
        <w:t xml:space="preserve"> </w:t>
      </w:r>
      <w:r w:rsidR="008D26E3">
        <w:t>almost £330m from charitable organisations and over £400m from philanthropic donors.</w:t>
      </w:r>
    </w:p>
    <w:p w:rsidR="00B524B4" w:rsidRDefault="004F0373">
      <w:pPr>
        <w:pStyle w:val="Belmananormal"/>
      </w:pPr>
      <w:r>
        <w:t xml:space="preserve">There is an almost equal split between capital co-investment contributions (52%) and recurrent co-investment (48%). </w:t>
      </w:r>
      <w:r w:rsidR="00990628">
        <w:t>Round 1 of the UKRPIF saw significantly high</w:t>
      </w:r>
      <w:r w:rsidR="0041030C">
        <w:t>er</w:t>
      </w:r>
      <w:r w:rsidR="00990628">
        <w:t xml:space="preserve"> contributions of capital co-investment with later rounds </w:t>
      </w:r>
      <w:r>
        <w:t>reporting higher levels of recurrent co-i</w:t>
      </w:r>
      <w:r w:rsidR="00A07EA5">
        <w:t>nvestment for research projects.</w:t>
      </w:r>
    </w:p>
    <w:p w:rsidR="00A013AA" w:rsidRDefault="0041030C" w:rsidP="00E85F2D">
      <w:pPr>
        <w:pStyle w:val="Belmananormal"/>
      </w:pPr>
      <w:r>
        <w:t>T</w:t>
      </w:r>
      <w:r w:rsidR="00A013AA">
        <w:t xml:space="preserve">he construction of a </w:t>
      </w:r>
      <w:r w:rsidR="00476A2A">
        <w:t>Purpose-Built</w:t>
      </w:r>
      <w:r w:rsidR="00A013AA">
        <w:t xml:space="preserve"> Building (PBB)</w:t>
      </w:r>
      <w:r>
        <w:t xml:space="preserve"> formed part of 39 of the 43 projects</w:t>
      </w:r>
      <w:r w:rsidR="00A013AA">
        <w:t xml:space="preserve">. </w:t>
      </w:r>
      <w:r w:rsidR="00403E01">
        <w:t xml:space="preserve">UKRPIF contributed </w:t>
      </w:r>
      <w:r w:rsidR="004609F0">
        <w:t xml:space="preserve">£452m to projects where this was the primary purpose. </w:t>
      </w:r>
      <w:r w:rsidR="00757B89">
        <w:t xml:space="preserve">The projects involving the provision of such new </w:t>
      </w:r>
      <w:r w:rsidR="002A0FAF">
        <w:t>facilities</w:t>
      </w:r>
      <w:r w:rsidR="00757B89">
        <w:t xml:space="preserve"> also reported the highest share of private sector co-investment.</w:t>
      </w:r>
    </w:p>
    <w:p w:rsidR="00757B89" w:rsidRDefault="00757B89" w:rsidP="009A2542">
      <w:pPr>
        <w:pStyle w:val="Belmananormal"/>
      </w:pPr>
      <w:r w:rsidRPr="008C2E15">
        <w:t xml:space="preserve">Since the establishment of UKRPIF in 2012 until 2015-16, capital expenditure </w:t>
      </w:r>
      <w:r w:rsidR="0041030C">
        <w:t xml:space="preserve">by HEIs </w:t>
      </w:r>
      <w:r w:rsidRPr="008C2E15">
        <w:t>on non-residential buildings and equipment</w:t>
      </w:r>
      <w:r w:rsidR="0041030C">
        <w:t xml:space="preserve"> has amounted to a total of </w:t>
      </w:r>
      <w:r w:rsidR="0041030C" w:rsidRPr="008C2E15">
        <w:t>£6.2 billion</w:t>
      </w:r>
      <w:r w:rsidRPr="008C2E15">
        <w:t xml:space="preserve">. </w:t>
      </w:r>
      <w:r>
        <w:t xml:space="preserve">UKRPIF </w:t>
      </w:r>
      <w:r w:rsidRPr="008C2E15">
        <w:t>grants and matched co-investment from private partners</w:t>
      </w:r>
      <w:r>
        <w:t xml:space="preserve"> </w:t>
      </w:r>
      <w:r w:rsidR="0041030C">
        <w:t xml:space="preserve">account for </w:t>
      </w:r>
      <w:r w:rsidR="00BB5167">
        <w:t>approximately</w:t>
      </w:r>
      <w:r>
        <w:t xml:space="preserve"> a quarter</w:t>
      </w:r>
      <w:r w:rsidRPr="008C2E15">
        <w:t xml:space="preserve"> of that total expenditure on capital </w:t>
      </w:r>
      <w:r>
        <w:t>during this period</w:t>
      </w:r>
      <w:r w:rsidRPr="008C2E15">
        <w:t xml:space="preserve">. </w:t>
      </w:r>
    </w:p>
    <w:p w:rsidR="00A013AA" w:rsidRDefault="004609F0" w:rsidP="00E85F2D">
      <w:pPr>
        <w:pStyle w:val="Belmananormal"/>
      </w:pPr>
      <w:r>
        <w:t>Although the scheme is open to projects from all disciplines, t</w:t>
      </w:r>
      <w:r w:rsidR="00A013AA">
        <w:t>he projects supported were mainly STEM-focused</w:t>
      </w:r>
      <w:r w:rsidR="0041030C">
        <w:t xml:space="preserve"> and in </w:t>
      </w:r>
      <w:r w:rsidR="00A013AA">
        <w:t xml:space="preserve">disciplines </w:t>
      </w:r>
      <w:r w:rsidR="0041030C">
        <w:t xml:space="preserve">ranging across </w:t>
      </w:r>
      <w:r w:rsidR="00A013AA">
        <w:t xml:space="preserve">high-value manufacturing, engineering, clinical medicine, bio-medical research and fundamental research. Two projects in the latest round were identified as social science focused. </w:t>
      </w:r>
    </w:p>
    <w:p w:rsidR="00B84942" w:rsidRDefault="00B84942" w:rsidP="004D5636">
      <w:pPr>
        <w:pStyle w:val="Belmananormal"/>
        <w:spacing w:after="60"/>
      </w:pPr>
      <w:r>
        <w:t xml:space="preserve">Of the 15 projects that had submitted completion reports at the time of the evaluation, nine reported that more collaborations with other industries or </w:t>
      </w:r>
      <w:r w:rsidR="0041030C">
        <w:t xml:space="preserve">HEIs </w:t>
      </w:r>
      <w:r>
        <w:t xml:space="preserve">had been </w:t>
      </w:r>
      <w:r w:rsidR="0041030C">
        <w:t xml:space="preserve">one of the </w:t>
      </w:r>
      <w:r>
        <w:t>impact</w:t>
      </w:r>
      <w:r w:rsidR="0041030C">
        <w:t>s</w:t>
      </w:r>
      <w:r>
        <w:t xml:space="preserve"> of the project. More broadly, these projects reported on progress against the following themes:</w:t>
      </w:r>
    </w:p>
    <w:p w:rsidR="00674BC0" w:rsidRDefault="00B84942" w:rsidP="00CA5BC4">
      <w:pPr>
        <w:pStyle w:val="Belmananormal"/>
        <w:numPr>
          <w:ilvl w:val="0"/>
          <w:numId w:val="11"/>
        </w:numPr>
        <w:spacing w:after="60"/>
        <w:ind w:left="714" w:hanging="357"/>
      </w:pPr>
      <w:r>
        <w:t>Impact on market readiness (4 reported impact);</w:t>
      </w:r>
    </w:p>
    <w:p w:rsidR="00674BC0" w:rsidRDefault="00B84942" w:rsidP="00CA5BC4">
      <w:pPr>
        <w:pStyle w:val="Belmananormal"/>
        <w:numPr>
          <w:ilvl w:val="0"/>
          <w:numId w:val="11"/>
        </w:numPr>
        <w:spacing w:after="60"/>
        <w:ind w:left="714" w:hanging="357"/>
      </w:pPr>
      <w:r>
        <w:t>Research outputs (9 reported impact);</w:t>
      </w:r>
    </w:p>
    <w:p w:rsidR="00674BC0" w:rsidRDefault="00B84942" w:rsidP="00CA5BC4">
      <w:pPr>
        <w:pStyle w:val="Belmananormal"/>
        <w:numPr>
          <w:ilvl w:val="0"/>
          <w:numId w:val="11"/>
        </w:numPr>
        <w:spacing w:after="60"/>
        <w:ind w:left="714" w:hanging="357"/>
      </w:pPr>
      <w:r>
        <w:t>Student numbers (5 reported impact);</w:t>
      </w:r>
    </w:p>
    <w:p w:rsidR="00674BC0" w:rsidRDefault="00B84942" w:rsidP="00CA5BC4">
      <w:pPr>
        <w:pStyle w:val="Belmananormal"/>
        <w:numPr>
          <w:ilvl w:val="0"/>
          <w:numId w:val="11"/>
        </w:numPr>
        <w:spacing w:after="60"/>
        <w:ind w:left="714" w:hanging="357"/>
      </w:pPr>
      <w:r>
        <w:t xml:space="preserve">Impact on collaboration with </w:t>
      </w:r>
      <w:r w:rsidR="0041030C">
        <w:t xml:space="preserve">HEIs </w:t>
      </w:r>
      <w:r>
        <w:t>(5 reported impact);</w:t>
      </w:r>
    </w:p>
    <w:p w:rsidR="00674BC0" w:rsidRDefault="00B84942" w:rsidP="00CA5BC4">
      <w:pPr>
        <w:pStyle w:val="Belmananormal"/>
        <w:numPr>
          <w:ilvl w:val="0"/>
          <w:numId w:val="11"/>
        </w:numPr>
        <w:spacing w:after="60"/>
        <w:ind w:left="714" w:hanging="357"/>
      </w:pPr>
      <w:r>
        <w:t xml:space="preserve">Impact on collaboration with industry (7 reported impact); </w:t>
      </w:r>
      <w:r w:rsidRPr="00911024">
        <w:t>and</w:t>
      </w:r>
      <w:r>
        <w:rPr>
          <w:i/>
        </w:rPr>
        <w:t xml:space="preserve"> </w:t>
      </w:r>
    </w:p>
    <w:p w:rsidR="00B84942" w:rsidRDefault="00B84942" w:rsidP="008A4AAB">
      <w:pPr>
        <w:pStyle w:val="Belmananormal"/>
        <w:numPr>
          <w:ilvl w:val="0"/>
          <w:numId w:val="11"/>
        </w:numPr>
      </w:pPr>
      <w:r>
        <w:t xml:space="preserve">Impact on start-ups, spin-outs, or </w:t>
      </w:r>
      <w:r w:rsidR="0041030C">
        <w:t>s</w:t>
      </w:r>
      <w:r>
        <w:t xml:space="preserve">mall &amp; </w:t>
      </w:r>
      <w:r w:rsidR="0041030C">
        <w:t>m</w:t>
      </w:r>
      <w:r>
        <w:t xml:space="preserve">edium </w:t>
      </w:r>
      <w:r w:rsidR="0041030C">
        <w:t>s</w:t>
      </w:r>
      <w:r>
        <w:t xml:space="preserve">ized </w:t>
      </w:r>
      <w:r w:rsidR="0041030C">
        <w:t>e</w:t>
      </w:r>
      <w:r>
        <w:t>nterprises (SMEs).</w:t>
      </w:r>
    </w:p>
    <w:p w:rsidR="00B84942" w:rsidRDefault="00B84942" w:rsidP="00CA5BC4">
      <w:pPr>
        <w:pStyle w:val="BelmanaCS3"/>
      </w:pPr>
      <w:bookmarkStart w:id="13" w:name="_Toc499547999"/>
      <w:bookmarkStart w:id="14" w:name="_Toc514831635"/>
      <w:r>
        <w:t xml:space="preserve">Enhancing </w:t>
      </w:r>
      <w:r w:rsidR="009C3448">
        <w:t>r</w:t>
      </w:r>
      <w:r>
        <w:t xml:space="preserve">esearch </w:t>
      </w:r>
      <w:r w:rsidR="009C3448">
        <w:t>f</w:t>
      </w:r>
      <w:r w:rsidRPr="007A6C8D">
        <w:t>acilities</w:t>
      </w:r>
      <w:bookmarkEnd w:id="13"/>
      <w:bookmarkEnd w:id="14"/>
    </w:p>
    <w:p w:rsidR="00B84942" w:rsidRDefault="00B84942" w:rsidP="00B84942">
      <w:pPr>
        <w:pStyle w:val="Belmananormal"/>
      </w:pPr>
      <w:r>
        <w:t>The interim evaluation found that the UKRPIF is meeting its objectives to enhance research facilities and corroborated the earlier findings of the National Audit Office (NAO</w:t>
      </w:r>
      <w:r w:rsidR="00E85F2D">
        <w:t>, 2016</w:t>
      </w:r>
      <w:r>
        <w:t>) that the funded projects are on their way to provid</w:t>
      </w:r>
      <w:r w:rsidR="0041030C">
        <w:t>ing</w:t>
      </w:r>
      <w:r>
        <w:t xml:space="preserve"> positive economic impacts in addition to encouraging early research</w:t>
      </w:r>
      <w:r w:rsidR="00911024">
        <w:t xml:space="preserve"> outputs.</w:t>
      </w:r>
    </w:p>
    <w:p w:rsidR="00B84942" w:rsidRDefault="00B84942" w:rsidP="00B84942">
      <w:pPr>
        <w:pStyle w:val="Belmananormal"/>
      </w:pPr>
      <w:r>
        <w:t xml:space="preserve">The evaluation also found key changes in the operating models that have evolved alongside </w:t>
      </w:r>
      <w:r w:rsidR="00403E01">
        <w:t>novel approaches</w:t>
      </w:r>
      <w:r>
        <w:t xml:space="preserve"> to collaborations. These changes were enabled through the scope of </w:t>
      </w:r>
      <w:r w:rsidR="00403E01">
        <w:t>investment and</w:t>
      </w:r>
      <w:r>
        <w:t xml:space="preserve"> would not have been possible without the UKRPIF grant or the matched funding that was generated </w:t>
      </w:r>
      <w:r w:rsidR="008577D6">
        <w:t>because</w:t>
      </w:r>
      <w:r>
        <w:t xml:space="preserve"> the</w:t>
      </w:r>
      <w:r w:rsidR="009D274E">
        <w:t xml:space="preserve"> </w:t>
      </w:r>
      <w:r w:rsidR="008577D6">
        <w:t>UKRPIF required co-investment.</w:t>
      </w:r>
      <w:r>
        <w:t xml:space="preserve"> </w:t>
      </w:r>
    </w:p>
    <w:p w:rsidR="00023E33" w:rsidRDefault="00B84942" w:rsidP="00CA5BC4">
      <w:pPr>
        <w:pStyle w:val="BelmanaCS3"/>
      </w:pPr>
      <w:bookmarkStart w:id="15" w:name="_Toc499548000"/>
      <w:bookmarkStart w:id="16" w:name="_Toc514831636"/>
      <w:r>
        <w:t xml:space="preserve">Encouraging </w:t>
      </w:r>
      <w:r w:rsidR="009C3448">
        <w:t>s</w:t>
      </w:r>
      <w:r w:rsidRPr="007A6C8D">
        <w:t>trategic</w:t>
      </w:r>
      <w:r>
        <w:t xml:space="preserve"> </w:t>
      </w:r>
      <w:r w:rsidR="009C3448">
        <w:t>p</w:t>
      </w:r>
      <w:r>
        <w:t>artnerships</w:t>
      </w:r>
      <w:bookmarkEnd w:id="15"/>
      <w:r w:rsidR="00023E33">
        <w:t xml:space="preserve"> </w:t>
      </w:r>
      <w:bookmarkStart w:id="17" w:name="_Toc499548001"/>
      <w:r w:rsidR="00023E33">
        <w:t xml:space="preserve">and </w:t>
      </w:r>
      <w:r w:rsidR="009C3448">
        <w:t>s</w:t>
      </w:r>
      <w:r w:rsidR="00023E33">
        <w:t xml:space="preserve">timulating </w:t>
      </w:r>
      <w:r w:rsidR="009C3448">
        <w:t>a</w:t>
      </w:r>
      <w:r w:rsidR="00023E33">
        <w:t xml:space="preserve">dditional </w:t>
      </w:r>
      <w:r w:rsidR="009C3448">
        <w:t>i</w:t>
      </w:r>
      <w:r w:rsidR="00023E33" w:rsidRPr="007A6C8D">
        <w:t>nvestment</w:t>
      </w:r>
      <w:bookmarkEnd w:id="17"/>
      <w:bookmarkEnd w:id="16"/>
    </w:p>
    <w:p w:rsidR="00B84942" w:rsidRDefault="0034752E" w:rsidP="00B84942">
      <w:pPr>
        <w:pStyle w:val="Belmananormal"/>
      </w:pPr>
      <w:r>
        <w:t>C</w:t>
      </w:r>
      <w:r w:rsidR="00B84942">
        <w:t>ase studies and stakeholder consultation</w:t>
      </w:r>
      <w:r w:rsidR="00CA2FFA">
        <w:t>s</w:t>
      </w:r>
      <w:r w:rsidR="00B84942">
        <w:t xml:space="preserve"> </w:t>
      </w:r>
      <w:r w:rsidR="00CA2FFA">
        <w:t xml:space="preserve">provided </w:t>
      </w:r>
      <w:r w:rsidR="00B84942">
        <w:t xml:space="preserve">evidence that the UKRPIF is encouraging strategic partnerships between </w:t>
      </w:r>
      <w:r w:rsidR="00540772">
        <w:t>HEIs</w:t>
      </w:r>
      <w:r w:rsidR="00B84942">
        <w:t xml:space="preserve"> and other organisations, notably in industry. Additional findings indicate that the model has helped overcome barriers to collaboration also within industry, and that new intra-industry partnerships have been enabled </w:t>
      </w:r>
      <w:r w:rsidR="00023E33">
        <w:t>because of</w:t>
      </w:r>
      <w:r w:rsidR="00B84942">
        <w:t xml:space="preserve"> the new networks and infrastructure.</w:t>
      </w:r>
    </w:p>
    <w:p w:rsidR="00B84942" w:rsidRDefault="003B7B1A" w:rsidP="00B84942">
      <w:pPr>
        <w:pStyle w:val="Belmananormal"/>
      </w:pPr>
      <w:r>
        <w:t>A</w:t>
      </w:r>
      <w:r w:rsidR="00B84942">
        <w:t xml:space="preserve">nalysis of leveraged </w:t>
      </w:r>
      <w:r>
        <w:t xml:space="preserve">co-investment </w:t>
      </w:r>
      <w:r w:rsidR="00B84942">
        <w:t>show</w:t>
      </w:r>
      <w:r>
        <w:t>ed</w:t>
      </w:r>
      <w:r w:rsidR="00B84942">
        <w:t xml:space="preserve"> that the initial match-fund</w:t>
      </w:r>
      <w:r>
        <w:t>ing requirement</w:t>
      </w:r>
      <w:r w:rsidR="00B84942">
        <w:t xml:space="preserve"> has been exceeded</w:t>
      </w:r>
      <w:r w:rsidR="00F86C3D">
        <w:t xml:space="preserve"> for twelve UKRPIF projects</w:t>
      </w:r>
      <w:r w:rsidR="00B84942">
        <w:t xml:space="preserve">. In many cases industry partners have been </w:t>
      </w:r>
      <w:r>
        <w:t xml:space="preserve">providing </w:t>
      </w:r>
      <w:r w:rsidR="00B84942">
        <w:t xml:space="preserve">revenue funding </w:t>
      </w:r>
      <w:r>
        <w:t xml:space="preserve">for </w:t>
      </w:r>
      <w:r w:rsidR="00B84942">
        <w:t xml:space="preserve">continued research that would otherwise have been difficult to sustain, and the networks and strategic partnerships established appear to have resulted in a pooling of funds that would otherwise have been unlikely. </w:t>
      </w:r>
    </w:p>
    <w:p w:rsidR="00536768" w:rsidRDefault="00B84942" w:rsidP="00536768">
      <w:pPr>
        <w:pStyle w:val="Belmananormal"/>
      </w:pPr>
      <w:r>
        <w:t xml:space="preserve">Further, analysis of HESA data of capital investment </w:t>
      </w:r>
      <w:r w:rsidR="003B7B1A">
        <w:t xml:space="preserve">by </w:t>
      </w:r>
      <w:r>
        <w:t>UK HEIs show</w:t>
      </w:r>
      <w:r w:rsidR="003B7B1A">
        <w:t>ed</w:t>
      </w:r>
      <w:r>
        <w:t xml:space="preserve"> that UKRPIF and co-investment earmar</w:t>
      </w:r>
      <w:r w:rsidR="00A27F45">
        <w:t>ked for capital spend makes up about 25</w:t>
      </w:r>
      <w:r>
        <w:t>% of total capital expenditure</w:t>
      </w:r>
      <w:r w:rsidR="003B7B1A">
        <w:t>.</w:t>
      </w:r>
      <w:r>
        <w:t xml:space="preserve"> </w:t>
      </w:r>
      <w:r w:rsidR="003B7B1A">
        <w:t>S</w:t>
      </w:r>
      <w:r>
        <w:t xml:space="preserve">takeholders consulted consistently emphasised the difficulty </w:t>
      </w:r>
      <w:r w:rsidR="003B7B1A">
        <w:t xml:space="preserve">in </w:t>
      </w:r>
      <w:r>
        <w:t>finding the funds</w:t>
      </w:r>
      <w:r w:rsidR="00536768">
        <w:t xml:space="preserve"> to build, refurbish and equip faciliti</w:t>
      </w:r>
      <w:r w:rsidR="00C27535">
        <w:t>es</w:t>
      </w:r>
      <w:r w:rsidR="003B7B1A">
        <w:t xml:space="preserve"> that are</w:t>
      </w:r>
      <w:r w:rsidR="00C27535">
        <w:t xml:space="preserve"> </w:t>
      </w:r>
      <w:r w:rsidR="00536768">
        <w:t>essential</w:t>
      </w:r>
      <w:r>
        <w:t xml:space="preserve"> for modern research. </w:t>
      </w:r>
      <w:bookmarkStart w:id="18" w:name="_Toc499548002"/>
    </w:p>
    <w:p w:rsidR="00536768" w:rsidRDefault="00B84942" w:rsidP="00CA5BC4">
      <w:pPr>
        <w:pStyle w:val="BelmanaCS3"/>
      </w:pPr>
      <w:bookmarkStart w:id="19" w:name="_Toc514831637"/>
      <w:r>
        <w:t xml:space="preserve">Strengthening the </w:t>
      </w:r>
      <w:r w:rsidR="009C3448" w:rsidRPr="007A6C8D">
        <w:t>contribution</w:t>
      </w:r>
      <w:r w:rsidR="009C3448">
        <w:t xml:space="preserve"> </w:t>
      </w:r>
      <w:r>
        <w:t xml:space="preserve">of the </w:t>
      </w:r>
      <w:r w:rsidR="009C3448">
        <w:t xml:space="preserve">research base </w:t>
      </w:r>
      <w:r>
        <w:t xml:space="preserve">to </w:t>
      </w:r>
      <w:r w:rsidR="009C3448">
        <w:t>economic growth</w:t>
      </w:r>
      <w:bookmarkEnd w:id="18"/>
      <w:bookmarkEnd w:id="19"/>
    </w:p>
    <w:p w:rsidR="001B17C7" w:rsidRDefault="00B84942" w:rsidP="00536768">
      <w:pPr>
        <w:pStyle w:val="Belmananormal"/>
      </w:pPr>
      <w:r w:rsidRPr="0034579B">
        <w:t xml:space="preserve">The </w:t>
      </w:r>
      <w:r>
        <w:t>interim findings indicate positive impacts on the research community’s ability to contribute to wider innovation and business growth. Longer term</w:t>
      </w:r>
      <w:r w:rsidR="00536768">
        <w:t>,</w:t>
      </w:r>
      <w:r>
        <w:t xml:space="preserve"> it is not unreasonable to assume that job creation can be linked to the</w:t>
      </w:r>
      <w:r w:rsidR="003B7B1A">
        <w:t>se</w:t>
      </w:r>
      <w:r>
        <w:t xml:space="preserve"> developments and that this will have wider impacts on indirect job-creation and local supply chains. </w:t>
      </w:r>
      <w:r w:rsidR="00D146CA">
        <w:t xml:space="preserve">A framework for a full evaluation of UKRPIF will be developed by Research England in 2018. </w:t>
      </w:r>
    </w:p>
    <w:p w:rsidR="00D146CA" w:rsidRDefault="00D146CA" w:rsidP="00DA060C">
      <w:pPr>
        <w:pStyle w:val="Belmananormal"/>
        <w:numPr>
          <w:ilvl w:val="0"/>
          <w:numId w:val="0"/>
        </w:numPr>
      </w:pPr>
    </w:p>
    <w:p w:rsidR="00D146CA" w:rsidRDefault="00D146CA" w:rsidP="00DA060C">
      <w:pPr>
        <w:pStyle w:val="Belmananormal"/>
        <w:numPr>
          <w:ilvl w:val="0"/>
          <w:numId w:val="0"/>
        </w:numPr>
      </w:pPr>
    </w:p>
    <w:p w:rsidR="00D146CA" w:rsidRDefault="00D146CA" w:rsidP="00DA060C">
      <w:pPr>
        <w:pStyle w:val="Belmananormal"/>
        <w:numPr>
          <w:ilvl w:val="0"/>
          <w:numId w:val="0"/>
        </w:numPr>
      </w:pPr>
    </w:p>
    <w:p w:rsidR="00B84942" w:rsidRDefault="00B84942" w:rsidP="00DA060C">
      <w:pPr>
        <w:pStyle w:val="Belmananormal"/>
        <w:numPr>
          <w:ilvl w:val="0"/>
          <w:numId w:val="0"/>
        </w:numPr>
      </w:pPr>
    </w:p>
    <w:p w:rsidR="00FB072B" w:rsidRDefault="00FB072B" w:rsidP="007A6C8D">
      <w:pPr>
        <w:pStyle w:val="Belmananormal"/>
        <w:numPr>
          <w:ilvl w:val="0"/>
          <w:numId w:val="0"/>
        </w:numPr>
      </w:pPr>
      <w:bookmarkStart w:id="20" w:name="_Toc499548007"/>
    </w:p>
    <w:p w:rsidR="000600C2" w:rsidRDefault="000600C2">
      <w:pPr>
        <w:rPr>
          <w:rFonts w:ascii="Arial" w:eastAsiaTheme="majorEastAsia" w:hAnsi="Arial" w:cs="Arial"/>
          <w:b/>
          <w:color w:val="993365"/>
          <w:sz w:val="48"/>
          <w:szCs w:val="32"/>
        </w:rPr>
      </w:pPr>
      <w:r>
        <w:br w:type="page"/>
      </w:r>
    </w:p>
    <w:p w:rsidR="00B84942" w:rsidRPr="008C2E15" w:rsidRDefault="00B84942" w:rsidP="00E675FC">
      <w:pPr>
        <w:pStyle w:val="BelmanaHeadNumbered"/>
      </w:pPr>
      <w:bookmarkStart w:id="21" w:name="_Toc514831638"/>
      <w:r w:rsidRPr="00386CE3">
        <w:t>Introduction</w:t>
      </w:r>
      <w:bookmarkStart w:id="22" w:name="_Hlk494789074"/>
      <w:bookmarkEnd w:id="20"/>
      <w:bookmarkEnd w:id="21"/>
    </w:p>
    <w:p w:rsidR="007A6C8D" w:rsidRDefault="007A6C8D" w:rsidP="007A6C8D">
      <w:pPr>
        <w:pStyle w:val="Belmananormal"/>
        <w:numPr>
          <w:ilvl w:val="0"/>
          <w:numId w:val="22"/>
        </w:numPr>
      </w:pPr>
      <w:r>
        <w:t xml:space="preserve">The </w:t>
      </w:r>
      <w:r w:rsidR="00075CFA" w:rsidRPr="00075CFA">
        <w:t xml:space="preserve">United Kingdom Research Partnership Investment Fund </w:t>
      </w:r>
      <w:r w:rsidR="00075CFA">
        <w:t>(</w:t>
      </w:r>
      <w:r w:rsidRPr="008C2E15">
        <w:t>UKRPIF</w:t>
      </w:r>
      <w:r w:rsidR="00075CFA">
        <w:t>)</w:t>
      </w:r>
      <w:r w:rsidRPr="008C2E15">
        <w:t xml:space="preserve"> programme was established in 2012 to support large-scale capital investment in higher education research facilities. It is managed </w:t>
      </w:r>
      <w:r w:rsidR="00B20BB8">
        <w:t xml:space="preserve">by </w:t>
      </w:r>
      <w:r w:rsidR="00D146CA">
        <w:t>Research England (form</w:t>
      </w:r>
      <w:r w:rsidR="00B20BB8">
        <w:t>erly</w:t>
      </w:r>
      <w:r w:rsidR="00D146CA">
        <w:t xml:space="preserve"> </w:t>
      </w:r>
      <w:r w:rsidR="00EA3536">
        <w:t xml:space="preserve">the </w:t>
      </w:r>
      <w:r w:rsidRPr="007B5FBA">
        <w:t xml:space="preserve">Higher Education Funding Council for </w:t>
      </w:r>
      <w:r w:rsidR="00B20BB8">
        <w:t xml:space="preserve">England) </w:t>
      </w:r>
      <w:r w:rsidRPr="008C2E15">
        <w:t>in collaboration with the other three UK higher education funding bodies.</w:t>
      </w:r>
      <w:r w:rsidR="00D146CA">
        <w:t xml:space="preserve"> These are the Department for the Economy, Northern Ireland</w:t>
      </w:r>
      <w:r w:rsidR="00DD7ED0">
        <w:t xml:space="preserve"> (DfE),</w:t>
      </w:r>
      <w:r w:rsidR="00D146CA">
        <w:t xml:space="preserve"> the Higher Education Funding Council for Wales (HEFCW) and the Scottish Funding Council (SFC).</w:t>
      </w:r>
    </w:p>
    <w:p w:rsidR="00B84942" w:rsidRPr="008C2E15" w:rsidRDefault="00B84942" w:rsidP="00A92448">
      <w:pPr>
        <w:pStyle w:val="Belmananormal"/>
        <w:spacing w:after="60"/>
      </w:pPr>
      <w:r w:rsidRPr="008C2E15">
        <w:t xml:space="preserve">Under the UKRPIF scheme </w:t>
      </w:r>
      <w:r w:rsidR="00075CFA">
        <w:t>h</w:t>
      </w:r>
      <w:r w:rsidRPr="008C2E15">
        <w:t xml:space="preserve">igher </w:t>
      </w:r>
      <w:r w:rsidR="00075CFA">
        <w:t>e</w:t>
      </w:r>
      <w:r w:rsidRPr="008C2E15">
        <w:t xml:space="preserve">ducation </w:t>
      </w:r>
      <w:r w:rsidR="00075CFA">
        <w:t>i</w:t>
      </w:r>
      <w:r w:rsidRPr="008C2E15">
        <w:t>nstitutions (HEIs) can bid for funding between £10</w:t>
      </w:r>
      <w:r w:rsidR="00413913">
        <w:t>m</w:t>
      </w:r>
      <w:r w:rsidRPr="008C2E15">
        <w:t xml:space="preserve"> and £50</w:t>
      </w:r>
      <w:r w:rsidR="00413913">
        <w:t>m</w:t>
      </w:r>
      <w:r w:rsidRPr="008C2E15">
        <w:rPr>
          <w:rStyle w:val="FootnoteReference"/>
        </w:rPr>
        <w:footnoteReference w:id="1"/>
      </w:r>
      <w:r w:rsidRPr="008C2E15">
        <w:t xml:space="preserve"> to support capital projects on the basis that they leverage </w:t>
      </w:r>
      <w:r w:rsidR="00F967ED">
        <w:t xml:space="preserve">double the amount in </w:t>
      </w:r>
      <w:r w:rsidRPr="008C2E15">
        <w:t>match funding</w:t>
      </w:r>
      <w:r w:rsidR="00F967ED">
        <w:t xml:space="preserve"> </w:t>
      </w:r>
      <w:r w:rsidRPr="008C2E15">
        <w:t xml:space="preserve">from private sources. The fund is available to all </w:t>
      </w:r>
      <w:r>
        <w:t>H</w:t>
      </w:r>
      <w:r w:rsidR="00FB072B">
        <w:t>EIs</w:t>
      </w:r>
      <w:r>
        <w:t xml:space="preserve"> eligible for research funding</w:t>
      </w:r>
      <w:r w:rsidRPr="008C2E15">
        <w:t xml:space="preserve"> in the UK, subject to institutions demonstrating value for money and building on existing research excellence. </w:t>
      </w:r>
      <w:r>
        <w:t>The</w:t>
      </w:r>
      <w:r w:rsidRPr="008C2E15">
        <w:t xml:space="preserve"> proposals</w:t>
      </w:r>
      <w:r>
        <w:t xml:space="preserve"> are</w:t>
      </w:r>
      <w:r w:rsidRPr="008C2E15">
        <w:t xml:space="preserve"> assessed by an independent assessment panel </w:t>
      </w:r>
      <w:r>
        <w:t>in terms of t</w:t>
      </w:r>
      <w:r w:rsidRPr="008C2E15">
        <w:t>he objectives of the UKRPIF to:</w:t>
      </w:r>
    </w:p>
    <w:p w:rsidR="00B84942" w:rsidRPr="008C2E15" w:rsidRDefault="00B84942" w:rsidP="00A92448">
      <w:pPr>
        <w:pStyle w:val="Belmana4normal"/>
        <w:numPr>
          <w:ilvl w:val="0"/>
          <w:numId w:val="5"/>
        </w:numPr>
        <w:spacing w:after="60"/>
      </w:pPr>
      <w:r w:rsidRPr="008C2E15">
        <w:t>enhance the research facilities of HEIs undertaking world-leading research</w:t>
      </w:r>
      <w:r w:rsidR="00AB2DCD">
        <w:t>;</w:t>
      </w:r>
    </w:p>
    <w:p w:rsidR="00B84942" w:rsidRPr="008C2E15" w:rsidRDefault="00B84942" w:rsidP="00A92448">
      <w:pPr>
        <w:pStyle w:val="Belmana4normal"/>
        <w:numPr>
          <w:ilvl w:val="0"/>
          <w:numId w:val="5"/>
        </w:numPr>
        <w:spacing w:after="60"/>
      </w:pPr>
      <w:r w:rsidRPr="008C2E15">
        <w:t>encourage strategic partnerships between HEIs and other organisations active in research</w:t>
      </w:r>
      <w:r w:rsidR="00AB2DCD">
        <w:t>;</w:t>
      </w:r>
    </w:p>
    <w:p w:rsidR="00B84942" w:rsidRPr="008C2E15" w:rsidRDefault="00B84942" w:rsidP="00A92448">
      <w:pPr>
        <w:pStyle w:val="Belmana4normal"/>
        <w:numPr>
          <w:ilvl w:val="0"/>
          <w:numId w:val="5"/>
        </w:numPr>
        <w:spacing w:after="60"/>
      </w:pPr>
      <w:r w:rsidRPr="008C2E15">
        <w:t>stimulate additional investment in higher education research</w:t>
      </w:r>
      <w:r w:rsidR="00AB2DCD">
        <w:t>;</w:t>
      </w:r>
    </w:p>
    <w:p w:rsidR="00B84942" w:rsidRPr="008C2E15" w:rsidRDefault="00B84942" w:rsidP="008A4AAB">
      <w:pPr>
        <w:pStyle w:val="Belmana4normal"/>
        <w:numPr>
          <w:ilvl w:val="0"/>
          <w:numId w:val="5"/>
        </w:numPr>
      </w:pPr>
      <w:proofErr w:type="gramStart"/>
      <w:r w:rsidRPr="008C2E15">
        <w:t>strengthen</w:t>
      </w:r>
      <w:proofErr w:type="gramEnd"/>
      <w:r w:rsidRPr="008C2E15">
        <w:t xml:space="preserve"> the contribution of the research base to economic growth.</w:t>
      </w:r>
    </w:p>
    <w:bookmarkEnd w:id="22"/>
    <w:p w:rsidR="007641CC" w:rsidRDefault="00B84942" w:rsidP="00B84942">
      <w:pPr>
        <w:pStyle w:val="Belmananormal"/>
      </w:pPr>
      <w:r>
        <w:t>By the time of this evaluation,</w:t>
      </w:r>
      <w:r w:rsidRPr="008C2E15">
        <w:t xml:space="preserve"> 43 projects ha</w:t>
      </w:r>
      <w:r w:rsidR="00AB2DCD">
        <w:t>d</w:t>
      </w:r>
      <w:r w:rsidRPr="008C2E15">
        <w:t xml:space="preserve"> received over £68</w:t>
      </w:r>
      <w:r>
        <w:t>0</w:t>
      </w:r>
      <w:r w:rsidRPr="008C2E15">
        <w:t xml:space="preserve">m through UKRPIF, with </w:t>
      </w:r>
      <w:r w:rsidR="000600C2">
        <w:t xml:space="preserve">initial </w:t>
      </w:r>
      <w:r w:rsidRPr="008C2E15">
        <w:t>matched funds of £1.6</w:t>
      </w:r>
      <w:r w:rsidR="000600C2">
        <w:t>7</w:t>
      </w:r>
      <w:r w:rsidRPr="008C2E15">
        <w:t xml:space="preserve">bn from industry, charitable bodies and philanthropic organisations. </w:t>
      </w:r>
      <w:r w:rsidR="000600C2">
        <w:t xml:space="preserve">Additional co-investment has since been committed, with committed funds reported to </w:t>
      </w:r>
      <w:r w:rsidR="007304B2">
        <w:t>the</w:t>
      </w:r>
      <w:r w:rsidR="00B20BB8">
        <w:t xml:space="preserve"> </w:t>
      </w:r>
      <w:r w:rsidR="000600C2" w:rsidRPr="00EA10CA">
        <w:t>HEFCE amounting</w:t>
      </w:r>
      <w:r w:rsidR="000600C2">
        <w:t xml:space="preserve"> to £1.73bn by August 2017. </w:t>
      </w:r>
    </w:p>
    <w:p w:rsidR="00B84942" w:rsidRDefault="00B84942" w:rsidP="00B84942">
      <w:pPr>
        <w:pStyle w:val="Belmananormal"/>
      </w:pPr>
      <w:r w:rsidRPr="008C2E15">
        <w:t xml:space="preserve">During the </w:t>
      </w:r>
      <w:r w:rsidRPr="00873739">
        <w:t xml:space="preserve">first four </w:t>
      </w:r>
      <w:r w:rsidRPr="001039F9">
        <w:t>rounds of operation</w:t>
      </w:r>
      <w:r w:rsidR="00900DA4">
        <w:t>,</w:t>
      </w:r>
      <w:r w:rsidRPr="00011BBF">
        <w:t xml:space="preserve"> £450m of UKRPIF funding was allocated</w:t>
      </w:r>
      <w:r w:rsidRPr="008C2E15">
        <w:t xml:space="preserve"> to 32 projects, attracting over £1.2bn of investment from business and charities. In 2017, a further £229m of funding was awarded to </w:t>
      </w:r>
      <w:r w:rsidR="00FB072B">
        <w:t>eleven</w:t>
      </w:r>
      <w:r w:rsidRPr="008C2E15">
        <w:t xml:space="preserve"> projects as part of Round 5 of the scheme, leveraging in an additional £467m from private investment. Round 6 of the </w:t>
      </w:r>
      <w:r w:rsidR="00075CFA">
        <w:t xml:space="preserve">scheme </w:t>
      </w:r>
      <w:r w:rsidRPr="008C2E15">
        <w:t xml:space="preserve">was launched </w:t>
      </w:r>
      <w:r>
        <w:t>in</w:t>
      </w:r>
      <w:r w:rsidRPr="008C2E15">
        <w:t xml:space="preserve"> September 2017, with a further £220m </w:t>
      </w:r>
      <w:r w:rsidR="003A1021">
        <w:t xml:space="preserve">funding </w:t>
      </w:r>
      <w:r w:rsidRPr="008C2E15">
        <w:t>available to institutions</w:t>
      </w:r>
      <w:r w:rsidR="00EA3536">
        <w:t xml:space="preserve"> across 2020-21.</w:t>
      </w:r>
    </w:p>
    <w:p w:rsidR="00B84942" w:rsidRPr="008C2E15" w:rsidRDefault="00B84942" w:rsidP="00B84942">
      <w:pPr>
        <w:pStyle w:val="Belmana2"/>
      </w:pPr>
      <w:bookmarkStart w:id="24" w:name="_Toc514831639"/>
      <w:r>
        <w:t>Context of UK</w:t>
      </w:r>
      <w:r w:rsidR="00075CFA">
        <w:t>RPIF</w:t>
      </w:r>
      <w:bookmarkEnd w:id="24"/>
    </w:p>
    <w:p w:rsidR="00B84942" w:rsidRDefault="00B84942" w:rsidP="007A6C8D">
      <w:pPr>
        <w:pStyle w:val="Belmananormal"/>
      </w:pPr>
      <w:r>
        <w:t xml:space="preserve">The UKRPIF can be viewed as part of a range of investment funding </w:t>
      </w:r>
      <w:r w:rsidR="00075CFA">
        <w:t xml:space="preserve">for UK </w:t>
      </w:r>
      <w:r>
        <w:t>research both in HEI</w:t>
      </w:r>
      <w:r w:rsidR="00FB072B">
        <w:t>s</w:t>
      </w:r>
      <w:r>
        <w:t xml:space="preserve"> and in large</w:t>
      </w:r>
      <w:r w:rsidR="00075CFA">
        <w:t>-</w:t>
      </w:r>
      <w:r>
        <w:t>scale</w:t>
      </w:r>
      <w:r w:rsidR="00900DA4">
        <w:t xml:space="preserve"> and medium-scale</w:t>
      </w:r>
      <w:r>
        <w:t xml:space="preserve"> research facilities.</w:t>
      </w:r>
      <w:r w:rsidRPr="00841D7E">
        <w:t xml:space="preserve"> </w:t>
      </w:r>
    </w:p>
    <w:p w:rsidR="00B84942" w:rsidRDefault="00075CFA" w:rsidP="00FB072B">
      <w:pPr>
        <w:pStyle w:val="Belmananormal"/>
      </w:pPr>
      <w:r>
        <w:t xml:space="preserve">In the period from </w:t>
      </w:r>
      <w:r w:rsidR="00B84942" w:rsidRPr="008C2E15">
        <w:t xml:space="preserve">the establishment of UKRPIF in 2012 until 2015-16, capital expenditure </w:t>
      </w:r>
      <w:r>
        <w:t xml:space="preserve">by HEIs </w:t>
      </w:r>
      <w:r w:rsidR="00B84942" w:rsidRPr="008C2E15">
        <w:t>on non-residential buildings and equipment</w:t>
      </w:r>
      <w:r>
        <w:t xml:space="preserve"> was </w:t>
      </w:r>
      <w:r w:rsidRPr="008C2E15">
        <w:t>£6.2 billion</w:t>
      </w:r>
      <w:r w:rsidR="00B84942" w:rsidRPr="008C2E15">
        <w:t xml:space="preserve">. Figure 1 disaggregates </w:t>
      </w:r>
      <w:r>
        <w:t xml:space="preserve">this </w:t>
      </w:r>
      <w:r w:rsidR="00B84942" w:rsidRPr="008C2E15">
        <w:t xml:space="preserve">total capital spend between 2012-13 and 2015-16 on non-residential buildings and equipment. Total expenditure on buildings </w:t>
      </w:r>
      <w:r w:rsidR="00F967ED">
        <w:t xml:space="preserve">in this period </w:t>
      </w:r>
      <w:r w:rsidR="00B84942" w:rsidRPr="008C2E15">
        <w:t xml:space="preserve">came to </w:t>
      </w:r>
      <w:r w:rsidR="00FB072B">
        <w:t>approximately</w:t>
      </w:r>
      <w:r w:rsidR="00B84942" w:rsidRPr="008C2E15">
        <w:t xml:space="preserve"> £4.5bn while £1.75bn was spent on equipment.</w:t>
      </w:r>
      <w:r w:rsidR="00B84942">
        <w:t xml:space="preserve"> </w:t>
      </w:r>
      <w:r w:rsidR="00B84942" w:rsidRPr="008C2E15">
        <w:t xml:space="preserve">To provide a sense of </w:t>
      </w:r>
      <w:r w:rsidR="00F967ED">
        <w:t xml:space="preserve">the </w:t>
      </w:r>
      <w:r w:rsidR="00B84942" w:rsidRPr="008C2E15">
        <w:t>scale of the UKRPIF, th</w:t>
      </w:r>
      <w:r w:rsidR="00FB072B">
        <w:t>e</w:t>
      </w:r>
      <w:r w:rsidR="00B84942" w:rsidRPr="008C2E15">
        <w:t xml:space="preserve"> government grants and matched co-investment from private partners</w:t>
      </w:r>
      <w:r w:rsidR="00B84942">
        <w:t xml:space="preserve"> </w:t>
      </w:r>
      <w:r w:rsidR="00B84942" w:rsidRPr="008C2E15">
        <w:t xml:space="preserve">amount to </w:t>
      </w:r>
      <w:r w:rsidR="00BB5167">
        <w:t>approximately</w:t>
      </w:r>
      <w:r w:rsidR="00FB072B">
        <w:t xml:space="preserve"> a quarter</w:t>
      </w:r>
      <w:r w:rsidR="00B84942" w:rsidRPr="008C2E15">
        <w:t xml:space="preserve"> of that total </w:t>
      </w:r>
      <w:r w:rsidR="00F967ED">
        <w:t xml:space="preserve">capital </w:t>
      </w:r>
      <w:r w:rsidR="00B84942" w:rsidRPr="008C2E15">
        <w:t xml:space="preserve">expenditure between 2012-13 and 2015-16. </w:t>
      </w:r>
    </w:p>
    <w:tbl>
      <w:tblPr>
        <w:tblStyle w:val="TableGrid"/>
        <w:tblW w:w="0" w:type="auto"/>
        <w:tblLook w:val="04A0" w:firstRow="1" w:lastRow="0" w:firstColumn="1" w:lastColumn="0" w:noHBand="0" w:noVBand="1"/>
      </w:tblPr>
      <w:tblGrid>
        <w:gridCol w:w="9628"/>
      </w:tblGrid>
      <w:tr w:rsidR="006147F0" w:rsidRPr="008C2E15">
        <w:trPr>
          <w:trHeight w:val="20"/>
        </w:trPr>
        <w:tc>
          <w:tcPr>
            <w:tcW w:w="9628" w:type="dxa"/>
            <w:tcBorders>
              <w:top w:val="nil"/>
              <w:left w:val="nil"/>
              <w:bottom w:val="single" w:sz="4" w:space="0" w:color="993365"/>
              <w:right w:val="nil"/>
            </w:tcBorders>
          </w:tcPr>
          <w:p w:rsidR="003046C8" w:rsidRDefault="006147F0">
            <w:pPr>
              <w:pStyle w:val="BelmanaTableTitle"/>
            </w:pPr>
            <w:r w:rsidRPr="008C2E15">
              <w:t xml:space="preserve">Figure </w:t>
            </w:r>
            <w:fldSimple w:instr=" SEQ Figure \* ARABIC ">
              <w:r w:rsidR="002761B3">
                <w:rPr>
                  <w:noProof/>
                </w:rPr>
                <w:t>1</w:t>
              </w:r>
            </w:fldSimple>
            <w:r w:rsidRPr="008C2E15">
              <w:t xml:space="preserve">: Total </w:t>
            </w:r>
            <w:r w:rsidR="00873739">
              <w:t>N</w:t>
            </w:r>
            <w:r w:rsidR="00F967ED">
              <w:t>on-</w:t>
            </w:r>
            <w:r w:rsidR="00873739">
              <w:t>R</w:t>
            </w:r>
            <w:r w:rsidR="00F967ED">
              <w:t>esidential c</w:t>
            </w:r>
            <w:r w:rsidRPr="008C2E15">
              <w:t xml:space="preserve">apital </w:t>
            </w:r>
            <w:r w:rsidR="00F967ED">
              <w:t>e</w:t>
            </w:r>
            <w:r w:rsidRPr="008C2E15">
              <w:t>xpenditure</w:t>
            </w:r>
            <w:r w:rsidR="008B7BA8">
              <w:t xml:space="preserve"> </w:t>
            </w:r>
            <w:r w:rsidR="00F967ED">
              <w:t>on b</w:t>
            </w:r>
            <w:r w:rsidRPr="008C2E15">
              <w:t xml:space="preserve">uildings and </w:t>
            </w:r>
            <w:r w:rsidR="00F967ED">
              <w:t>e</w:t>
            </w:r>
            <w:r w:rsidRPr="008C2E15">
              <w:t>quipment 2012 to 2015 (£bn)</w:t>
            </w:r>
          </w:p>
        </w:tc>
      </w:tr>
      <w:tr w:rsidR="006147F0" w:rsidRPr="008C2E15">
        <w:tc>
          <w:tcPr>
            <w:tcW w:w="9628" w:type="dxa"/>
            <w:tcBorders>
              <w:top w:val="single" w:sz="4" w:space="0" w:color="993365"/>
              <w:left w:val="nil"/>
              <w:bottom w:val="single" w:sz="4" w:space="0" w:color="993365"/>
              <w:right w:val="nil"/>
            </w:tcBorders>
          </w:tcPr>
          <w:p w:rsidR="006147F0" w:rsidRPr="008C2E15" w:rsidRDefault="006147F0" w:rsidP="00C06BF2">
            <w:pPr>
              <w:pStyle w:val="Belmana2"/>
              <w:jc w:val="center"/>
            </w:pPr>
            <w:r w:rsidRPr="008C2E15">
              <w:rPr>
                <w:noProof/>
                <w:lang w:val="en-GB" w:eastAsia="en-GB"/>
              </w:rPr>
              <w:drawing>
                <wp:inline distT="0" distB="0" distL="0" distR="0">
                  <wp:extent cx="4572000" cy="1962150"/>
                  <wp:effectExtent l="0" t="0" r="0" b="0"/>
                  <wp:docPr id="29" name="Chart 29">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07832D8-6E80-4B29-9154-6EED8657D52B}"/>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4"/>
                    </a:graphicData>
                  </a:graphic>
                </wp:inline>
              </w:drawing>
            </w:r>
          </w:p>
        </w:tc>
      </w:tr>
    </w:tbl>
    <w:p w:rsidR="006147F0" w:rsidRPr="008C2E15" w:rsidRDefault="006147F0" w:rsidP="006147F0">
      <w:pPr>
        <w:pStyle w:val="Belmana4normal"/>
        <w:ind w:left="60"/>
        <w:rPr>
          <w:sz w:val="16"/>
          <w:szCs w:val="20"/>
        </w:rPr>
      </w:pPr>
      <w:r w:rsidRPr="008C2E15">
        <w:rPr>
          <w:sz w:val="16"/>
          <w:szCs w:val="20"/>
        </w:rPr>
        <w:t>Belmana’s own calculations using HESA Capital Expenditure Data.</w:t>
      </w:r>
    </w:p>
    <w:p w:rsidR="00D56BB0" w:rsidRDefault="008336C3" w:rsidP="00FB072B">
      <w:pPr>
        <w:pStyle w:val="Belmananormal"/>
      </w:pPr>
      <w:r>
        <w:t xml:space="preserve">While UKRPIF funds could only be invested in capital, co-investments could be made towards either capital or </w:t>
      </w:r>
      <w:r w:rsidR="004609F0">
        <w:t>recurrent costs</w:t>
      </w:r>
      <w:r w:rsidR="00003D0F">
        <w:t xml:space="preserve">, as long as the </w:t>
      </w:r>
      <w:r w:rsidR="00F967ED">
        <w:t xml:space="preserve">required </w:t>
      </w:r>
      <w:r w:rsidR="00003D0F">
        <w:t>double match</w:t>
      </w:r>
      <w:r w:rsidR="00F967ED">
        <w:t>-funding</w:t>
      </w:r>
      <w:r w:rsidR="00003D0F">
        <w:t xml:space="preserve"> was achieved. </w:t>
      </w:r>
      <w:r w:rsidR="00F967ED">
        <w:t xml:space="preserve">Analysis </w:t>
      </w:r>
      <w:r w:rsidR="00D56BB0">
        <w:t xml:space="preserve">of </w:t>
      </w:r>
      <w:r w:rsidR="00003D0F">
        <w:t xml:space="preserve">individual projects’ </w:t>
      </w:r>
      <w:r w:rsidR="005B1373">
        <w:t>management information</w:t>
      </w:r>
      <w:r w:rsidR="00003D0F">
        <w:t xml:space="preserve"> allowed a</w:t>
      </w:r>
      <w:r w:rsidR="00D56BB0">
        <w:t xml:space="preserve"> split between </w:t>
      </w:r>
      <w:r>
        <w:t>c</w:t>
      </w:r>
      <w:r w:rsidR="00D56BB0">
        <w:t xml:space="preserve">apital and </w:t>
      </w:r>
      <w:r w:rsidR="00F967ED">
        <w:t>recurrent (revenue) spending</w:t>
      </w:r>
      <w:r w:rsidR="00003D0F">
        <w:t xml:space="preserve">, though some judgements had to be made as recording was not always complete. From the </w:t>
      </w:r>
      <w:r w:rsidR="00D56BB0">
        <w:t xml:space="preserve">co-investment </w:t>
      </w:r>
      <w:r w:rsidR="00003D0F">
        <w:t xml:space="preserve">of </w:t>
      </w:r>
      <w:r w:rsidR="00D56BB0">
        <w:t>£1.</w:t>
      </w:r>
      <w:r w:rsidR="00A56921">
        <w:t>67</w:t>
      </w:r>
      <w:r w:rsidR="00D56BB0">
        <w:t>bn</w:t>
      </w:r>
      <w:r w:rsidR="00003D0F">
        <w:t>,</w:t>
      </w:r>
      <w:r w:rsidR="00D56BB0">
        <w:t xml:space="preserve"> over £800m went towards investment in buildings and equipment</w:t>
      </w:r>
      <w:r w:rsidR="00003D0F">
        <w:t xml:space="preserve">, with the remaining £900m </w:t>
      </w:r>
      <w:r w:rsidR="00F967ED">
        <w:t>on revenue expenditure</w:t>
      </w:r>
      <w:r w:rsidR="00D56BB0">
        <w:t>.</w:t>
      </w:r>
    </w:p>
    <w:tbl>
      <w:tblPr>
        <w:tblStyle w:val="TableGrid"/>
        <w:tblW w:w="0" w:type="auto"/>
        <w:tblLook w:val="04A0" w:firstRow="1" w:lastRow="0" w:firstColumn="1" w:lastColumn="0" w:noHBand="0" w:noVBand="1"/>
      </w:tblPr>
      <w:tblGrid>
        <w:gridCol w:w="9628"/>
      </w:tblGrid>
      <w:tr w:rsidR="006147F0" w:rsidRPr="008C2E15">
        <w:trPr>
          <w:trHeight w:val="20"/>
        </w:trPr>
        <w:tc>
          <w:tcPr>
            <w:tcW w:w="9628" w:type="dxa"/>
            <w:tcBorders>
              <w:top w:val="nil"/>
              <w:left w:val="nil"/>
              <w:bottom w:val="single" w:sz="4" w:space="0" w:color="993365"/>
              <w:right w:val="nil"/>
            </w:tcBorders>
          </w:tcPr>
          <w:p w:rsidR="003046C8" w:rsidRDefault="006147F0">
            <w:pPr>
              <w:pStyle w:val="BelmanaTableTitle"/>
            </w:pPr>
            <w:r w:rsidRPr="008C2E15">
              <w:t xml:space="preserve">Figure </w:t>
            </w:r>
            <w:r>
              <w:t>2</w:t>
            </w:r>
            <w:r w:rsidRPr="008C2E15">
              <w:t xml:space="preserve">: </w:t>
            </w:r>
            <w:r>
              <w:t>Split b</w:t>
            </w:r>
            <w:r w:rsidRPr="008C2E15">
              <w:t xml:space="preserve">etween </w:t>
            </w:r>
            <w:r>
              <w:t xml:space="preserve">capital and </w:t>
            </w:r>
            <w:r w:rsidR="00F967ED">
              <w:t xml:space="preserve">revenue </w:t>
            </w:r>
            <w:r>
              <w:t>expenditure in committed co-investment across Rounds 1-5</w:t>
            </w:r>
          </w:p>
        </w:tc>
      </w:tr>
      <w:tr w:rsidR="006147F0" w:rsidRPr="008C2E15">
        <w:tc>
          <w:tcPr>
            <w:tcW w:w="9628" w:type="dxa"/>
            <w:tcBorders>
              <w:top w:val="single" w:sz="4" w:space="0" w:color="993365"/>
              <w:left w:val="nil"/>
              <w:bottom w:val="single" w:sz="4" w:space="0" w:color="993365"/>
              <w:right w:val="nil"/>
            </w:tcBorders>
          </w:tcPr>
          <w:p w:rsidR="006147F0" w:rsidRPr="008C2E15" w:rsidRDefault="006147F0" w:rsidP="00C06BF2">
            <w:pPr>
              <w:pStyle w:val="Belmana2"/>
              <w:jc w:val="center"/>
            </w:pPr>
            <w:r>
              <w:rPr>
                <w:noProof/>
                <w:lang w:val="en-GB" w:eastAsia="en-GB"/>
              </w:rPr>
              <w:drawing>
                <wp:inline distT="0" distB="0" distL="0" distR="0">
                  <wp:extent cx="5543550" cy="2066925"/>
                  <wp:effectExtent l="0" t="0" r="0" b="0"/>
                  <wp:docPr id="25" name="Chart 25">
                    <a:extLst xmlns:a="http://schemas.openxmlformats.org/drawingml/2006/main">
                      <a:ext uri="{FF2B5EF4-FFF2-40B4-BE49-F238E27FC236}">
                        <a16:creationId xmlns:a16="http://schemas.microsoft.com/office/drawing/2014/main" xmlns:w16se="http://schemas.microsoft.com/office/word/2015/wordml/symex" xmlns:w16cid="http://schemas.microsoft.com/office/word/2016/wordml/cid" xmlns:w="http://schemas.openxmlformats.org/wordprocessingml/2006/main" xmlns:w10="urn:schemas-microsoft-com:office:word" xmlns:v="urn:schemas-microsoft-com:vml" xmlns:o="urn:schemas-microsoft-com:office:office"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xmlns="" id="{E1EBFA92-66F4-453F-B67F-F3F721961C56}"/>
                      </a:ext>
                    </a:extLst>
                  </wp:docPr>
                  <wp:cNvGraphicFramePr/>
                  <a:graphic xmlns:a="http://schemas.openxmlformats.org/drawingml/2006/main">
                    <a:graphicData uri="http://schemas.openxmlformats.org/drawingml/2006/chart">
                      <c:chart xmlns:c="http://schemas.openxmlformats.org/drawingml/2006/chart" xmlns:r="http://schemas.openxmlformats.org/officeDocument/2006/relationships" r:id="rId15"/>
                    </a:graphicData>
                  </a:graphic>
                </wp:inline>
              </w:drawing>
            </w:r>
          </w:p>
        </w:tc>
      </w:tr>
    </w:tbl>
    <w:p w:rsidR="006147F0" w:rsidRPr="008C2E15" w:rsidRDefault="006147F0" w:rsidP="006147F0">
      <w:pPr>
        <w:pStyle w:val="Belmana4normal"/>
        <w:ind w:left="60"/>
        <w:rPr>
          <w:sz w:val="16"/>
          <w:szCs w:val="20"/>
        </w:rPr>
      </w:pPr>
      <w:r w:rsidRPr="008C2E15">
        <w:rPr>
          <w:sz w:val="16"/>
          <w:szCs w:val="20"/>
        </w:rPr>
        <w:t xml:space="preserve">Belmana’s own calculations using </w:t>
      </w:r>
      <w:r>
        <w:rPr>
          <w:sz w:val="16"/>
          <w:szCs w:val="20"/>
        </w:rPr>
        <w:t>HEFCE Management Information</w:t>
      </w:r>
      <w:r w:rsidRPr="008C2E15">
        <w:rPr>
          <w:sz w:val="16"/>
          <w:szCs w:val="20"/>
        </w:rPr>
        <w:t>.</w:t>
      </w:r>
    </w:p>
    <w:p w:rsidR="005C3965" w:rsidRDefault="005C3965" w:rsidP="00FB072B">
      <w:pPr>
        <w:pStyle w:val="Belmananormal"/>
      </w:pPr>
      <w:r>
        <w:t xml:space="preserve">The split between capital and </w:t>
      </w:r>
      <w:r w:rsidR="00F967ED">
        <w:t xml:space="preserve">revenue spending </w:t>
      </w:r>
      <w:r>
        <w:t>varied between rounds</w:t>
      </w:r>
      <w:r w:rsidR="006147F0">
        <w:t xml:space="preserve">, with the earlier rounds having </w:t>
      </w:r>
      <w:r w:rsidR="008336C3">
        <w:t xml:space="preserve">a </w:t>
      </w:r>
      <w:r w:rsidR="006147F0">
        <w:t xml:space="preserve">higher proportion </w:t>
      </w:r>
      <w:r w:rsidR="008336C3">
        <w:t>towards</w:t>
      </w:r>
      <w:r w:rsidR="006147F0">
        <w:t xml:space="preserve"> capital expenditure. Round 1 was most prominent both in terms of absolute numbers and proportion, with an approximate £396m going towards capital investment. This constituted 75% of the co-investment committed from private sources </w:t>
      </w:r>
      <w:r w:rsidR="008336C3">
        <w:t xml:space="preserve">in </w:t>
      </w:r>
      <w:r w:rsidR="006147F0">
        <w:t>that round. In Round 2 46% of the co-investment went to investment in capital. Throug</w:t>
      </w:r>
      <w:r w:rsidR="00F967ED">
        <w:t>h</w:t>
      </w:r>
      <w:r w:rsidR="006147F0">
        <w:t xml:space="preserve"> Rounds 3-5</w:t>
      </w:r>
      <w:r w:rsidR="00F967ED">
        <w:t>,</w:t>
      </w:r>
      <w:r w:rsidR="006147F0">
        <w:t xml:space="preserve"> between 25</w:t>
      </w:r>
      <w:r w:rsidR="00F967ED">
        <w:t>%</w:t>
      </w:r>
      <w:r w:rsidR="006147F0">
        <w:t xml:space="preserve"> and 35% of the co-investment went towards such investment</w:t>
      </w:r>
      <w:r w:rsidR="008336C3">
        <w:t xml:space="preserve">, indicating </w:t>
      </w:r>
      <w:r w:rsidR="00F967ED">
        <w:t xml:space="preserve">that </w:t>
      </w:r>
      <w:r w:rsidR="008336C3">
        <w:t xml:space="preserve">co-investment </w:t>
      </w:r>
      <w:r w:rsidR="00F967ED">
        <w:t xml:space="preserve">was increasingly funding </w:t>
      </w:r>
      <w:r w:rsidR="008336C3">
        <w:t>research projects</w:t>
      </w:r>
      <w:r w:rsidR="006147F0">
        <w:t>.</w:t>
      </w:r>
    </w:p>
    <w:tbl>
      <w:tblPr>
        <w:tblStyle w:val="TableGrid"/>
        <w:tblW w:w="0" w:type="auto"/>
        <w:tblLook w:val="04A0" w:firstRow="1" w:lastRow="0" w:firstColumn="1" w:lastColumn="0" w:noHBand="0" w:noVBand="1"/>
      </w:tblPr>
      <w:tblGrid>
        <w:gridCol w:w="9628"/>
      </w:tblGrid>
      <w:tr w:rsidR="006147F0" w:rsidRPr="008C2E15">
        <w:trPr>
          <w:trHeight w:val="20"/>
        </w:trPr>
        <w:tc>
          <w:tcPr>
            <w:tcW w:w="9628" w:type="dxa"/>
            <w:tcBorders>
              <w:top w:val="nil"/>
              <w:left w:val="nil"/>
              <w:bottom w:val="single" w:sz="4" w:space="0" w:color="993365"/>
              <w:right w:val="nil"/>
            </w:tcBorders>
          </w:tcPr>
          <w:p w:rsidR="006147F0" w:rsidRPr="008C2E15" w:rsidRDefault="006147F0" w:rsidP="00C06BF2">
            <w:pPr>
              <w:pStyle w:val="BelmanaTableTitle"/>
            </w:pPr>
            <w:r w:rsidRPr="008C2E15">
              <w:t xml:space="preserve">Figure </w:t>
            </w:r>
            <w:r>
              <w:t>3</w:t>
            </w:r>
            <w:r w:rsidRPr="008C2E15">
              <w:t xml:space="preserve">: </w:t>
            </w:r>
            <w:r w:rsidR="00161844">
              <w:t>Co-</w:t>
            </w:r>
            <w:r w:rsidR="00F967ED">
              <w:t>i</w:t>
            </w:r>
            <w:r w:rsidR="00161844">
              <w:t xml:space="preserve">nvestment </w:t>
            </w:r>
            <w:r w:rsidR="00F967ED">
              <w:t>c</w:t>
            </w:r>
            <w:r w:rsidR="00161844">
              <w:t>ommitted by round broken down by investment type (£m)</w:t>
            </w:r>
          </w:p>
        </w:tc>
      </w:tr>
      <w:tr w:rsidR="006147F0" w:rsidRPr="008C2E15">
        <w:tc>
          <w:tcPr>
            <w:tcW w:w="9628" w:type="dxa"/>
            <w:tcBorders>
              <w:top w:val="single" w:sz="4" w:space="0" w:color="993365"/>
              <w:left w:val="nil"/>
              <w:bottom w:val="single" w:sz="4" w:space="0" w:color="993365"/>
              <w:right w:val="nil"/>
            </w:tcBorders>
          </w:tcPr>
          <w:p w:rsidR="006147F0" w:rsidRPr="008C2E15" w:rsidRDefault="002E15D4" w:rsidP="00C06BF2">
            <w:pPr>
              <w:pStyle w:val="Belmana2"/>
              <w:jc w:val="center"/>
            </w:pPr>
            <w:r>
              <w:rPr>
                <w:noProof/>
                <w:lang w:val="en-GB" w:eastAsia="en-GB"/>
              </w:rPr>
              <w:drawing>
                <wp:inline distT="0" distB="0" distL="0" distR="0" wp14:anchorId="1E4BF260">
                  <wp:extent cx="4572635" cy="2743200"/>
                  <wp:effectExtent l="0" t="0" r="0" b="0"/>
                  <wp:docPr id="135" name="Picture 13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4572635" cy="2743200"/>
                          </a:xfrm>
                          <a:prstGeom prst="rect">
                            <a:avLst/>
                          </a:prstGeom>
                          <a:noFill/>
                        </pic:spPr>
                      </pic:pic>
                    </a:graphicData>
                  </a:graphic>
                </wp:inline>
              </w:drawing>
            </w:r>
          </w:p>
        </w:tc>
      </w:tr>
    </w:tbl>
    <w:p w:rsidR="006147F0" w:rsidRPr="008C2E15" w:rsidRDefault="006147F0" w:rsidP="006147F0">
      <w:pPr>
        <w:pStyle w:val="Belmana4normal"/>
        <w:ind w:left="60"/>
        <w:rPr>
          <w:sz w:val="16"/>
          <w:szCs w:val="20"/>
        </w:rPr>
      </w:pPr>
      <w:r w:rsidRPr="008C2E15">
        <w:rPr>
          <w:sz w:val="16"/>
          <w:szCs w:val="20"/>
        </w:rPr>
        <w:t>Belmana’s own calculations using</w:t>
      </w:r>
      <w:r w:rsidR="00B20BB8">
        <w:rPr>
          <w:sz w:val="16"/>
          <w:szCs w:val="20"/>
        </w:rPr>
        <w:t xml:space="preserve"> Research England</w:t>
      </w:r>
      <w:r>
        <w:rPr>
          <w:sz w:val="16"/>
          <w:szCs w:val="20"/>
        </w:rPr>
        <w:t xml:space="preserve"> Management Information</w:t>
      </w:r>
      <w:r w:rsidRPr="008C2E15">
        <w:rPr>
          <w:sz w:val="16"/>
          <w:szCs w:val="20"/>
        </w:rPr>
        <w:t>.</w:t>
      </w:r>
    </w:p>
    <w:p w:rsidR="006147F0" w:rsidRDefault="006147F0" w:rsidP="009A2542">
      <w:pPr>
        <w:pStyle w:val="Belmananormal"/>
        <w:numPr>
          <w:ilvl w:val="0"/>
          <w:numId w:val="0"/>
        </w:numPr>
      </w:pPr>
    </w:p>
    <w:p w:rsidR="00D56BB0" w:rsidRPr="008C2E15" w:rsidRDefault="00D56BB0" w:rsidP="00FB072B">
      <w:pPr>
        <w:pStyle w:val="Belmananormal"/>
      </w:pPr>
      <w:r>
        <w:t xml:space="preserve">Around £900m of the committed co-investment was assessed as revenue expenditure </w:t>
      </w:r>
      <w:r w:rsidR="00D26492">
        <w:t xml:space="preserve">relating to </w:t>
      </w:r>
      <w:r>
        <w:t>research in different forms.</w:t>
      </w:r>
    </w:p>
    <w:p w:rsidR="00385A28" w:rsidRDefault="00B84942" w:rsidP="00743ADE">
      <w:pPr>
        <w:pStyle w:val="Belmananormal"/>
      </w:pPr>
      <w:r>
        <w:t xml:space="preserve">The UKRPIF has also been </w:t>
      </w:r>
      <w:r w:rsidR="00D26492">
        <w:t xml:space="preserve">analysed </w:t>
      </w:r>
      <w:r>
        <w:t>in relation to capital investment into sciences</w:t>
      </w:r>
      <w:r w:rsidR="00FB072B">
        <w:t xml:space="preserve"> more generally</w:t>
      </w:r>
      <w:r>
        <w:t xml:space="preserve">. </w:t>
      </w:r>
      <w:r w:rsidR="00D26492">
        <w:t xml:space="preserve">Alongside facility investment by </w:t>
      </w:r>
      <w:r w:rsidR="00FB072B">
        <w:t xml:space="preserve">HEIs, there is investment through </w:t>
      </w:r>
      <w:r w:rsidR="00883E13">
        <w:t xml:space="preserve">the </w:t>
      </w:r>
      <w:r w:rsidR="00FB072B">
        <w:t>Science and Technology Facilities Council</w:t>
      </w:r>
      <w:r w:rsidR="00883E13">
        <w:t xml:space="preserve"> (STFC)</w:t>
      </w:r>
      <w:r w:rsidR="00FB072B">
        <w:t xml:space="preserve"> into</w:t>
      </w:r>
      <w:r w:rsidR="00883E13">
        <w:t xml:space="preserve"> </w:t>
      </w:r>
      <w:r w:rsidR="00FB072B">
        <w:t>large-scale</w:t>
      </w:r>
      <w:r w:rsidR="00883E13">
        <w:t xml:space="preserve"> </w:t>
      </w:r>
      <w:r w:rsidR="00FB072B">
        <w:t xml:space="preserve">facilities </w:t>
      </w:r>
      <w:r w:rsidR="00385A28">
        <w:t xml:space="preserve">such as the </w:t>
      </w:r>
      <w:r w:rsidR="00385A28" w:rsidRPr="00385A28">
        <w:t>Diamond Light Source</w:t>
      </w:r>
      <w:r w:rsidR="00385A28">
        <w:t xml:space="preserve">, </w:t>
      </w:r>
      <w:r w:rsidR="00385A28" w:rsidRPr="00385A28">
        <w:t>the UK’s national synchrotron science facility located at Harwell</w:t>
      </w:r>
      <w:r w:rsidR="00385A28">
        <w:t>.</w:t>
      </w:r>
    </w:p>
    <w:p w:rsidR="00B84942" w:rsidRPr="008C2E15" w:rsidRDefault="00B84942">
      <w:pPr>
        <w:pStyle w:val="Belmananormal"/>
      </w:pPr>
      <w:r w:rsidRPr="008C2E15">
        <w:t>In 2016</w:t>
      </w:r>
      <w:r>
        <w:t>,</w:t>
      </w:r>
      <w:r w:rsidRPr="008C2E15">
        <w:t xml:space="preserve"> the National Audit Office (NAO) carried out a review of </w:t>
      </w:r>
      <w:r w:rsidR="00D26492">
        <w:t xml:space="preserve">capital investment by </w:t>
      </w:r>
      <w:r>
        <w:t>the Department for Business, Energy &amp; Industrial Strategy (</w:t>
      </w:r>
      <w:r w:rsidRPr="008C2E15">
        <w:t>BEIS</w:t>
      </w:r>
      <w:r>
        <w:t>)</w:t>
      </w:r>
      <w:r w:rsidRPr="008C2E15">
        <w:t xml:space="preserve"> in science projects. Eight UKRPIF projects</w:t>
      </w:r>
      <w:r w:rsidR="00AB2DCD">
        <w:t xml:space="preserve"> with bids approved between 2012 and 2014</w:t>
      </w:r>
      <w:r w:rsidRPr="008C2E15">
        <w:t xml:space="preserve"> were reviewed as part of this work. The review of the UKRPIF scheme was positive, concluding </w:t>
      </w:r>
      <w:r w:rsidRPr="001841BE">
        <w:t xml:space="preserve">that </w:t>
      </w:r>
      <w:r w:rsidRPr="00EA10CA">
        <w:t>HEFCE</w:t>
      </w:r>
      <w:r w:rsidRPr="008C2E15">
        <w:t xml:space="preserve"> had gained assurance that all projects were sustainable and would deliver</w:t>
      </w:r>
      <w:r>
        <w:t xml:space="preserve"> both</w:t>
      </w:r>
      <w:r w:rsidRPr="008C2E15">
        <w:t xml:space="preserve"> scientific and economic impacts. However, the NAO found that BEIS and the research councils d</w:t>
      </w:r>
      <w:r>
        <w:t>id</w:t>
      </w:r>
      <w:r w:rsidRPr="008C2E15">
        <w:t xml:space="preserve"> not have a common systematic framework for assessing whether operational projects are delivering expected benefits (NAO, 2016). </w:t>
      </w:r>
      <w:r>
        <w:t>In</w:t>
      </w:r>
      <w:r w:rsidRPr="008C2E15">
        <w:t xml:space="preserve"> response to the report’s recommendations, </w:t>
      </w:r>
      <w:bookmarkStart w:id="25" w:name="_Hlk506557477"/>
      <w:r w:rsidRPr="008C2E15">
        <w:t xml:space="preserve">BEIS </w:t>
      </w:r>
      <w:r w:rsidR="00F61A80">
        <w:t>(2017) provides</w:t>
      </w:r>
      <w:r w:rsidRPr="008C2E15">
        <w:t xml:space="preserve"> guidance for the appraisal and evaluation of science capital projects</w:t>
      </w:r>
      <w:bookmarkEnd w:id="25"/>
      <w:r w:rsidRPr="008C2E15">
        <w:t>.</w:t>
      </w:r>
    </w:p>
    <w:p w:rsidR="00B84942" w:rsidRPr="008C2E15" w:rsidRDefault="00B84942" w:rsidP="00743ADE">
      <w:pPr>
        <w:pStyle w:val="Belmananormal"/>
      </w:pPr>
      <w:r w:rsidRPr="008C2E15">
        <w:t xml:space="preserve">In 2016, </w:t>
      </w:r>
      <w:r w:rsidR="00B20BB8" w:rsidRPr="001841BE">
        <w:t xml:space="preserve">the </w:t>
      </w:r>
      <w:r w:rsidRPr="00EA10CA">
        <w:t>HEFCE commissioned</w:t>
      </w:r>
      <w:r w:rsidRPr="008C2E15">
        <w:t xml:space="preserve"> an independent audit of the UKRPIF projects. Its focus was on the allocation and monitoring of funds, and assuring</w:t>
      </w:r>
      <w:r w:rsidR="00F86C3D">
        <w:t xml:space="preserve"> receipt of</w:t>
      </w:r>
      <w:r w:rsidRPr="008C2E15">
        <w:t xml:space="preserve"> co-investment from the private sector</w:t>
      </w:r>
      <w:r w:rsidR="00F86C3D">
        <w:t xml:space="preserve"> </w:t>
      </w:r>
      <w:r w:rsidRPr="008C2E15">
        <w:t xml:space="preserve">(KMPG, 2016). </w:t>
      </w:r>
      <w:r w:rsidR="00F86C3D" w:rsidRPr="008C2E15">
        <w:t xml:space="preserve">It also </w:t>
      </w:r>
      <w:r w:rsidR="00F86C3D">
        <w:t>assessed</w:t>
      </w:r>
      <w:r w:rsidR="00F86C3D" w:rsidRPr="008C2E15">
        <w:t xml:space="preserve"> the financial effectiveness of the project</w:t>
      </w:r>
      <w:r w:rsidR="00F86C3D">
        <w:t>s</w:t>
      </w:r>
      <w:r w:rsidR="00F86C3D" w:rsidRPr="008C2E15">
        <w:t xml:space="preserve">, identifying areas of good practice and putting forward recommendations (to HEIs </w:t>
      </w:r>
      <w:r w:rsidR="00F86C3D" w:rsidRPr="001841BE">
        <w:t xml:space="preserve">and </w:t>
      </w:r>
      <w:r w:rsidR="00F86C3D" w:rsidRPr="00EA10CA">
        <w:t>HEFCE)</w:t>
      </w:r>
      <w:r w:rsidR="00F86C3D" w:rsidRPr="008C2E15">
        <w:t xml:space="preserve"> to improve future processes.</w:t>
      </w:r>
      <w:r w:rsidR="00F86C3D">
        <w:t xml:space="preserve"> </w:t>
      </w:r>
      <w:r w:rsidRPr="008C2E15">
        <w:t xml:space="preserve">The study noted </w:t>
      </w:r>
      <w:r w:rsidR="00D26492">
        <w:t xml:space="preserve">that </w:t>
      </w:r>
      <w:r w:rsidRPr="008C2E15">
        <w:t>project leaders were keen to have a review of the outputs from the academic research</w:t>
      </w:r>
      <w:r w:rsidR="00F86C3D">
        <w:t>,</w:t>
      </w:r>
      <w:r w:rsidRPr="008C2E15">
        <w:t xml:space="preserve"> and not solely the financial outcomes. </w:t>
      </w:r>
    </w:p>
    <w:p w:rsidR="00B84942" w:rsidRPr="008C2E15" w:rsidRDefault="00B84942" w:rsidP="00B84942">
      <w:pPr>
        <w:pStyle w:val="Belmana2"/>
      </w:pPr>
      <w:bookmarkStart w:id="26" w:name="_Toc499548009"/>
      <w:bookmarkStart w:id="27" w:name="_Toc514831640"/>
      <w:r w:rsidRPr="008C2E15">
        <w:t>Aim of UKRPIF interim evaluation</w:t>
      </w:r>
      <w:bookmarkEnd w:id="26"/>
      <w:bookmarkEnd w:id="27"/>
    </w:p>
    <w:p w:rsidR="00B84942" w:rsidRPr="008C2E15" w:rsidRDefault="00B84942" w:rsidP="00743ADE">
      <w:pPr>
        <w:pStyle w:val="Belmananormal"/>
      </w:pPr>
      <w:r w:rsidRPr="008C2E15">
        <w:t>This interim evaluation of the UKRPIF is partly a response to the NAO report and to the feedback received in the KPMG audit report. As part of</w:t>
      </w:r>
      <w:r w:rsidR="00F86C3D">
        <w:t xml:space="preserve"> Research England</w:t>
      </w:r>
      <w:r w:rsidRPr="008C2E15">
        <w:t xml:space="preserve">'s role on UKRPIF, it is responsible for monitoring progress and evaluating the success of the individual projects and the overall programme. An assessment of emerging project outputs and outcomes is required to support this role and to provide evidence to make the case for further investment in the scheme. Findings from this </w:t>
      </w:r>
      <w:r>
        <w:t xml:space="preserve">interim </w:t>
      </w:r>
      <w:r w:rsidRPr="008C2E15">
        <w:t xml:space="preserve">evaluation will be used to inform the development of a framework for a </w:t>
      </w:r>
      <w:r>
        <w:t>full</w:t>
      </w:r>
      <w:r w:rsidRPr="008C2E15">
        <w:t xml:space="preserve"> evaluation of the scheme which is currently being developed by </w:t>
      </w:r>
      <w:r w:rsidR="00883E13">
        <w:t>Research England.</w:t>
      </w:r>
      <w:r w:rsidRPr="008C2E15">
        <w:t xml:space="preserve"> </w:t>
      </w:r>
    </w:p>
    <w:p w:rsidR="00B84942" w:rsidRPr="008C2E15" w:rsidRDefault="00B84942" w:rsidP="00743ADE">
      <w:pPr>
        <w:pStyle w:val="Belmananormal"/>
      </w:pPr>
      <w:r w:rsidRPr="008C2E15">
        <w:t>The interim evaluation combines a review of project documents across the entire programme</w:t>
      </w:r>
      <w:r w:rsidR="002C16CF">
        <w:t xml:space="preserve"> with</w:t>
      </w:r>
      <w:r w:rsidRPr="008C2E15">
        <w:t xml:space="preserve"> five in-depth case studies of UKRPIF projects. Each strand of the report seeks evidence on how completed projects are meeting the objectives of the UKPRIF scheme and how the specific aims of each </w:t>
      </w:r>
      <w:r>
        <w:t xml:space="preserve">of these </w:t>
      </w:r>
      <w:r w:rsidRPr="008C2E15">
        <w:t>project</w:t>
      </w:r>
      <w:r>
        <w:t>s</w:t>
      </w:r>
      <w:r w:rsidRPr="008C2E15">
        <w:t xml:space="preserve"> are being achieved. The interim evaluation also reviews approaches to evaluating investments into research facilities, </w:t>
      </w:r>
      <w:r>
        <w:t>suggesting</w:t>
      </w:r>
      <w:r w:rsidRPr="008C2E15">
        <w:t xml:space="preserve"> a set of Key Performance Indicators (KPIs) that </w:t>
      </w:r>
      <w:r>
        <w:t>can</w:t>
      </w:r>
      <w:r w:rsidRPr="008C2E15">
        <w:t xml:space="preserve"> inform future work in this area.</w:t>
      </w:r>
    </w:p>
    <w:p w:rsidR="00B84942" w:rsidRDefault="00B84942" w:rsidP="00B84942">
      <w:pPr>
        <w:rPr>
          <w:rFonts w:ascii="Arial" w:eastAsiaTheme="majorEastAsia" w:hAnsi="Arial" w:cs="Arial"/>
          <w:b/>
          <w:bCs/>
          <w:color w:val="CE665F"/>
          <w:sz w:val="28"/>
          <w:szCs w:val="40"/>
        </w:rPr>
      </w:pPr>
      <w:bookmarkStart w:id="28" w:name="_Toc499548011"/>
      <w:r>
        <w:br w:type="page"/>
      </w:r>
    </w:p>
    <w:p w:rsidR="00BF0A44" w:rsidRDefault="00386CE3" w:rsidP="00E675FC">
      <w:pPr>
        <w:pStyle w:val="BelmanaHeadNumbered"/>
      </w:pPr>
      <w:bookmarkStart w:id="29" w:name="_Toc514831641"/>
      <w:r>
        <w:t xml:space="preserve">Approach to </w:t>
      </w:r>
      <w:r w:rsidR="00091598">
        <w:t>e</w:t>
      </w:r>
      <w:r>
        <w:t>valuation</w:t>
      </w:r>
      <w:bookmarkEnd w:id="28"/>
      <w:bookmarkEnd w:id="29"/>
    </w:p>
    <w:p w:rsidR="00C62046" w:rsidRPr="008C2E15" w:rsidRDefault="00F86C3D" w:rsidP="007A6C8D">
      <w:pPr>
        <w:pStyle w:val="Belmananormal"/>
        <w:numPr>
          <w:ilvl w:val="0"/>
          <w:numId w:val="23"/>
        </w:numPr>
      </w:pPr>
      <w:bookmarkStart w:id="30" w:name="_Toc499548012"/>
      <w:r>
        <w:t xml:space="preserve">The </w:t>
      </w:r>
      <w:r w:rsidR="00C62046">
        <w:t>UKRPIF</w:t>
      </w:r>
      <w:r w:rsidR="00C62046" w:rsidRPr="008C2E15">
        <w:t xml:space="preserve"> </w:t>
      </w:r>
      <w:r>
        <w:t>provides capital funding to develop</w:t>
      </w:r>
      <w:r w:rsidR="00C62046" w:rsidRPr="008C2E15">
        <w:t xml:space="preserve"> </w:t>
      </w:r>
      <w:r>
        <w:t>research</w:t>
      </w:r>
      <w:r w:rsidR="00C62046" w:rsidRPr="008C2E15">
        <w:t xml:space="preserve"> centres </w:t>
      </w:r>
      <w:r w:rsidR="002C16CF">
        <w:t>of</w:t>
      </w:r>
      <w:r w:rsidR="00C62046" w:rsidRPr="008C2E15">
        <w:t xml:space="preserve"> mid-sized scale, </w:t>
      </w:r>
      <w:r w:rsidR="00C62046">
        <w:t>focusing</w:t>
      </w:r>
      <w:r w:rsidR="00C62046" w:rsidRPr="008C2E15">
        <w:t xml:space="preserve"> on partnership with industr</w:t>
      </w:r>
      <w:r w:rsidR="00C62046">
        <w:t>y or charitable bodies and</w:t>
      </w:r>
      <w:r w:rsidR="00C62046" w:rsidRPr="008C2E15">
        <w:t xml:space="preserve"> on </w:t>
      </w:r>
      <w:r w:rsidR="002C16CF">
        <w:t xml:space="preserve">the </w:t>
      </w:r>
      <w:r w:rsidR="00C62046" w:rsidRPr="008C2E15">
        <w:t>translati</w:t>
      </w:r>
      <w:r w:rsidR="002C16CF">
        <w:t>on of</w:t>
      </w:r>
      <w:r w:rsidR="00C62046" w:rsidRPr="008C2E15">
        <w:t xml:space="preserve"> research outputs to commercial or social application. Successive </w:t>
      </w:r>
      <w:r w:rsidR="00CA5532">
        <w:t>p</w:t>
      </w:r>
      <w:r w:rsidR="00C62046" w:rsidRPr="008C2E15">
        <w:t>arliamentary reports and government policy documents have highlighted the UK’s excellent research base, but</w:t>
      </w:r>
      <w:r w:rsidR="00C62046">
        <w:t xml:space="preserve"> </w:t>
      </w:r>
      <w:r w:rsidR="002C16CF">
        <w:t xml:space="preserve">also </w:t>
      </w:r>
      <w:r w:rsidR="00C62046">
        <w:t xml:space="preserve">that </w:t>
      </w:r>
      <w:r w:rsidR="00C62046" w:rsidRPr="008C2E15">
        <w:t>t</w:t>
      </w:r>
      <w:r w:rsidR="00C62046">
        <w:t>he UK</w:t>
      </w:r>
      <w:r w:rsidR="00C62046" w:rsidRPr="008C2E15">
        <w:t xml:space="preserve"> fail</w:t>
      </w:r>
      <w:r w:rsidR="002C16CF">
        <w:t>s</w:t>
      </w:r>
      <w:r w:rsidR="00C62046" w:rsidRPr="008C2E15">
        <w:t xml:space="preserve"> to maximise </w:t>
      </w:r>
      <w:r w:rsidR="002C16CF">
        <w:t>this</w:t>
      </w:r>
      <w:r w:rsidR="00C62046" w:rsidRPr="008C2E15">
        <w:t xml:space="preserve"> potential </w:t>
      </w:r>
      <w:r w:rsidR="002C16CF">
        <w:t>to</w:t>
      </w:r>
      <w:r w:rsidR="00C62046" w:rsidRPr="008C2E15">
        <w:t xml:space="preserve"> translat</w:t>
      </w:r>
      <w:r w:rsidR="002C16CF">
        <w:t>e</w:t>
      </w:r>
      <w:r w:rsidR="00C62046" w:rsidRPr="008C2E15">
        <w:t xml:space="preserve"> research into wealth and health (HC, 2009; HC, 2010; HC 2011; HC 2013).</w:t>
      </w:r>
    </w:p>
    <w:p w:rsidR="00BF0A44" w:rsidRPr="008C2E15" w:rsidRDefault="00C62046" w:rsidP="00743ADE">
      <w:pPr>
        <w:pStyle w:val="Belmananormal"/>
      </w:pPr>
      <w:r>
        <w:t>L</w:t>
      </w:r>
      <w:r w:rsidR="00BF0A44" w:rsidRPr="008C2E15">
        <w:t xml:space="preserve">iterature on evaluating investment in research infrastructure has generally focused on establishing </w:t>
      </w:r>
      <w:r w:rsidR="00CA5532">
        <w:t xml:space="preserve">the </w:t>
      </w:r>
      <w:r w:rsidR="00BF0A44" w:rsidRPr="008C2E15">
        <w:t xml:space="preserve">value for money and economic impact of large-scale facilities. Empirical work on investment in mid-size infrastructure of national and regional significance is less common, with reviews often focusing on more qualitative aspects (e.g. Blumel et al, 2015, on </w:t>
      </w:r>
      <w:r w:rsidR="00CA5532">
        <w:t xml:space="preserve">institutes focusing on </w:t>
      </w:r>
      <w:r w:rsidR="00BF0A44" w:rsidRPr="008C2E15">
        <w:t xml:space="preserve">health science translation). </w:t>
      </w:r>
      <w:r w:rsidR="002C16CF">
        <w:t>T</w:t>
      </w:r>
      <w:r w:rsidR="00BF0A44" w:rsidRPr="008C2E15">
        <w:t>here ha</w:t>
      </w:r>
      <w:r w:rsidR="00BF0A44">
        <w:t>ve</w:t>
      </w:r>
      <w:r w:rsidR="00BF0A44" w:rsidRPr="008C2E15">
        <w:t xml:space="preserve"> </w:t>
      </w:r>
      <w:r w:rsidR="002C16CF">
        <w:t xml:space="preserve">also </w:t>
      </w:r>
      <w:r w:rsidR="00BF0A44" w:rsidRPr="008C2E15">
        <w:t>been several studies on the related area</w:t>
      </w:r>
      <w:r w:rsidR="00CA5532">
        <w:t>s</w:t>
      </w:r>
      <w:r w:rsidR="00BF0A44" w:rsidRPr="008C2E15">
        <w:t xml:space="preserve"> of knowledge exchange and the commercialisation of researc</w:t>
      </w:r>
      <w:r w:rsidR="003107F0">
        <w:t>h outputs. While such work focu</w:t>
      </w:r>
      <w:r w:rsidR="00BF0A44" w:rsidRPr="008C2E15">
        <w:t xml:space="preserve">ses less on the infrastructural aspects, exploring how universities facilitate commercialisation through dedicated offices or academic leadership, the studies cite the importance of equipment and facilities in the translation process (Ulrichsen et al, 2012). </w:t>
      </w:r>
    </w:p>
    <w:p w:rsidR="00BF0A44" w:rsidRPr="008C2E15" w:rsidRDefault="00BF0A44" w:rsidP="00743ADE">
      <w:pPr>
        <w:pStyle w:val="Belmananormal"/>
      </w:pPr>
      <w:r w:rsidRPr="008C2E15">
        <w:t xml:space="preserve">One issue is the extent to which the impacts observed are additional, over and above what would have happened anyway (“deadweight”). There is often also a concern that government investment relocates investment (“displacement”). </w:t>
      </w:r>
      <w:r w:rsidR="00F61A80">
        <w:t>In</w:t>
      </w:r>
      <w:r w:rsidR="00C703CC">
        <w:t xml:space="preserve"> evaluation, </w:t>
      </w:r>
      <w:r w:rsidRPr="008C2E15">
        <w:t>UK government policy has taken significant steps to improve the evidence about whether an assessment can attribute impacts to policy. Since the publication of the HM</w:t>
      </w:r>
      <w:r w:rsidR="00334BCE">
        <w:t xml:space="preserve"> </w:t>
      </w:r>
      <w:r w:rsidRPr="008C2E15">
        <w:t>T</w:t>
      </w:r>
      <w:r w:rsidR="00334BCE">
        <w:t>reasury</w:t>
      </w:r>
      <w:r w:rsidRPr="008C2E15">
        <w:t xml:space="preserve"> Green and Magenta Books, government departments have invested in data, methods and tools to improve policy evaluation in this area</w:t>
      </w:r>
      <w:r w:rsidR="00334BCE">
        <w:t xml:space="preserve"> (HMT, 2011a &amp; b)</w:t>
      </w:r>
      <w:r w:rsidRPr="008C2E15">
        <w:t xml:space="preserve">. </w:t>
      </w:r>
    </w:p>
    <w:p w:rsidR="00BF0A44" w:rsidRPr="008C2E15" w:rsidRDefault="00BF0A44" w:rsidP="00385A28">
      <w:pPr>
        <w:pStyle w:val="Belmana2"/>
      </w:pPr>
      <w:bookmarkStart w:id="31" w:name="_Toc499548015"/>
      <w:bookmarkStart w:id="32" w:name="_Toc514831642"/>
      <w:r w:rsidRPr="008C2E15">
        <w:t>Asse</w:t>
      </w:r>
      <w:r w:rsidR="00AC2FC8">
        <w:t>ssing additionality of research</w:t>
      </w:r>
      <w:r w:rsidRPr="008C2E15">
        <w:t xml:space="preserve"> investments</w:t>
      </w:r>
      <w:bookmarkEnd w:id="31"/>
      <w:bookmarkEnd w:id="32"/>
    </w:p>
    <w:p w:rsidR="00BF0A44" w:rsidRPr="008C2E15" w:rsidRDefault="00BF0A44" w:rsidP="00743ADE">
      <w:pPr>
        <w:pStyle w:val="Belmananormal"/>
      </w:pPr>
      <w:r w:rsidRPr="008C2E15">
        <w:t xml:space="preserve">The </w:t>
      </w:r>
      <w:r w:rsidR="00A9260A">
        <w:t xml:space="preserve">approach taken </w:t>
      </w:r>
      <w:r w:rsidR="002C16CF">
        <w:t>in</w:t>
      </w:r>
      <w:r w:rsidR="00A9260A">
        <w:t xml:space="preserve"> this study </w:t>
      </w:r>
      <w:r w:rsidR="00844E42">
        <w:t xml:space="preserve">builds on </w:t>
      </w:r>
      <w:r w:rsidRPr="008C2E15">
        <w:t xml:space="preserve">key contributions </w:t>
      </w:r>
      <w:r w:rsidR="002C16CF">
        <w:t>on the</w:t>
      </w:r>
      <w:r w:rsidRPr="008C2E15">
        <w:t xml:space="preserve"> evaluati</w:t>
      </w:r>
      <w:r w:rsidR="002C16CF">
        <w:t>on</w:t>
      </w:r>
      <w:r w:rsidRPr="008C2E15">
        <w:t xml:space="preserve"> (and the limits/difficulties of evaluati</w:t>
      </w:r>
      <w:r w:rsidR="002C16CF">
        <w:t>on</w:t>
      </w:r>
      <w:r w:rsidRPr="008C2E15">
        <w:t xml:space="preserve">) </w:t>
      </w:r>
      <w:r w:rsidR="002C16CF">
        <w:t xml:space="preserve">of </w:t>
      </w:r>
      <w:r w:rsidRPr="008C2E15">
        <w:t>capital projects.</w:t>
      </w:r>
      <w:r w:rsidR="006B258F">
        <w:t xml:space="preserve"> </w:t>
      </w:r>
      <w:r w:rsidRPr="008C2E15">
        <w:t>Roschow et al. (2011) developed a framework for evaluating publicly</w:t>
      </w:r>
      <w:r w:rsidR="00C703CC">
        <w:t xml:space="preserve"> </w:t>
      </w:r>
      <w:r w:rsidR="000052D7">
        <w:t>funded research infrastructure</w:t>
      </w:r>
      <w:r w:rsidRPr="008C2E15">
        <w:t xml:space="preserve"> of pan-European significance. It contributes to the understanding of the impact on </w:t>
      </w:r>
      <w:r w:rsidR="00D73B07">
        <w:t>learning and capacity of</w:t>
      </w:r>
      <w:r w:rsidRPr="008C2E15">
        <w:t xml:space="preserve"> operators</w:t>
      </w:r>
      <w:r w:rsidR="00C203D0">
        <w:t xml:space="preserve"> of the facilities</w:t>
      </w:r>
      <w:r w:rsidRPr="008C2E15">
        <w:t>,</w:t>
      </w:r>
      <w:r w:rsidR="00C203D0">
        <w:t xml:space="preserve"> their</w:t>
      </w:r>
      <w:r w:rsidRPr="008C2E15">
        <w:t xml:space="preserve"> suppliers and users, providing an exhaustive list of indicators to evaluate the success of publicly supported </w:t>
      </w:r>
      <w:r w:rsidR="00F2626B">
        <w:t>r</w:t>
      </w:r>
      <w:r w:rsidR="00CF65DC">
        <w:t xml:space="preserve">esearch </w:t>
      </w:r>
      <w:r w:rsidR="00F2626B">
        <w:t>i</w:t>
      </w:r>
      <w:r w:rsidR="00CF65DC">
        <w:t>nfrastructure</w:t>
      </w:r>
      <w:r w:rsidRPr="008C2E15">
        <w:t xml:space="preserve"> projects.</w:t>
      </w:r>
    </w:p>
    <w:p w:rsidR="00BF0A44" w:rsidRPr="008C2E15" w:rsidRDefault="00BF0A44" w:rsidP="00743ADE">
      <w:pPr>
        <w:pStyle w:val="Belmananormal"/>
      </w:pPr>
      <w:r w:rsidRPr="008C2E15">
        <w:t>Griniece et al (2015) divide</w:t>
      </w:r>
      <w:r w:rsidR="007D1373">
        <w:t>d</w:t>
      </w:r>
      <w:r w:rsidRPr="008C2E15">
        <w:t xml:space="preserve"> the impact logic of an investment </w:t>
      </w:r>
      <w:r w:rsidR="00C703CC">
        <w:t xml:space="preserve">in </w:t>
      </w:r>
      <w:r w:rsidR="00C703CC" w:rsidRPr="008C2E15">
        <w:t xml:space="preserve">research facilities </w:t>
      </w:r>
      <w:r w:rsidRPr="008C2E15">
        <w:t>into two main periods following Roschow et al. (2011): the design and construction phase; and the operational phase. They then detail</w:t>
      </w:r>
      <w:r w:rsidR="007D1373">
        <w:t>ed</w:t>
      </w:r>
      <w:r w:rsidRPr="008C2E15">
        <w:t xml:space="preserve"> the pathways from inputs to outputs</w:t>
      </w:r>
      <w:r w:rsidR="00071D33">
        <w:t>, and outputs</w:t>
      </w:r>
      <w:r w:rsidRPr="008C2E15">
        <w:t xml:space="preserve"> to outcomes</w:t>
      </w:r>
      <w:r w:rsidR="00071D33">
        <w:t>, which are mapped</w:t>
      </w:r>
      <w:r w:rsidRPr="008C2E15">
        <w:t xml:space="preserve"> to indicators of impacts. </w:t>
      </w:r>
      <w:r w:rsidR="007D1373">
        <w:t>T</w:t>
      </w:r>
      <w:r w:rsidRPr="008C2E15">
        <w:t>hey consider</w:t>
      </w:r>
      <w:r w:rsidR="007D1373">
        <w:t>ed</w:t>
      </w:r>
      <w:r w:rsidRPr="008C2E15">
        <w:t xml:space="preserve"> how specific design or technical requirements for scientific buildings or equipment </w:t>
      </w:r>
      <w:r w:rsidR="00071D33">
        <w:t>c</w:t>
      </w:r>
      <w:r w:rsidRPr="008C2E15">
        <w:t xml:space="preserve">an </w:t>
      </w:r>
      <w:r w:rsidR="00071D33">
        <w:t xml:space="preserve">have an </w:t>
      </w:r>
      <w:r w:rsidRPr="008C2E15">
        <w:t>impact on learning and skill</w:t>
      </w:r>
      <w:r w:rsidR="00071D33">
        <w:t>s</w:t>
      </w:r>
      <w:r w:rsidRPr="008C2E15">
        <w:t xml:space="preserve"> development amongst supplier firms, notably local (national) firms</w:t>
      </w:r>
      <w:r w:rsidR="007D1373">
        <w:t>, during the construction phase</w:t>
      </w:r>
      <w:r w:rsidRPr="008C2E15">
        <w:t xml:space="preserve">. This expands on simple multiplier modelling by seeking to understand a wider impact specific to </w:t>
      </w:r>
      <w:r w:rsidR="00B12DFE">
        <w:t>research infrastructure</w:t>
      </w:r>
      <w:r w:rsidRPr="008C2E15">
        <w:t xml:space="preserve"> construction.</w:t>
      </w:r>
    </w:p>
    <w:p w:rsidR="00BF0A44" w:rsidRPr="008C2E15" w:rsidRDefault="00BF0A44" w:rsidP="00743ADE">
      <w:pPr>
        <w:pStyle w:val="Belmananormal"/>
      </w:pPr>
      <w:r w:rsidRPr="008C2E15">
        <w:t xml:space="preserve">In the operational phase, the logic of impact </w:t>
      </w:r>
      <w:r w:rsidR="00C703CC">
        <w:t xml:space="preserve">is </w:t>
      </w:r>
      <w:r w:rsidRPr="008C2E15">
        <w:t>more complex. Broadly</w:t>
      </w:r>
      <w:r w:rsidR="00C703CC">
        <w:t>,</w:t>
      </w:r>
      <w:r w:rsidRPr="008C2E15">
        <w:t xml:space="preserve"> </w:t>
      </w:r>
      <w:r w:rsidR="00F61A80">
        <w:t>the</w:t>
      </w:r>
      <w:r w:rsidR="00C703CC">
        <w:t xml:space="preserve"> </w:t>
      </w:r>
      <w:r w:rsidRPr="008C2E15">
        <w:t xml:space="preserve">research moves beyond traditional economic impact measures (funding, jobs, and utilisation) by looking at indicators of human </w:t>
      </w:r>
      <w:r w:rsidR="00087838">
        <w:t>resource capability, innovation</w:t>
      </w:r>
      <w:r w:rsidRPr="008C2E15">
        <w:t xml:space="preserve"> and scientific activity. </w:t>
      </w:r>
      <w:r w:rsidR="00F61A80">
        <w:t>M</w:t>
      </w:r>
      <w:r w:rsidRPr="008C2E15">
        <w:t xml:space="preserve">easures may be the number of </w:t>
      </w:r>
      <w:r w:rsidR="00685861">
        <w:t xml:space="preserve">successful </w:t>
      </w:r>
      <w:r w:rsidRPr="008C2E15">
        <w:t>PhD, masters and other qualifications</w:t>
      </w:r>
      <w:r w:rsidR="00A31DBA">
        <w:t>,</w:t>
      </w:r>
      <w:r w:rsidRPr="008C2E15">
        <w:t xml:space="preserve"> and the employment prospects of the</w:t>
      </w:r>
      <w:r w:rsidR="00685861">
        <w:t xml:space="preserve"> qualification holder</w:t>
      </w:r>
      <w:r w:rsidRPr="008C2E15">
        <w:t xml:space="preserve">s. For innovation, the collaborative research projects progressed and the extent to which intellectual property has been developed </w:t>
      </w:r>
      <w:r w:rsidR="00C703CC">
        <w:t xml:space="preserve">are </w:t>
      </w:r>
      <w:r w:rsidRPr="008C2E15">
        <w:t xml:space="preserve">considered (patents, etc). The scientific impact is measured by the publications stemming from the </w:t>
      </w:r>
      <w:r w:rsidR="00C703CC">
        <w:t>research investment</w:t>
      </w:r>
      <w:r w:rsidRPr="008C2E15">
        <w:t>. Publications are often regarded as a measure of the creation of new scientific and technical knowledge which may have an impact on the scientific community. However, the link between research publications and economic impact is more tenuous.</w:t>
      </w:r>
    </w:p>
    <w:p w:rsidR="00BF0A44" w:rsidRPr="008C2E15" w:rsidRDefault="00BF0A44" w:rsidP="00743ADE">
      <w:pPr>
        <w:pStyle w:val="Belmananormal"/>
      </w:pPr>
      <w:r w:rsidRPr="008C2E15">
        <w:t>OECD (2014b) measure</w:t>
      </w:r>
      <w:r w:rsidR="00A34294">
        <w:t>d</w:t>
      </w:r>
      <w:r w:rsidRPr="008C2E15">
        <w:t xml:space="preserve"> the impact of the CERN large-scale laboratory on the economy and society, analysing the impacts qualitatively. Impacts were ca</w:t>
      </w:r>
      <w:r w:rsidR="00941C9B">
        <w:t>tegorised into themes ranging from</w:t>
      </w:r>
      <w:r w:rsidRPr="008C2E15">
        <w:t xml:space="preserve"> purely scientific impacts to direct or indirect economic impacts from building and operating the facil</w:t>
      </w:r>
      <w:r w:rsidR="004A03A6">
        <w:t>ity. The authors then perform</w:t>
      </w:r>
      <w:r w:rsidR="00CF65DC">
        <w:t>ed</w:t>
      </w:r>
      <w:r w:rsidR="004A03A6">
        <w:t xml:space="preserve"> an</w:t>
      </w:r>
      <w:r w:rsidRPr="008C2E15">
        <w:t xml:space="preserve"> exercise to choose which impacts should and </w:t>
      </w:r>
      <w:r w:rsidR="001222E0">
        <w:t xml:space="preserve">should </w:t>
      </w:r>
      <w:r w:rsidRPr="008C2E15">
        <w:t>not be analysed further</w:t>
      </w:r>
      <w:r w:rsidR="001222E0">
        <w:t>,</w:t>
      </w:r>
      <w:r w:rsidRPr="008C2E15">
        <w:t xml:space="preserve"> </w:t>
      </w:r>
      <w:r w:rsidR="00E378B4">
        <w:t xml:space="preserve">with that further analysis being undertaken </w:t>
      </w:r>
      <w:r w:rsidRPr="008C2E15">
        <w:t>through case studies. The authors chose to</w:t>
      </w:r>
      <w:r w:rsidR="00CF65DC">
        <w:t xml:space="preserve"> </w:t>
      </w:r>
      <w:r w:rsidR="00CF65DC" w:rsidRPr="008C2E15">
        <w:t>qualitatively</w:t>
      </w:r>
      <w:r w:rsidRPr="008C2E15">
        <w:t xml:space="preserve"> study the subjects they judged the most likely to stimulate additional wider benefits to society and the economy from innovative activity occurring within CERN.</w:t>
      </w:r>
    </w:p>
    <w:p w:rsidR="00BF0A44" w:rsidRPr="008C2E15" w:rsidRDefault="00BF0A44" w:rsidP="00743ADE">
      <w:pPr>
        <w:pStyle w:val="Belmananormal"/>
      </w:pPr>
      <w:r w:rsidRPr="008C2E15">
        <w:t>Frontier (2015) attempt</w:t>
      </w:r>
      <w:r w:rsidR="007D1373">
        <w:t>ed</w:t>
      </w:r>
      <w:r w:rsidRPr="008C2E15">
        <w:t xml:space="preserve"> to understand additional impacts from capital expenditure on the teaching, research and knowledge exchange activities at HEIs in the context of formula capital spending. Additionality is assessed by identifying a counterfactual outcome i.e. what would have happened anyway had an HEI invested a different amount of capital expenditure. Their approach was to perform a cross-sectional regression analysis to estimate the change in each outcome measure of interest (student numbers, research student numbers, etc.) as a function of capital investment (averaging over five and three years depending on the outcome evaluated), and other HEI characteristics. An issue with the analysis is that the relationship between the outcomes of interest and baseline capital investment is likely to be endogenous</w:t>
      </w:r>
      <w:r w:rsidR="00660A1E">
        <w:t>;</w:t>
      </w:r>
      <w:r w:rsidRPr="008C2E15">
        <w:t xml:space="preserve"> i.e. they cannot rule out reverse causality. Further, there may be problems due to omitted variable bias, such as </w:t>
      </w:r>
      <w:r w:rsidR="00936473">
        <w:t>not controlling for different higher education</w:t>
      </w:r>
      <w:r w:rsidRPr="008C2E15">
        <w:t xml:space="preserve"> policie</w:t>
      </w:r>
      <w:r w:rsidR="00C35CBF">
        <w:t>s which may have affected the</w:t>
      </w:r>
      <w:r w:rsidRPr="008C2E15">
        <w:t xml:space="preserve"> sector differentially. </w:t>
      </w:r>
    </w:p>
    <w:p w:rsidR="00BF0A44" w:rsidRPr="008C2E15" w:rsidRDefault="00BF0A44" w:rsidP="00743ADE">
      <w:pPr>
        <w:pStyle w:val="Belmananormal"/>
      </w:pPr>
      <w:r w:rsidRPr="008C2E15">
        <w:t>Frontier (2015) found that an increase in capital spending of £5</w:t>
      </w:r>
      <w:r w:rsidR="00413913">
        <w:t>m</w:t>
      </w:r>
      <w:r w:rsidRPr="008C2E15">
        <w:t xml:space="preserve"> over five years is associated with an increase of approximately 100 additional full-time equivalent (FTE) students. There is also evidence that this varies by institution type with a larger than average effect in institutions with a medical school and high research income and a smaller than average effect in specialist institutions. In addition, it was found that a rise in capital expenditure of £5</w:t>
      </w:r>
      <w:r w:rsidR="00413913">
        <w:t>m</w:t>
      </w:r>
      <w:r w:rsidRPr="008C2E15">
        <w:t xml:space="preserve"> over five years is associated with an increase of around £500k in additional income from consultancy and contract research. Further, an increase in capital spending of £3</w:t>
      </w:r>
      <w:r w:rsidR="00413913">
        <w:t>m</w:t>
      </w:r>
      <w:r w:rsidRPr="008C2E15">
        <w:t xml:space="preserve"> over three years is associated with an increase of approximately 13 additional research students in research-intensive institutions.</w:t>
      </w:r>
    </w:p>
    <w:p w:rsidR="00BF0A44" w:rsidRPr="008C2E15" w:rsidRDefault="00BF0A44" w:rsidP="00743ADE">
      <w:pPr>
        <w:pStyle w:val="Belmananormal"/>
      </w:pPr>
      <w:r w:rsidRPr="008C2E15">
        <w:t>Helmers and Overman (2017) analysed the impact of the establishment of a £380</w:t>
      </w:r>
      <w:r w:rsidR="00413913">
        <w:t>m</w:t>
      </w:r>
      <w:r w:rsidRPr="008C2E15">
        <w:t xml:space="preserve"> basic scientific research facility in the UK on the geographical distribution of related research. They investigate</w:t>
      </w:r>
      <w:r w:rsidR="003046C8">
        <w:t>d</w:t>
      </w:r>
      <w:r w:rsidRPr="008C2E15">
        <w:t xml:space="preserve"> whether the siting of the Diamond Light Source (a third-generation synchrotron light source) in Oxfordshire induced a clustering of related research in its geographic proximity. The novelty in the work is in identifying a comparable area, the `runner-up' site near Manchester. In terms of impact metrics, the research uses both academic publications and patent data to trace the geographical distribution of innovation, finding that the siting of the synchrotron in Oxfordshire created a highly localised cluster of related scientific research.</w:t>
      </w:r>
    </w:p>
    <w:p w:rsidR="00BF0A44" w:rsidRPr="008C2E15" w:rsidRDefault="00BF0A44" w:rsidP="00743ADE">
      <w:pPr>
        <w:pStyle w:val="Belmananormal"/>
      </w:pPr>
      <w:r w:rsidRPr="008C2E15">
        <w:t>The role of a university in technical change has matured as views of technology diffusion have changed. Hudson and Khazragu (2013) review</w:t>
      </w:r>
      <w:r w:rsidR="003046C8">
        <w:t>ed</w:t>
      </w:r>
      <w:r w:rsidRPr="008C2E15">
        <w:t xml:space="preserve"> the interaction between </w:t>
      </w:r>
      <w:r w:rsidR="003046C8">
        <w:t>HEI</w:t>
      </w:r>
      <w:r w:rsidRPr="008C2E15">
        <w:t xml:space="preserve">, industry and government and a more system-centred approach to innovation policy. They review the evidence from </w:t>
      </w:r>
      <w:r w:rsidR="00B20BB8">
        <w:t>the</w:t>
      </w:r>
      <w:r w:rsidR="00EA10CA">
        <w:t xml:space="preserve"> </w:t>
      </w:r>
      <w:r w:rsidRPr="00EA10CA">
        <w:t>HEFCE</w:t>
      </w:r>
      <w:r w:rsidRPr="008C2E15">
        <w:t xml:space="preserve"> </w:t>
      </w:r>
      <w:r w:rsidR="003046C8">
        <w:t>R</w:t>
      </w:r>
      <w:r w:rsidRPr="008C2E15">
        <w:t xml:space="preserve">esearch </w:t>
      </w:r>
      <w:r w:rsidR="003046C8">
        <w:t>E</w:t>
      </w:r>
      <w:r w:rsidRPr="008C2E15">
        <w:t xml:space="preserve">xcellence </w:t>
      </w:r>
      <w:r w:rsidR="003046C8">
        <w:t>A</w:t>
      </w:r>
      <w:r w:rsidRPr="008C2E15">
        <w:t>ssessments, seeking to understand what evidence of commercial success can be found there. Khazragu and Hudson (2014) develop</w:t>
      </w:r>
      <w:r w:rsidR="003046C8">
        <w:t>ed</w:t>
      </w:r>
      <w:r w:rsidRPr="008C2E15">
        <w:t xml:space="preserve"> the framework as a cost-benefit analysis</w:t>
      </w:r>
      <w:r w:rsidR="00723618">
        <w:t>,</w:t>
      </w:r>
      <w:r w:rsidRPr="008C2E15">
        <w:t xml:space="preserve"> highlighting measures that can support benefits valuation such as the licensing revenue from patents, the value of companies spun out by </w:t>
      </w:r>
      <w:r w:rsidR="003046C8">
        <w:t xml:space="preserve">HEIs </w:t>
      </w:r>
      <w:r w:rsidRPr="008C2E15">
        <w:t>as they commercialise activities and the leveraging of collaborations with industrial partners.</w:t>
      </w:r>
    </w:p>
    <w:p w:rsidR="00AE2944" w:rsidRPr="008C2E15" w:rsidRDefault="00C62046" w:rsidP="005A1B1D">
      <w:pPr>
        <w:pStyle w:val="Belmana2"/>
      </w:pPr>
      <w:bookmarkStart w:id="33" w:name="_Toc514831643"/>
      <w:r>
        <w:t xml:space="preserve">Our approach for the </w:t>
      </w:r>
      <w:r w:rsidR="002E7103">
        <w:t>evaluation</w:t>
      </w:r>
      <w:bookmarkEnd w:id="33"/>
      <w:r w:rsidR="00AE2944" w:rsidRPr="00AE2944">
        <w:t xml:space="preserve"> </w:t>
      </w:r>
    </w:p>
    <w:p w:rsidR="005D20C9" w:rsidRPr="00DA060C" w:rsidRDefault="005A13C5" w:rsidP="005D20C9">
      <w:pPr>
        <w:pStyle w:val="Belmananormal"/>
      </w:pPr>
      <w:r w:rsidRPr="003E606E">
        <w:t>Th</w:t>
      </w:r>
      <w:r w:rsidR="00BB5D3B" w:rsidRPr="003E606E">
        <w:t>is</w:t>
      </w:r>
      <w:r w:rsidRPr="003E606E">
        <w:t xml:space="preserve"> interim evaluation combines a review of project documents across the entire programme </w:t>
      </w:r>
      <w:r w:rsidR="00B344B2">
        <w:t xml:space="preserve">with </w:t>
      </w:r>
      <w:r w:rsidRPr="003E606E">
        <w:t>five in-depth case studies of UKRPIF projects.</w:t>
      </w:r>
      <w:r w:rsidR="0017206D" w:rsidRPr="004056B5">
        <w:t xml:space="preserve"> This follows </w:t>
      </w:r>
      <w:r w:rsidR="00AE2944" w:rsidRPr="003931EF">
        <w:t xml:space="preserve">OECD (2014b) </w:t>
      </w:r>
      <w:r w:rsidR="002A4FB0" w:rsidRPr="003931EF">
        <w:t>but, as it is an early evaluation</w:t>
      </w:r>
      <w:r w:rsidR="00BB5D3B" w:rsidRPr="003931EF">
        <w:t>,</w:t>
      </w:r>
      <w:r w:rsidR="002A4FB0" w:rsidRPr="003931EF">
        <w:t xml:space="preserve"> the approach can inform </w:t>
      </w:r>
      <w:r w:rsidR="00BB5D3B" w:rsidRPr="003931EF">
        <w:t>the focus of</w:t>
      </w:r>
      <w:r w:rsidR="002A4FB0" w:rsidRPr="003931EF">
        <w:t xml:space="preserve"> a future, full evaluation</w:t>
      </w:r>
      <w:r w:rsidR="00AE2944" w:rsidRPr="003931EF">
        <w:t>.</w:t>
      </w:r>
      <w:r w:rsidR="005D20C9" w:rsidRPr="00DA060C">
        <w:t xml:space="preserve"> </w:t>
      </w:r>
    </w:p>
    <w:p w:rsidR="005D20C9" w:rsidRPr="00DA060C" w:rsidRDefault="005D20C9" w:rsidP="005D20C9">
      <w:pPr>
        <w:pStyle w:val="Belmananormal"/>
      </w:pPr>
      <w:r w:rsidRPr="00DA060C">
        <w:t xml:space="preserve">The evaluation synthesises across different strands of information: a quantitative and desk-based review of management information provided by </w:t>
      </w:r>
      <w:r w:rsidR="00B20BB8">
        <w:t>Research England</w:t>
      </w:r>
      <w:r w:rsidRPr="00DA060C">
        <w:t xml:space="preserve">, and qualitative research through case studies of five completed projects. </w:t>
      </w:r>
    </w:p>
    <w:p w:rsidR="00C62046" w:rsidRPr="003E606E" w:rsidRDefault="005D20C9" w:rsidP="00D146CA">
      <w:pPr>
        <w:pStyle w:val="Belmananormal"/>
      </w:pPr>
      <w:r w:rsidRPr="00DA060C">
        <w:t>An initial literature review informed the development of a logic model structuring the intervention logic and expected outputs a</w:t>
      </w:r>
      <w:r w:rsidR="003E606E" w:rsidRPr="003E606E">
        <w:t xml:space="preserve">nd impacts. This </w:t>
      </w:r>
      <w:r w:rsidR="00B344B2">
        <w:t xml:space="preserve">in turn </w:t>
      </w:r>
      <w:r w:rsidR="003E606E" w:rsidRPr="003E606E">
        <w:t xml:space="preserve">informed the management </w:t>
      </w:r>
      <w:r w:rsidR="003E606E">
        <w:t>information</w:t>
      </w:r>
      <w:r w:rsidR="003E606E" w:rsidRPr="003E606E">
        <w:t xml:space="preserve"> </w:t>
      </w:r>
      <w:r w:rsidR="003E606E">
        <w:t>(MI)</w:t>
      </w:r>
      <w:r w:rsidRPr="00DA060C">
        <w:t xml:space="preserve"> analysis which looked at resource inputs of the programme and took cuts of the data looking at different breakdowns across the funded projects. The breakdown gave an overview of the types, sizes and locations of projects as well as their funding model, and served as the basis for the selection of case studies. The inputs analysis was followed by an assessment of emerging outputs reported, focusing on projects with completion reports. </w:t>
      </w:r>
    </w:p>
    <w:p w:rsidR="00B84942" w:rsidRPr="008C2E15" w:rsidRDefault="00B84942" w:rsidP="00CA5BC4">
      <w:pPr>
        <w:pStyle w:val="Belmana3"/>
        <w:numPr>
          <w:ilvl w:val="0"/>
          <w:numId w:val="20"/>
        </w:numPr>
      </w:pPr>
      <w:bookmarkStart w:id="34" w:name="_Toc514831644"/>
      <w:r>
        <w:t xml:space="preserve">Analysis of </w:t>
      </w:r>
      <w:r w:rsidR="00B344B2" w:rsidRPr="00CA5BC4">
        <w:t>m</w:t>
      </w:r>
      <w:r w:rsidRPr="00CA5BC4">
        <w:t>anagement</w:t>
      </w:r>
      <w:r>
        <w:t xml:space="preserve"> </w:t>
      </w:r>
      <w:bookmarkEnd w:id="30"/>
      <w:r w:rsidR="007746F8">
        <w:t>information</w:t>
      </w:r>
      <w:bookmarkEnd w:id="34"/>
      <w:r w:rsidR="007746F8">
        <w:t xml:space="preserve"> </w:t>
      </w:r>
    </w:p>
    <w:p w:rsidR="00B84942" w:rsidRPr="008C2E15" w:rsidRDefault="00B84942" w:rsidP="00A92448">
      <w:pPr>
        <w:pStyle w:val="Belmananormal"/>
        <w:spacing w:after="60"/>
      </w:pPr>
      <w:r w:rsidRPr="008C2E15">
        <w:t xml:space="preserve">A review of project documents has formed a key part of this interim evaluation. There are four distinct types of documents collected by </w:t>
      </w:r>
      <w:r w:rsidR="00B20BB8">
        <w:t>Research England</w:t>
      </w:r>
      <w:r w:rsidRPr="008C2E15">
        <w:t xml:space="preserve"> and the three funding bodies</w:t>
      </w:r>
      <w:r w:rsidR="00B344B2">
        <w:t>, as follows</w:t>
      </w:r>
      <w:r w:rsidRPr="008C2E15">
        <w:t xml:space="preserve">: </w:t>
      </w:r>
    </w:p>
    <w:p w:rsidR="00B84942" w:rsidRPr="008C2E15" w:rsidRDefault="00B84942" w:rsidP="00A92448">
      <w:pPr>
        <w:pStyle w:val="Belmana4normal"/>
        <w:numPr>
          <w:ilvl w:val="0"/>
          <w:numId w:val="2"/>
        </w:numPr>
        <w:spacing w:after="60"/>
        <w:ind w:left="714" w:hanging="357"/>
      </w:pPr>
      <w:r w:rsidRPr="000C1371">
        <w:rPr>
          <w:i/>
        </w:rPr>
        <w:t>Original bids</w:t>
      </w:r>
      <w:r w:rsidRPr="008C2E15">
        <w:t xml:space="preserve"> outline the business cases for each capital investment project. They indicate the projects’ intended outputs and outcomes. The documents provide proof of co-investment commitments from private partners, e</w:t>
      </w:r>
      <w:r w:rsidRPr="008C2E15">
        <w:rPr>
          <w:szCs w:val="21"/>
        </w:rPr>
        <w:t xml:space="preserve">states </w:t>
      </w:r>
      <w:r w:rsidR="00B344B2">
        <w:rPr>
          <w:szCs w:val="21"/>
        </w:rPr>
        <w:t xml:space="preserve">information </w:t>
      </w:r>
      <w:r w:rsidRPr="008C2E15">
        <w:rPr>
          <w:szCs w:val="21"/>
        </w:rPr>
        <w:t>and equipment information</w:t>
      </w:r>
      <w:r w:rsidRPr="008C2E15">
        <w:t>. They also inform the categorisation of the project in terms of capital investment type, discipline of the research, and type of co-investment partner.</w:t>
      </w:r>
    </w:p>
    <w:p w:rsidR="00B84942" w:rsidRPr="008C2E15" w:rsidRDefault="00B84942" w:rsidP="00A92448">
      <w:pPr>
        <w:pStyle w:val="Belmana4normal"/>
        <w:numPr>
          <w:ilvl w:val="0"/>
          <w:numId w:val="2"/>
        </w:numPr>
        <w:spacing w:after="60"/>
        <w:ind w:left="714" w:hanging="357"/>
      </w:pPr>
      <w:r w:rsidRPr="00A240DA">
        <w:rPr>
          <w:i/>
        </w:rPr>
        <w:t>Monitoring returns (quarterly and annual)</w:t>
      </w:r>
      <w:r w:rsidRPr="008C2E15">
        <w:t xml:space="preserve"> provide summaries of the progress in delivering the investment funded by UKRPIF, payments received from co-investors and procurement information for the projects.</w:t>
      </w:r>
    </w:p>
    <w:p w:rsidR="00B84942" w:rsidRPr="008C2E15" w:rsidRDefault="00B84942" w:rsidP="00A92448">
      <w:pPr>
        <w:pStyle w:val="Belmana4normal"/>
        <w:numPr>
          <w:ilvl w:val="0"/>
          <w:numId w:val="2"/>
        </w:numPr>
        <w:spacing w:after="60"/>
        <w:ind w:left="714" w:hanging="357"/>
      </w:pPr>
      <w:r w:rsidRPr="00230A4B">
        <w:rPr>
          <w:i/>
        </w:rPr>
        <w:t>Project completion reports</w:t>
      </w:r>
      <w:r w:rsidR="001549E6">
        <w:t xml:space="preserve"> are submitted to </w:t>
      </w:r>
      <w:r w:rsidR="0070615F">
        <w:t>Research England</w:t>
      </w:r>
      <w:r w:rsidR="001549E6">
        <w:t xml:space="preserve"> twelve</w:t>
      </w:r>
      <w:r w:rsidRPr="008C2E15">
        <w:t xml:space="preserve"> months after the official completion date of the capital output. They include evidence of emerging project outputs and outcomes, capital outputs, governance, residual risks and lessons learned from the projects.</w:t>
      </w:r>
    </w:p>
    <w:p w:rsidR="00B84942" w:rsidRPr="008C2E15" w:rsidRDefault="00B84942" w:rsidP="008A4AAB">
      <w:pPr>
        <w:pStyle w:val="Belmana4normal"/>
        <w:numPr>
          <w:ilvl w:val="0"/>
          <w:numId w:val="2"/>
        </w:numPr>
      </w:pPr>
      <w:r w:rsidRPr="001549E6">
        <w:rPr>
          <w:i/>
        </w:rPr>
        <w:t>Project audit reports</w:t>
      </w:r>
      <w:r w:rsidR="00B344B2">
        <w:t xml:space="preserve">, </w:t>
      </w:r>
      <w:r w:rsidRPr="008C2E15">
        <w:t>produced independently by Sockmonkey Consulting</w:t>
      </w:r>
      <w:r>
        <w:t xml:space="preserve"> (a pilot exercise) </w:t>
      </w:r>
      <w:r w:rsidRPr="008C2E15">
        <w:t>and KPMG</w:t>
      </w:r>
      <w:r w:rsidR="00B344B2">
        <w:t>,</w:t>
      </w:r>
      <w:r w:rsidRPr="008C2E15">
        <w:t xml:space="preserve"> </w:t>
      </w:r>
      <w:r w:rsidR="00B344B2">
        <w:t>p</w:t>
      </w:r>
      <w:r w:rsidRPr="008C2E15">
        <w:t>rovid</w:t>
      </w:r>
      <w:r w:rsidR="00B344B2">
        <w:t>e</w:t>
      </w:r>
      <w:r w:rsidRPr="008C2E15">
        <w:t xml:space="preserve"> a summary of project progress</w:t>
      </w:r>
      <w:r w:rsidR="00B344B2">
        <w:t xml:space="preserve"> and </w:t>
      </w:r>
      <w:r w:rsidRPr="008C2E15">
        <w:t xml:space="preserve">assess the financial effectiveness of each project, including the extent to which the double-match co-investment has been achieved. </w:t>
      </w:r>
    </w:p>
    <w:p w:rsidR="00B84942" w:rsidRDefault="001549E6" w:rsidP="00743ADE">
      <w:pPr>
        <w:pStyle w:val="Belmananormal"/>
      </w:pPr>
      <w:r>
        <w:t>The interim evaluation consider</w:t>
      </w:r>
      <w:r w:rsidR="0064459F">
        <w:t>ed</w:t>
      </w:r>
      <w:r w:rsidR="00B84942" w:rsidRPr="008C2E15">
        <w:t xml:space="preserve"> the 43 projects awarded funding through rounds 1-5. It use</w:t>
      </w:r>
      <w:r w:rsidR="0064459F">
        <w:t>d</w:t>
      </w:r>
      <w:r w:rsidR="00B84942" w:rsidRPr="008C2E15">
        <w:t xml:space="preserve"> the project business cases (as submitted as part of the original bids), as well as monitoring and completion reports to measure project performance. It explore</w:t>
      </w:r>
      <w:r w:rsidR="0064459F">
        <w:t>d</w:t>
      </w:r>
      <w:r w:rsidR="00B84942" w:rsidRPr="008C2E15">
        <w:t xml:space="preserve"> what can be learnt from these reports about performance and attempt</w:t>
      </w:r>
      <w:r w:rsidR="00B344B2">
        <w:t>ed</w:t>
      </w:r>
      <w:r w:rsidR="00B84942" w:rsidRPr="008C2E15">
        <w:t xml:space="preserve"> to identify themes from which to develop KPIs for the programme. </w:t>
      </w:r>
      <w:r w:rsidR="00B84942">
        <w:t xml:space="preserve">Revised co-investment profiles have been provided by </w:t>
      </w:r>
      <w:r w:rsidR="002D5A31">
        <w:t xml:space="preserve">Research England </w:t>
      </w:r>
      <w:r w:rsidR="00B84942">
        <w:t xml:space="preserve">during the evaluation, and this information has been used for analysis of committed co-investment. </w:t>
      </w:r>
    </w:p>
    <w:p w:rsidR="00234862" w:rsidRDefault="005802E9" w:rsidP="005802E9">
      <w:pPr>
        <w:pStyle w:val="Belmananormal"/>
      </w:pPr>
      <w:r>
        <w:t xml:space="preserve">To understand the importance of UKRPIF in </w:t>
      </w:r>
      <w:r w:rsidR="00501D00">
        <w:t>fun</w:t>
      </w:r>
      <w:r>
        <w:t xml:space="preserve">ding research infrastructure, the MI was </w:t>
      </w:r>
      <w:r w:rsidR="00501D00">
        <w:t>analy</w:t>
      </w:r>
      <w:r>
        <w:t xml:space="preserve">sed to </w:t>
      </w:r>
      <w:r w:rsidR="00501D00">
        <w:t>explore how much of the co-investment was invested into facilities and other</w:t>
      </w:r>
      <w:r>
        <w:t xml:space="preserve"> capital </w:t>
      </w:r>
      <w:r w:rsidR="00501D00">
        <w:t xml:space="preserve">items, as opposed to funding research expenditure. The MI detailed overall co-investment and sometimes indicated where this was spent. However, in many cases, the researchers had to consider the initial bid documentation, which provided more detail. </w:t>
      </w:r>
      <w:r w:rsidR="00234862">
        <w:t>An element of judgement had to be included as sometimes determining what the co-investment funded was difficult.</w:t>
      </w:r>
    </w:p>
    <w:p w:rsidR="005802E9" w:rsidRDefault="00234862" w:rsidP="00234862">
      <w:pPr>
        <w:pStyle w:val="Belmananormal"/>
      </w:pPr>
      <w:r>
        <w:t xml:space="preserve">The UKRPIF’s focus on research facilities and capital spending </w:t>
      </w:r>
      <w:r w:rsidR="00816774">
        <w:t xml:space="preserve">was </w:t>
      </w:r>
      <w:r>
        <w:t xml:space="preserve">then analysed in relation to overall investment by HEIs in non-residential buildings and equipment. </w:t>
      </w:r>
      <w:r w:rsidR="00816774">
        <w:t xml:space="preserve">HEIs </w:t>
      </w:r>
      <w:r w:rsidR="00501D00">
        <w:t>report their overall</w:t>
      </w:r>
      <w:r w:rsidR="005802E9">
        <w:t xml:space="preserve"> capital investment to HESA</w:t>
      </w:r>
      <w:r>
        <w:t>, providing an annual picture of investment in research facilities</w:t>
      </w:r>
      <w:r w:rsidR="005802E9">
        <w:t>.</w:t>
      </w:r>
      <w:r>
        <w:t xml:space="preserve"> </w:t>
      </w:r>
    </w:p>
    <w:p w:rsidR="00B84942" w:rsidRPr="008C2E15" w:rsidRDefault="00B84942" w:rsidP="00743ADE">
      <w:pPr>
        <w:pStyle w:val="Belmananormal"/>
      </w:pPr>
      <w:r w:rsidRPr="008C2E15">
        <w:t>As of June 2017, 21 projects have reported practical completion</w:t>
      </w:r>
      <w:r w:rsidR="00816774">
        <w:t xml:space="preserve">, </w:t>
      </w:r>
      <w:r w:rsidRPr="008C2E15">
        <w:t>mean</w:t>
      </w:r>
      <w:r w:rsidR="00816774">
        <w:t>ing</w:t>
      </w:r>
      <w:r w:rsidRPr="008C2E15">
        <w:t xml:space="preserve"> that </w:t>
      </w:r>
      <w:r>
        <w:t xml:space="preserve">the </w:t>
      </w:r>
      <w:r w:rsidRPr="008C2E15">
        <w:t xml:space="preserve">UKRPIF </w:t>
      </w:r>
      <w:r w:rsidR="003A1021">
        <w:t xml:space="preserve">funding </w:t>
      </w:r>
      <w:r w:rsidRPr="008C2E15">
        <w:t>has been spent and that infrastructural elements have been completed</w:t>
      </w:r>
      <w:r>
        <w:t>,</w:t>
      </w:r>
      <w:r w:rsidRPr="008C2E15">
        <w:t xml:space="preserve"> with research activity underway. Fifteen of these projects have returned completion reports to </w:t>
      </w:r>
      <w:r w:rsidRPr="001841BE">
        <w:t>HEFCE</w:t>
      </w:r>
      <w:r w:rsidRPr="00EA10CA">
        <w:t>.</w:t>
      </w:r>
      <w:r w:rsidRPr="008C2E15">
        <w:t xml:space="preserve"> A further six completion reports are to be received in the year to June 2018, after the conclusion of this study. </w:t>
      </w:r>
    </w:p>
    <w:p w:rsidR="00B84942" w:rsidRDefault="00B84942" w:rsidP="00743ADE">
      <w:pPr>
        <w:pStyle w:val="Belmananormal"/>
      </w:pPr>
      <w:r w:rsidRPr="008C2E15">
        <w:t xml:space="preserve">There are challenges in analysing the programme solely </w:t>
      </w:r>
      <w:r w:rsidR="0064459F">
        <w:t xml:space="preserve">relying on </w:t>
      </w:r>
      <w:r w:rsidR="00656C89">
        <w:t>MI</w:t>
      </w:r>
      <w:r w:rsidRPr="008C2E15">
        <w:t xml:space="preserve">. </w:t>
      </w:r>
      <w:r w:rsidR="0064459F">
        <w:t>Firstly, i</w:t>
      </w:r>
      <w:r w:rsidRPr="008C2E15">
        <w:t>t is difficult to summarise and systematically compare the outputs reported in the completion reports as the standard format for the returns was not always followed. Representatives of UKRPIF</w:t>
      </w:r>
      <w:r w:rsidR="002B2D4A">
        <w:t>-</w:t>
      </w:r>
      <w:r w:rsidRPr="008C2E15">
        <w:t xml:space="preserve">funded projects may </w:t>
      </w:r>
      <w:r w:rsidR="0064459F">
        <w:t xml:space="preserve">also </w:t>
      </w:r>
      <w:r w:rsidRPr="008C2E15">
        <w:t>elect to describe only positive outputs excluding those that have not been achieved but which may be useful for evaluating the scheme.</w:t>
      </w:r>
      <w:r w:rsidR="0064459F">
        <w:t xml:space="preserve"> Further, r</w:t>
      </w:r>
      <w:r w:rsidRPr="008C2E15">
        <w:t>esponses from institutions are often varied in length and detail.</w:t>
      </w:r>
      <w:r w:rsidR="0064459F">
        <w:t xml:space="preserve"> For this reason</w:t>
      </w:r>
      <w:r w:rsidR="00F2626B">
        <w:t>,</w:t>
      </w:r>
      <w:r w:rsidR="0064459F">
        <w:t xml:space="preserve"> the evaluation complemented the MI review with in</w:t>
      </w:r>
      <w:r w:rsidR="00816774">
        <w:t>-</w:t>
      </w:r>
      <w:r w:rsidR="0064459F">
        <w:t xml:space="preserve">depth case studies and confronted the evidence from the two strands. </w:t>
      </w:r>
    </w:p>
    <w:p w:rsidR="001549E6" w:rsidRDefault="001549E6" w:rsidP="00743ADE">
      <w:pPr>
        <w:pStyle w:val="Belmananormal"/>
      </w:pPr>
      <w:r w:rsidRPr="008C2E15">
        <w:t xml:space="preserve">Annex </w:t>
      </w:r>
      <w:proofErr w:type="gramStart"/>
      <w:r w:rsidRPr="008C2E15">
        <w:t>A</w:t>
      </w:r>
      <w:proofErr w:type="gramEnd"/>
      <w:r w:rsidRPr="008C2E15">
        <w:t xml:space="preserve"> gives a full list of the projects. Annex B presents a full overview of the project completion reports consulted as these </w:t>
      </w:r>
      <w:r>
        <w:t xml:space="preserve">contain self-reported outputs. </w:t>
      </w:r>
    </w:p>
    <w:p w:rsidR="00B84942" w:rsidRDefault="002E7103" w:rsidP="00CA5BC4">
      <w:pPr>
        <w:pStyle w:val="Belmana3"/>
      </w:pPr>
      <w:bookmarkStart w:id="35" w:name="_Toc499548013"/>
      <w:bookmarkStart w:id="36" w:name="_Toc514831645"/>
      <w:r>
        <w:t xml:space="preserve">Case </w:t>
      </w:r>
      <w:r w:rsidR="007746F8">
        <w:t>s</w:t>
      </w:r>
      <w:r w:rsidR="00B84942">
        <w:t>tudies</w:t>
      </w:r>
      <w:bookmarkEnd w:id="35"/>
      <w:bookmarkEnd w:id="36"/>
    </w:p>
    <w:p w:rsidR="00B84942" w:rsidRDefault="00B84942" w:rsidP="00B84942">
      <w:pPr>
        <w:pStyle w:val="Belmananormal"/>
      </w:pPr>
      <w:r w:rsidRPr="001361C8">
        <w:t xml:space="preserve">The evaluation </w:t>
      </w:r>
      <w:r>
        <w:t>involved</w:t>
      </w:r>
      <w:r w:rsidRPr="001361C8">
        <w:t xml:space="preserve"> case studies</w:t>
      </w:r>
      <w:r>
        <w:t xml:space="preserve"> of </w:t>
      </w:r>
      <w:r w:rsidRPr="001361C8">
        <w:t xml:space="preserve">five </w:t>
      </w:r>
      <w:r>
        <w:t xml:space="preserve">UKRPIF </w:t>
      </w:r>
      <w:r w:rsidRPr="001361C8">
        <w:t>projects, to complement the analysis of management information across the UKRPIF</w:t>
      </w:r>
      <w:r>
        <w:t xml:space="preserve"> projects</w:t>
      </w:r>
      <w:r w:rsidRPr="001361C8">
        <w:t>. The research approach</w:t>
      </w:r>
      <w:r>
        <w:t xml:space="preserve"> was tailored</w:t>
      </w:r>
      <w:r w:rsidRPr="001361C8">
        <w:t xml:space="preserve"> for each project</w:t>
      </w:r>
      <w:r>
        <w:t>,</w:t>
      </w:r>
      <w:r w:rsidRPr="001361C8">
        <w:t xml:space="preserve"> informed by the </w:t>
      </w:r>
      <w:r>
        <w:t>m</w:t>
      </w:r>
      <w:r w:rsidRPr="001361C8">
        <w:t xml:space="preserve">anagement </w:t>
      </w:r>
      <w:r>
        <w:t>i</w:t>
      </w:r>
      <w:r w:rsidRPr="001361C8">
        <w:t xml:space="preserve">nformation </w:t>
      </w:r>
      <w:r>
        <w:t>review</w:t>
      </w:r>
      <w:r w:rsidRPr="001361C8">
        <w:t xml:space="preserve">. </w:t>
      </w:r>
      <w:r>
        <w:t xml:space="preserve">Each case study </w:t>
      </w:r>
      <w:r w:rsidRPr="001361C8">
        <w:t>employ</w:t>
      </w:r>
      <w:r>
        <w:t xml:space="preserve">ed a mix of </w:t>
      </w:r>
      <w:r w:rsidRPr="001361C8">
        <w:t>site visi</w:t>
      </w:r>
      <w:r w:rsidR="001549E6">
        <w:t xml:space="preserve">ts, semi-structured interviews </w:t>
      </w:r>
      <w:r w:rsidRPr="001361C8">
        <w:t>and group discussions</w:t>
      </w:r>
      <w:r w:rsidR="001549E6">
        <w:t>,</w:t>
      </w:r>
      <w:r w:rsidRPr="001361C8">
        <w:t xml:space="preserve"> in conjunction with </w:t>
      </w:r>
      <w:r w:rsidR="007746F8">
        <w:t>in-</w:t>
      </w:r>
      <w:r>
        <w:t xml:space="preserve">depth </w:t>
      </w:r>
      <w:r w:rsidRPr="001361C8">
        <w:t>review</w:t>
      </w:r>
      <w:r w:rsidR="007746F8">
        <w:t>s</w:t>
      </w:r>
      <w:r w:rsidRPr="001361C8">
        <w:t xml:space="preserve"> of quantitative and management information where possible. </w:t>
      </w:r>
      <w:r>
        <w:t>Analysis was</w:t>
      </w:r>
      <w:r w:rsidRPr="001361C8">
        <w:t xml:space="preserve"> cross-cutting </w:t>
      </w:r>
      <w:r>
        <w:t xml:space="preserve">with a </w:t>
      </w:r>
      <w:r w:rsidRPr="001361C8">
        <w:t xml:space="preserve">focus </w:t>
      </w:r>
      <w:r>
        <w:t>on</w:t>
      </w:r>
      <w:r w:rsidRPr="001361C8">
        <w:t xml:space="preserve"> </w:t>
      </w:r>
      <w:r w:rsidR="0064459F">
        <w:t xml:space="preserve">identified key </w:t>
      </w:r>
      <w:r>
        <w:t xml:space="preserve">themes, primarily </w:t>
      </w:r>
      <w:r w:rsidRPr="001361C8">
        <w:t xml:space="preserve">collaborative research, commercialisation and capability building in each project. </w:t>
      </w:r>
    </w:p>
    <w:p w:rsidR="00B84942" w:rsidRDefault="00B84942" w:rsidP="00B84942">
      <w:pPr>
        <w:pStyle w:val="Belmananormal"/>
      </w:pPr>
      <w:r>
        <w:t xml:space="preserve">The selection of </w:t>
      </w:r>
      <w:r w:rsidRPr="00361832">
        <w:t xml:space="preserve">projects for </w:t>
      </w:r>
      <w:r w:rsidR="001549E6">
        <w:t xml:space="preserve">the </w:t>
      </w:r>
      <w:r w:rsidRPr="00361832">
        <w:t>case studies was based on analysis of management information across the UKRPIF projects. The 15 projects with completion reports</w:t>
      </w:r>
      <w:r w:rsidRPr="007B5FBA">
        <w:t xml:space="preserve"> – categorised by discipline and funding structure – generated a sampling frame from which a shortlist was selected</w:t>
      </w:r>
      <w:r w:rsidRPr="00361832">
        <w:t>. Purposive sampling</w:t>
      </w:r>
      <w:r>
        <w:t xml:space="preserve"> was used to ensure </w:t>
      </w:r>
      <w:r w:rsidRPr="00C81251">
        <w:t>a representative</w:t>
      </w:r>
      <w:r>
        <w:t xml:space="preserve"> sample in terms of geography as well as</w:t>
      </w:r>
      <w:r w:rsidRPr="00C81251">
        <w:t xml:space="preserve"> sufficient </w:t>
      </w:r>
      <w:r w:rsidRPr="00BD1D71">
        <w:t xml:space="preserve">coverage of </w:t>
      </w:r>
      <w:r>
        <w:t xml:space="preserve">UKRPIF </w:t>
      </w:r>
      <w:r w:rsidRPr="00BD1D71">
        <w:t>expenditure. Care was taken to provide a sample with a reasonable spread of</w:t>
      </w:r>
      <w:r>
        <w:t xml:space="preserve"> disciplines and research focus, and the choices were informed by the opportunity to establish best practices. As a result, only relatively mature projects, where emerging findings were likely to be observed, were considered. </w:t>
      </w:r>
    </w:p>
    <w:p w:rsidR="00B84942" w:rsidRDefault="00B84942" w:rsidP="00A92448">
      <w:pPr>
        <w:pStyle w:val="Belmananormal"/>
        <w:spacing w:after="60"/>
      </w:pPr>
      <w:r>
        <w:t>Each study focused on one of five disciplines. The disciplines identified were:</w:t>
      </w:r>
    </w:p>
    <w:p w:rsidR="00674BC0" w:rsidRDefault="00B84942" w:rsidP="00CA5BC4">
      <w:pPr>
        <w:pStyle w:val="Belmananormal"/>
        <w:numPr>
          <w:ilvl w:val="0"/>
          <w:numId w:val="9"/>
        </w:numPr>
        <w:spacing w:after="60"/>
        <w:ind w:left="714" w:hanging="357"/>
      </w:pPr>
      <w:r>
        <w:t>Biomedical;</w:t>
      </w:r>
    </w:p>
    <w:p w:rsidR="00674BC0" w:rsidRDefault="00B84942" w:rsidP="00CA5BC4">
      <w:pPr>
        <w:pStyle w:val="Belmananormal"/>
        <w:numPr>
          <w:ilvl w:val="0"/>
          <w:numId w:val="9"/>
        </w:numPr>
        <w:spacing w:after="60"/>
        <w:ind w:left="714" w:hanging="357"/>
      </w:pPr>
      <w:r>
        <w:t>Engineering;</w:t>
      </w:r>
    </w:p>
    <w:p w:rsidR="00674BC0" w:rsidRDefault="00B84942" w:rsidP="00CA5BC4">
      <w:pPr>
        <w:pStyle w:val="Belmananormal"/>
        <w:numPr>
          <w:ilvl w:val="0"/>
          <w:numId w:val="9"/>
        </w:numPr>
        <w:spacing w:after="60"/>
        <w:ind w:left="714" w:hanging="357"/>
      </w:pPr>
      <w:r>
        <w:t>Fundamental Research;</w:t>
      </w:r>
    </w:p>
    <w:p w:rsidR="00674BC0" w:rsidRDefault="00B84942" w:rsidP="00CA5BC4">
      <w:pPr>
        <w:pStyle w:val="Belmananormal"/>
        <w:numPr>
          <w:ilvl w:val="0"/>
          <w:numId w:val="9"/>
        </w:numPr>
        <w:spacing w:after="60"/>
        <w:ind w:left="714" w:hanging="357"/>
      </w:pPr>
      <w:r>
        <w:t xml:space="preserve">High Value Manufacturing; </w:t>
      </w:r>
      <w:r w:rsidR="00A92448">
        <w:t>and</w:t>
      </w:r>
    </w:p>
    <w:p w:rsidR="00B84942" w:rsidRDefault="00B84942" w:rsidP="008A4AAB">
      <w:pPr>
        <w:pStyle w:val="Belmananormal"/>
        <w:numPr>
          <w:ilvl w:val="0"/>
          <w:numId w:val="9"/>
        </w:numPr>
      </w:pPr>
      <w:r>
        <w:t xml:space="preserve">Clinical Medicine. </w:t>
      </w:r>
    </w:p>
    <w:p w:rsidR="00B84942" w:rsidRDefault="00B84942" w:rsidP="00B84942">
      <w:pPr>
        <w:pStyle w:val="Belmananormal"/>
      </w:pPr>
      <w:r>
        <w:t>Then, a matrix was created that identified projects in terms of the co-funding type, level of funding, capital expenditure type (i.e. purpose</w:t>
      </w:r>
      <w:r w:rsidR="007746F8">
        <w:t>-</w:t>
      </w:r>
      <w:r>
        <w:t>built new or refurbished) and region. The geographical spread achieved was representative of UKRPIF funding dispersed. This w</w:t>
      </w:r>
      <w:r w:rsidR="001549E6">
        <w:t xml:space="preserve">as corroborated by analysis of </w:t>
      </w:r>
      <w:r w:rsidR="00F328F0">
        <w:t>MI</w:t>
      </w:r>
      <w:r>
        <w:t>. The selection process used this matrix to select one “anchor” project</w:t>
      </w:r>
      <w:r w:rsidR="003E606E">
        <w:t xml:space="preserve"> </w:t>
      </w:r>
      <w:r>
        <w:t xml:space="preserve">with the next four selections based on review of </w:t>
      </w:r>
      <w:r w:rsidRPr="00273C8E">
        <w:t>the remaining disciplines</w:t>
      </w:r>
      <w:r>
        <w:t xml:space="preserve">, </w:t>
      </w:r>
      <w:r w:rsidR="007746F8">
        <w:t>eliminating</w:t>
      </w:r>
      <w:r w:rsidRPr="00273C8E">
        <w:t xml:space="preserve"> the institutions operating in regions already selected in order to </w:t>
      </w:r>
      <w:r>
        <w:t>maintain good regional coverage</w:t>
      </w:r>
      <w:r w:rsidRPr="00273C8E">
        <w:t>.</w:t>
      </w:r>
      <w:r>
        <w:t xml:space="preserve"> </w:t>
      </w:r>
      <w:r w:rsidR="008B7BA8">
        <w:t xml:space="preserve">The process also provided a mix of other characteristics, such as the type of organisation that co-invested in the project. </w:t>
      </w:r>
      <w:r>
        <w:t>Th</w:t>
      </w:r>
      <w:r w:rsidR="00F328F0">
        <w:t>is process generated f</w:t>
      </w:r>
      <w:r>
        <w:t>ive potential samples</w:t>
      </w:r>
      <w:r w:rsidR="00F328F0">
        <w:t>,</w:t>
      </w:r>
      <w:r>
        <w:t xml:space="preserve"> and discussion between researchers, HEFCE and the research </w:t>
      </w:r>
      <w:r w:rsidR="007746F8">
        <w:t>S</w:t>
      </w:r>
      <w:r>
        <w:t xml:space="preserve">teering </w:t>
      </w:r>
      <w:r w:rsidR="007746F8">
        <w:t xml:space="preserve">Board </w:t>
      </w:r>
      <w:r>
        <w:t xml:space="preserve">finalised a selection. </w:t>
      </w:r>
    </w:p>
    <w:p w:rsidR="00B84942" w:rsidRDefault="00B84942" w:rsidP="00B84942">
      <w:pPr>
        <w:pStyle w:val="Belmananormal"/>
      </w:pPr>
      <w:r>
        <w:t xml:space="preserve">The final sample covers a cross-section of disciplines, ranging from high-value manufacturing to bio-medical </w:t>
      </w:r>
      <w:proofErr w:type="gramStart"/>
      <w:r>
        <w:t>sciences</w:t>
      </w:r>
      <w:r w:rsidR="007746F8">
        <w:t>,</w:t>
      </w:r>
      <w:r>
        <w:t xml:space="preserve"> </w:t>
      </w:r>
      <w:r w:rsidR="001549E6">
        <w:t>that</w:t>
      </w:r>
      <w:proofErr w:type="gramEnd"/>
      <w:r w:rsidR="001549E6">
        <w:t xml:space="preserve"> </w:t>
      </w:r>
      <w:r>
        <w:t xml:space="preserve">have benefited from UKRPIF </w:t>
      </w:r>
      <w:r w:rsidR="00180638">
        <w:t>funding</w:t>
      </w:r>
      <w:r w:rsidR="007746F8">
        <w:t xml:space="preserve"> </w:t>
      </w:r>
      <w:r>
        <w:t>of up to £20</w:t>
      </w:r>
      <w:r w:rsidR="00413913">
        <w:t>m</w:t>
      </w:r>
      <w:r>
        <w:t xml:space="preserve">. </w:t>
      </w:r>
      <w:r w:rsidR="00462943">
        <w:t xml:space="preserve">A list of case study samples can be found at Table 1. </w:t>
      </w:r>
      <w:r w:rsidRPr="007B5FBA">
        <w:t>The findings</w:t>
      </w:r>
      <w:r>
        <w:t xml:space="preserve"> at this stage focus on early outputs, emerging and expected impacts, and future trajectory of the projects. Findings and review of indicators to measure outputs and impacts are integrated into the section on lessons learnt and recommendations for future evaluations. </w:t>
      </w:r>
    </w:p>
    <w:p w:rsidR="00B84942" w:rsidRPr="00842759" w:rsidRDefault="00801BC6" w:rsidP="00B84942">
      <w:pPr>
        <w:pStyle w:val="Belmananormal"/>
      </w:pPr>
      <w:r>
        <w:t>L</w:t>
      </w:r>
      <w:r w:rsidR="00B84942">
        <w:t>onge</w:t>
      </w:r>
      <w:r w:rsidR="001549E6">
        <w:t>r version</w:t>
      </w:r>
      <w:r>
        <w:t>s</w:t>
      </w:r>
      <w:r w:rsidR="001549E6">
        <w:t xml:space="preserve"> of each study (</w:t>
      </w:r>
      <w:r w:rsidR="00532D76">
        <w:t>A</w:t>
      </w:r>
      <w:r w:rsidR="001549E6">
        <w:t>nnex C</w:t>
      </w:r>
      <w:r w:rsidR="00B84942">
        <w:t>) also include considerations on the delivery of the projects, which were highly complex infrastructure development</w:t>
      </w:r>
      <w:r w:rsidR="00F328F0">
        <w:t>s</w:t>
      </w:r>
      <w:r w:rsidR="00B84942">
        <w:t xml:space="preserve"> that involved the building of purpose-built state</w:t>
      </w:r>
      <w:r>
        <w:t>-</w:t>
      </w:r>
      <w:r w:rsidR="00B84942">
        <w:t>of</w:t>
      </w:r>
      <w:r>
        <w:t>-</w:t>
      </w:r>
      <w:r w:rsidR="00B84942">
        <w:t>the</w:t>
      </w:r>
      <w:r>
        <w:t>-</w:t>
      </w:r>
      <w:r w:rsidR="00B84942">
        <w:t xml:space="preserve">art research facilities that in many cases needed to be equipped with expensive and advanced equipment. </w:t>
      </w:r>
    </w:p>
    <w:p w:rsidR="00D11DF7" w:rsidRDefault="00D11DF7" w:rsidP="00513FAC">
      <w:pPr>
        <w:pStyle w:val="Caption"/>
        <w:keepNext/>
      </w:pPr>
    </w:p>
    <w:tbl>
      <w:tblPr>
        <w:tblStyle w:val="TableGrid"/>
        <w:tblW w:w="97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444"/>
        <w:gridCol w:w="4141"/>
        <w:gridCol w:w="1386"/>
        <w:gridCol w:w="1737"/>
      </w:tblGrid>
      <w:tr w:rsidR="00D11DF7" w:rsidRPr="007A6C8D">
        <w:tc>
          <w:tcPr>
            <w:tcW w:w="9708" w:type="dxa"/>
            <w:gridSpan w:val="4"/>
            <w:shd w:val="clear" w:color="auto" w:fill="auto"/>
          </w:tcPr>
          <w:p w:rsidR="00D11DF7" w:rsidRPr="00513FAC" w:rsidRDefault="00D11DF7" w:rsidP="0036520A">
            <w:pPr>
              <w:pStyle w:val="BelmanaTableTitle"/>
            </w:pPr>
            <w:r w:rsidRPr="007B5FBA">
              <w:t xml:space="preserve">Table </w:t>
            </w:r>
            <w:fldSimple w:instr=" SEQ Table \* ARABIC ">
              <w:r w:rsidR="002761B3">
                <w:rPr>
                  <w:noProof/>
                </w:rPr>
                <w:t>1</w:t>
              </w:r>
            </w:fldSimple>
            <w:r w:rsidRPr="007B5FBA">
              <w:t xml:space="preserve">: Case </w:t>
            </w:r>
            <w:r w:rsidR="00462943">
              <w:t>s</w:t>
            </w:r>
            <w:r w:rsidRPr="007B5FBA">
              <w:t xml:space="preserve">tudy </w:t>
            </w:r>
            <w:r w:rsidR="00462943">
              <w:t>samples</w:t>
            </w:r>
          </w:p>
        </w:tc>
      </w:tr>
      <w:tr w:rsidR="007A6C8D" w:rsidRPr="007A6C8D">
        <w:tc>
          <w:tcPr>
            <w:tcW w:w="2479" w:type="dxa"/>
            <w:tcBorders>
              <w:left w:val="single" w:sz="4" w:space="0" w:color="993366"/>
              <w:bottom w:val="single" w:sz="4" w:space="0" w:color="FFFFFF" w:themeColor="background1"/>
              <w:right w:val="single" w:sz="4" w:space="0" w:color="FFFFFF" w:themeColor="background1"/>
            </w:tcBorders>
            <w:shd w:val="clear" w:color="auto" w:fill="993366"/>
          </w:tcPr>
          <w:p w:rsidR="00B84942" w:rsidRPr="00513FAC" w:rsidRDefault="00B84942" w:rsidP="007A6C8D">
            <w:pPr>
              <w:rPr>
                <w:rFonts w:ascii="Arial" w:hAnsi="Arial" w:cs="Arial"/>
                <w:b/>
                <w:color w:val="FFFFFF" w:themeColor="background1"/>
                <w:szCs w:val="24"/>
              </w:rPr>
            </w:pPr>
            <w:r w:rsidRPr="00513FAC">
              <w:rPr>
                <w:rFonts w:ascii="Arial" w:hAnsi="Arial" w:cs="Arial"/>
                <w:b/>
                <w:color w:val="FFFFFF" w:themeColor="background1"/>
                <w:szCs w:val="24"/>
              </w:rPr>
              <w:t>Institution</w:t>
            </w:r>
          </w:p>
        </w:tc>
        <w:tc>
          <w:tcPr>
            <w:tcW w:w="4224" w:type="dxa"/>
            <w:tcBorders>
              <w:left w:val="single" w:sz="4" w:space="0" w:color="FFFFFF" w:themeColor="background1"/>
              <w:bottom w:val="single" w:sz="4" w:space="0" w:color="FFFFFF" w:themeColor="background1"/>
              <w:right w:val="single" w:sz="4" w:space="0" w:color="FFFFFF" w:themeColor="background1"/>
            </w:tcBorders>
            <w:shd w:val="clear" w:color="auto" w:fill="993366"/>
          </w:tcPr>
          <w:p w:rsidR="00B84942" w:rsidRPr="00513FAC" w:rsidRDefault="00B84942" w:rsidP="007A6C8D">
            <w:pPr>
              <w:rPr>
                <w:rFonts w:ascii="Arial" w:hAnsi="Arial" w:cs="Arial"/>
                <w:b/>
                <w:color w:val="FFFFFF" w:themeColor="background1"/>
                <w:szCs w:val="24"/>
              </w:rPr>
            </w:pPr>
            <w:r w:rsidRPr="00513FAC">
              <w:rPr>
                <w:rFonts w:ascii="Arial" w:hAnsi="Arial" w:cs="Arial"/>
                <w:b/>
                <w:color w:val="FFFFFF" w:themeColor="background1"/>
                <w:szCs w:val="24"/>
              </w:rPr>
              <w:t>Project</w:t>
            </w:r>
          </w:p>
        </w:tc>
        <w:tc>
          <w:tcPr>
            <w:tcW w:w="1394" w:type="dxa"/>
            <w:tcBorders>
              <w:left w:val="single" w:sz="4" w:space="0" w:color="FFFFFF" w:themeColor="background1"/>
              <w:bottom w:val="single" w:sz="4" w:space="0" w:color="FFFFFF" w:themeColor="background1"/>
              <w:right w:val="single" w:sz="4" w:space="0" w:color="FFFFFF" w:themeColor="background1"/>
            </w:tcBorders>
            <w:shd w:val="clear" w:color="auto" w:fill="993366"/>
          </w:tcPr>
          <w:p w:rsidR="00B84942" w:rsidRPr="00513FAC" w:rsidRDefault="00B84942" w:rsidP="007A6C8D">
            <w:pPr>
              <w:rPr>
                <w:rFonts w:ascii="Arial" w:hAnsi="Arial" w:cs="Arial"/>
                <w:b/>
                <w:color w:val="FFFFFF" w:themeColor="background1"/>
                <w:szCs w:val="24"/>
              </w:rPr>
            </w:pPr>
            <w:r w:rsidRPr="00513FAC">
              <w:rPr>
                <w:rFonts w:ascii="Arial" w:hAnsi="Arial" w:cs="Arial"/>
                <w:b/>
                <w:color w:val="FFFFFF" w:themeColor="background1"/>
                <w:szCs w:val="24"/>
              </w:rPr>
              <w:t>HEFCE Funding</w:t>
            </w:r>
          </w:p>
        </w:tc>
        <w:tc>
          <w:tcPr>
            <w:tcW w:w="1611" w:type="dxa"/>
            <w:tcBorders>
              <w:left w:val="single" w:sz="4" w:space="0" w:color="FFFFFF" w:themeColor="background1"/>
              <w:bottom w:val="single" w:sz="4" w:space="0" w:color="FFFFFF" w:themeColor="background1"/>
              <w:right w:val="single" w:sz="4" w:space="0" w:color="993366"/>
            </w:tcBorders>
            <w:shd w:val="clear" w:color="auto" w:fill="993366"/>
          </w:tcPr>
          <w:p w:rsidR="00B84942" w:rsidRPr="00513FAC" w:rsidRDefault="00B84942" w:rsidP="007A6C8D">
            <w:pPr>
              <w:rPr>
                <w:rFonts w:ascii="Arial" w:hAnsi="Arial" w:cs="Arial"/>
                <w:b/>
                <w:color w:val="FFFFFF" w:themeColor="background1"/>
                <w:szCs w:val="24"/>
              </w:rPr>
            </w:pPr>
            <w:r w:rsidRPr="00513FAC">
              <w:rPr>
                <w:rFonts w:ascii="Arial" w:hAnsi="Arial" w:cs="Arial"/>
                <w:b/>
                <w:color w:val="FFFFFF" w:themeColor="background1"/>
                <w:szCs w:val="24"/>
              </w:rPr>
              <w:t>Discipline</w:t>
            </w:r>
          </w:p>
        </w:tc>
      </w:tr>
      <w:tr w:rsidR="00B84942" w:rsidRPr="007A6C8D">
        <w:tc>
          <w:tcPr>
            <w:tcW w:w="2479" w:type="dxa"/>
            <w:tcBorders>
              <w:top w:val="single" w:sz="4" w:space="0" w:color="FFFFFF" w:themeColor="background1"/>
              <w:left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University of Birmingham</w:t>
            </w:r>
          </w:p>
        </w:tc>
        <w:tc>
          <w:tcPr>
            <w:tcW w:w="4224" w:type="dxa"/>
            <w:tcBorders>
              <w:top w:val="single" w:sz="4" w:space="0" w:color="FFFFFF" w:themeColor="background1"/>
            </w:tcBorders>
            <w:shd w:val="clear" w:color="auto" w:fill="auto"/>
          </w:tcPr>
          <w:p w:rsidR="00B84942" w:rsidRPr="00D11DF7" w:rsidRDefault="00B84942" w:rsidP="007A6C8D">
            <w:pPr>
              <w:rPr>
                <w:rFonts w:ascii="Arial" w:hAnsi="Arial" w:cs="Arial"/>
              </w:rPr>
            </w:pPr>
            <w:r w:rsidRPr="00D11DF7">
              <w:rPr>
                <w:rFonts w:ascii="Arial" w:hAnsi="Arial" w:cs="Arial"/>
              </w:rPr>
              <w:t>High Temperature Research Centre (HTRC)</w:t>
            </w:r>
          </w:p>
        </w:tc>
        <w:tc>
          <w:tcPr>
            <w:tcW w:w="1394" w:type="dxa"/>
            <w:tcBorders>
              <w:top w:val="single" w:sz="4" w:space="0" w:color="FFFFFF" w:themeColor="background1"/>
            </w:tcBorders>
            <w:shd w:val="clear" w:color="auto" w:fill="auto"/>
          </w:tcPr>
          <w:p w:rsidR="00B84942" w:rsidRPr="00D11DF7" w:rsidRDefault="00B84942" w:rsidP="007A6C8D">
            <w:pPr>
              <w:rPr>
                <w:rFonts w:ascii="Arial" w:hAnsi="Arial" w:cs="Arial"/>
              </w:rPr>
            </w:pPr>
            <w:r w:rsidRPr="00D11DF7">
              <w:rPr>
                <w:rFonts w:ascii="Arial" w:hAnsi="Arial" w:cs="Arial"/>
              </w:rPr>
              <w:t>£20.0m</w:t>
            </w:r>
          </w:p>
        </w:tc>
        <w:tc>
          <w:tcPr>
            <w:tcW w:w="1611" w:type="dxa"/>
            <w:tcBorders>
              <w:top w:val="single" w:sz="4" w:space="0" w:color="FFFFFF" w:themeColor="background1"/>
              <w:right w:val="single" w:sz="4" w:space="0" w:color="993366"/>
            </w:tcBorders>
            <w:shd w:val="clear" w:color="auto" w:fill="auto"/>
          </w:tcPr>
          <w:p w:rsidR="00B84942" w:rsidRPr="00D11DF7" w:rsidRDefault="00D441C7" w:rsidP="00D441C7">
            <w:pPr>
              <w:rPr>
                <w:rFonts w:ascii="Arial" w:hAnsi="Arial" w:cs="Arial"/>
              </w:rPr>
            </w:pPr>
            <w:r>
              <w:rPr>
                <w:rFonts w:ascii="Arial" w:hAnsi="Arial" w:cs="Arial"/>
              </w:rPr>
              <w:t>High Value Manufacturing</w:t>
            </w:r>
          </w:p>
        </w:tc>
      </w:tr>
      <w:tr w:rsidR="00B84942" w:rsidRPr="007A6C8D">
        <w:tc>
          <w:tcPr>
            <w:tcW w:w="2479" w:type="dxa"/>
            <w:tcBorders>
              <w:left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University of Cambridge</w:t>
            </w:r>
          </w:p>
        </w:tc>
        <w:tc>
          <w:tcPr>
            <w:tcW w:w="4224" w:type="dxa"/>
            <w:shd w:val="clear" w:color="auto" w:fill="auto"/>
          </w:tcPr>
          <w:p w:rsidR="00B84942" w:rsidRPr="00D11DF7" w:rsidRDefault="00B84942" w:rsidP="007A6C8D">
            <w:pPr>
              <w:rPr>
                <w:rFonts w:ascii="Arial" w:hAnsi="Arial" w:cs="Arial"/>
              </w:rPr>
            </w:pPr>
            <w:r w:rsidRPr="00D11DF7">
              <w:rPr>
                <w:rFonts w:ascii="Arial" w:hAnsi="Arial" w:cs="Arial"/>
              </w:rPr>
              <w:t>The Maxwell Centre</w:t>
            </w:r>
          </w:p>
        </w:tc>
        <w:tc>
          <w:tcPr>
            <w:tcW w:w="1394" w:type="dxa"/>
            <w:shd w:val="clear" w:color="auto" w:fill="auto"/>
          </w:tcPr>
          <w:p w:rsidR="00B84942" w:rsidRPr="00D11DF7" w:rsidRDefault="00B84942" w:rsidP="007A6C8D">
            <w:pPr>
              <w:rPr>
                <w:rFonts w:ascii="Arial" w:hAnsi="Arial" w:cs="Arial"/>
              </w:rPr>
            </w:pPr>
            <w:r w:rsidRPr="00D11DF7">
              <w:rPr>
                <w:rFonts w:ascii="Arial" w:hAnsi="Arial" w:cs="Arial"/>
              </w:rPr>
              <w:t>£21.0m</w:t>
            </w:r>
          </w:p>
        </w:tc>
        <w:tc>
          <w:tcPr>
            <w:tcW w:w="1611" w:type="dxa"/>
            <w:tcBorders>
              <w:right w:val="single" w:sz="4" w:space="0" w:color="993366"/>
            </w:tcBorders>
            <w:shd w:val="clear" w:color="auto" w:fill="auto"/>
          </w:tcPr>
          <w:p w:rsidR="00674BC0" w:rsidRDefault="00B84942" w:rsidP="00CA5BC4">
            <w:pPr>
              <w:rPr>
                <w:rFonts w:ascii="Arial" w:eastAsiaTheme="majorEastAsia" w:hAnsi="Arial" w:cs="Arial"/>
                <w:b/>
                <w:bCs/>
                <w:color w:val="CE665F"/>
                <w:sz w:val="28"/>
                <w:szCs w:val="40"/>
                <w:lang w:val="en-US"/>
              </w:rPr>
            </w:pPr>
            <w:r w:rsidRPr="00D11DF7">
              <w:rPr>
                <w:rFonts w:ascii="Arial" w:hAnsi="Arial" w:cs="Arial"/>
              </w:rPr>
              <w:t xml:space="preserve">Fundamental </w:t>
            </w:r>
            <w:r w:rsidR="00801BC6">
              <w:rPr>
                <w:rFonts w:ascii="Arial" w:hAnsi="Arial" w:cs="Arial"/>
              </w:rPr>
              <w:t>–</w:t>
            </w:r>
            <w:r w:rsidR="00801BC6" w:rsidRPr="00D11DF7">
              <w:rPr>
                <w:rFonts w:ascii="Arial" w:hAnsi="Arial" w:cs="Arial"/>
              </w:rPr>
              <w:t xml:space="preserve"> </w:t>
            </w:r>
            <w:r w:rsidRPr="00D11DF7">
              <w:rPr>
                <w:rFonts w:ascii="Arial" w:hAnsi="Arial" w:cs="Arial"/>
              </w:rPr>
              <w:t>Materials</w:t>
            </w:r>
          </w:p>
        </w:tc>
      </w:tr>
      <w:tr w:rsidR="00B84942" w:rsidRPr="007A6C8D">
        <w:tc>
          <w:tcPr>
            <w:tcW w:w="2479" w:type="dxa"/>
            <w:tcBorders>
              <w:left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University of Dundee</w:t>
            </w:r>
          </w:p>
        </w:tc>
        <w:tc>
          <w:tcPr>
            <w:tcW w:w="4224" w:type="dxa"/>
            <w:shd w:val="clear" w:color="auto" w:fill="auto"/>
          </w:tcPr>
          <w:p w:rsidR="00B84942" w:rsidRPr="00D11DF7" w:rsidRDefault="00B84942" w:rsidP="007A6C8D">
            <w:pPr>
              <w:rPr>
                <w:rFonts w:ascii="Arial" w:hAnsi="Arial" w:cs="Arial"/>
              </w:rPr>
            </w:pPr>
            <w:r w:rsidRPr="00D11DF7">
              <w:rPr>
                <w:rFonts w:ascii="Arial" w:hAnsi="Arial" w:cs="Arial"/>
              </w:rPr>
              <w:t>Centre for Translational and Interdisciplinary Research</w:t>
            </w:r>
            <w:r w:rsidR="003E606E">
              <w:rPr>
                <w:rFonts w:ascii="Arial" w:hAnsi="Arial" w:cs="Arial"/>
              </w:rPr>
              <w:t xml:space="preserve"> (CTIR)</w:t>
            </w:r>
          </w:p>
        </w:tc>
        <w:tc>
          <w:tcPr>
            <w:tcW w:w="1394" w:type="dxa"/>
            <w:shd w:val="clear" w:color="auto" w:fill="auto"/>
          </w:tcPr>
          <w:p w:rsidR="00B84942" w:rsidRPr="00D11DF7" w:rsidRDefault="00B84942" w:rsidP="007A6C8D">
            <w:pPr>
              <w:rPr>
                <w:rFonts w:ascii="Arial" w:hAnsi="Arial" w:cs="Arial"/>
              </w:rPr>
            </w:pPr>
            <w:r w:rsidRPr="00D11DF7">
              <w:rPr>
                <w:rFonts w:ascii="Arial" w:hAnsi="Arial" w:cs="Arial"/>
              </w:rPr>
              <w:t>£12.0m</w:t>
            </w:r>
          </w:p>
        </w:tc>
        <w:tc>
          <w:tcPr>
            <w:tcW w:w="1611" w:type="dxa"/>
            <w:tcBorders>
              <w:right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Bio-Medical</w:t>
            </w:r>
          </w:p>
        </w:tc>
      </w:tr>
      <w:tr w:rsidR="00B84942" w:rsidRPr="007A6C8D">
        <w:tc>
          <w:tcPr>
            <w:tcW w:w="2479" w:type="dxa"/>
            <w:tcBorders>
              <w:left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Kings College London (KCL)</w:t>
            </w:r>
          </w:p>
        </w:tc>
        <w:tc>
          <w:tcPr>
            <w:tcW w:w="4224" w:type="dxa"/>
            <w:shd w:val="clear" w:color="auto" w:fill="auto"/>
          </w:tcPr>
          <w:p w:rsidR="00B84942" w:rsidRPr="00D11DF7" w:rsidRDefault="00B84942" w:rsidP="007A6C8D">
            <w:pPr>
              <w:rPr>
                <w:rFonts w:ascii="Arial" w:hAnsi="Arial" w:cs="Arial"/>
              </w:rPr>
            </w:pPr>
            <w:r w:rsidRPr="00D11DF7">
              <w:rPr>
                <w:rFonts w:ascii="Arial" w:hAnsi="Arial" w:cs="Arial"/>
              </w:rPr>
              <w:t>Research and Innovation Hub in Cancer (RIHC)</w:t>
            </w:r>
          </w:p>
        </w:tc>
        <w:tc>
          <w:tcPr>
            <w:tcW w:w="1394" w:type="dxa"/>
            <w:shd w:val="clear" w:color="auto" w:fill="auto"/>
          </w:tcPr>
          <w:p w:rsidR="00B84942" w:rsidRPr="00D11DF7" w:rsidRDefault="00B84942" w:rsidP="007A6C8D">
            <w:pPr>
              <w:rPr>
                <w:rFonts w:ascii="Arial" w:hAnsi="Arial" w:cs="Arial"/>
              </w:rPr>
            </w:pPr>
            <w:r w:rsidRPr="00D11DF7">
              <w:rPr>
                <w:rFonts w:ascii="Arial" w:hAnsi="Arial" w:cs="Arial"/>
              </w:rPr>
              <w:t>£15.0m</w:t>
            </w:r>
          </w:p>
        </w:tc>
        <w:tc>
          <w:tcPr>
            <w:tcW w:w="1611" w:type="dxa"/>
            <w:tcBorders>
              <w:right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Clinical Medicine</w:t>
            </w:r>
          </w:p>
        </w:tc>
      </w:tr>
      <w:tr w:rsidR="00B84942" w:rsidRPr="007A6C8D">
        <w:tc>
          <w:tcPr>
            <w:tcW w:w="2479" w:type="dxa"/>
            <w:tcBorders>
              <w:left w:val="single" w:sz="4" w:space="0" w:color="993366"/>
              <w:bottom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University of Surrey</w:t>
            </w:r>
          </w:p>
        </w:tc>
        <w:tc>
          <w:tcPr>
            <w:tcW w:w="4224" w:type="dxa"/>
            <w:tcBorders>
              <w:bottom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5G Innovation Centre (5GIC)</w:t>
            </w:r>
          </w:p>
        </w:tc>
        <w:tc>
          <w:tcPr>
            <w:tcW w:w="1394" w:type="dxa"/>
            <w:tcBorders>
              <w:bottom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£11.6m</w:t>
            </w:r>
          </w:p>
        </w:tc>
        <w:tc>
          <w:tcPr>
            <w:tcW w:w="1611" w:type="dxa"/>
            <w:tcBorders>
              <w:bottom w:val="single" w:sz="4" w:space="0" w:color="993366"/>
              <w:right w:val="single" w:sz="4" w:space="0" w:color="993366"/>
            </w:tcBorders>
            <w:shd w:val="clear" w:color="auto" w:fill="auto"/>
          </w:tcPr>
          <w:p w:rsidR="00B84942" w:rsidRPr="00D11DF7" w:rsidRDefault="00B84942" w:rsidP="007A6C8D">
            <w:pPr>
              <w:rPr>
                <w:rFonts w:ascii="Arial" w:hAnsi="Arial" w:cs="Arial"/>
              </w:rPr>
            </w:pPr>
            <w:r w:rsidRPr="00D11DF7">
              <w:rPr>
                <w:rFonts w:ascii="Arial" w:hAnsi="Arial" w:cs="Arial"/>
              </w:rPr>
              <w:t xml:space="preserve">Engineering </w:t>
            </w:r>
            <w:r w:rsidR="00801BC6">
              <w:rPr>
                <w:rFonts w:ascii="Arial" w:hAnsi="Arial" w:cs="Arial"/>
              </w:rPr>
              <w:t>–</w:t>
            </w:r>
            <w:r w:rsidRPr="00D11DF7">
              <w:rPr>
                <w:rFonts w:ascii="Arial" w:hAnsi="Arial" w:cs="Arial"/>
              </w:rPr>
              <w:t xml:space="preserve"> Telecom</w:t>
            </w:r>
          </w:p>
        </w:tc>
      </w:tr>
    </w:tbl>
    <w:p w:rsidR="00B84942" w:rsidRDefault="00B84942" w:rsidP="007A6C8D">
      <w:pPr>
        <w:pStyle w:val="Belmananormal"/>
        <w:numPr>
          <w:ilvl w:val="0"/>
          <w:numId w:val="0"/>
        </w:numPr>
      </w:pPr>
    </w:p>
    <w:p w:rsidR="00B84942" w:rsidRPr="00B728EA" w:rsidRDefault="00B84942" w:rsidP="00B84942">
      <w:pPr>
        <w:pStyle w:val="Belmananormal"/>
      </w:pPr>
      <w:r>
        <w:t>Individuals were selected for interviews in terms of the functions they lead in a project, in an activity of the project or in the fund more generally</w:t>
      </w:r>
      <w:r w:rsidRPr="00C81251">
        <w:t xml:space="preserve">. </w:t>
      </w:r>
      <w:r w:rsidR="00801BC6">
        <w:t>A</w:t>
      </w:r>
      <w:r w:rsidRPr="00C81251">
        <w:t xml:space="preserve"> typology</w:t>
      </w:r>
      <w:r>
        <w:t xml:space="preserve"> </w:t>
      </w:r>
      <w:r w:rsidR="00801BC6">
        <w:t xml:space="preserve">was applied </w:t>
      </w:r>
      <w:r>
        <w:t>which</w:t>
      </w:r>
      <w:r w:rsidRPr="00C81251">
        <w:t xml:space="preserve"> </w:t>
      </w:r>
      <w:r>
        <w:t xml:space="preserve">distinguished between academic leadership, academic end users, commercial and external end users, and stakeholders operating in the wider context (such as co-funders, membership organisations and local bodies). </w:t>
      </w:r>
    </w:p>
    <w:p w:rsidR="00B84942" w:rsidRDefault="00B84942" w:rsidP="00B84942">
      <w:pPr>
        <w:pStyle w:val="Belmananormal"/>
      </w:pPr>
      <w:r>
        <w:t xml:space="preserve">The fieldwork entailed semi-structured interviews in person while conducting site visits. In some cases, additional follow-up interviews were conducted over the phone. </w:t>
      </w:r>
      <w:r w:rsidR="00334BCE">
        <w:t xml:space="preserve">Topic guides were designed with a set of questions for each of the key themes (background about the individual, project objectives, project inputs and delivery, outcomes, whether outcomes could be attributed to the funding and lessons learnt). </w:t>
      </w:r>
      <w:r>
        <w:t>The</w:t>
      </w:r>
      <w:r w:rsidR="00334BCE" w:rsidRPr="00334BCE">
        <w:t xml:space="preserve"> </w:t>
      </w:r>
      <w:r>
        <w:t xml:space="preserve">interviews were tailored to the respondent and case study type, </w:t>
      </w:r>
      <w:r w:rsidR="00334BCE">
        <w:t>recognising the different perspectives of different stakeholders in terms of their</w:t>
      </w:r>
      <w:r w:rsidRPr="00C81251">
        <w:t xml:space="preserve"> </w:t>
      </w:r>
      <w:r w:rsidR="00334BCE">
        <w:t>involvement in</w:t>
      </w:r>
      <w:r w:rsidRPr="00C81251">
        <w:t xml:space="preserve"> designing, deliveri</w:t>
      </w:r>
      <w:r>
        <w:t>ng and monitoring the projects.</w:t>
      </w:r>
      <w:r w:rsidR="00334BCE">
        <w:t xml:space="preserve"> In terms of outcomes, t</w:t>
      </w:r>
      <w:r>
        <w:t xml:space="preserve">he </w:t>
      </w:r>
      <w:r w:rsidRPr="00C81251">
        <w:t>interviews focus</w:t>
      </w:r>
      <w:r>
        <w:t>ed</w:t>
      </w:r>
      <w:r w:rsidRPr="00C81251">
        <w:t xml:space="preserve"> on R&amp;D, skills and spillovers expected or, in later phases, demonstrated, by the projects. </w:t>
      </w:r>
      <w:r>
        <w:t xml:space="preserve">Some questions also covered the delivery and construction aspects of the project which often involved innovative operational models and the procurement of new, complex equipment. </w:t>
      </w:r>
    </w:p>
    <w:p w:rsidR="00B84942" w:rsidRDefault="00B84942" w:rsidP="00B84942">
      <w:pPr>
        <w:pStyle w:val="Belmananormal"/>
      </w:pPr>
      <w:r w:rsidRPr="00D0663C">
        <w:t xml:space="preserve">Results from the interviews </w:t>
      </w:r>
      <w:r w:rsidR="00801BC6">
        <w:t xml:space="preserve">were </w:t>
      </w:r>
      <w:r>
        <w:t>analysed</w:t>
      </w:r>
      <w:r w:rsidRPr="00D0663C">
        <w:t xml:space="preserve"> using a structured appr</w:t>
      </w:r>
      <w:r>
        <w:t>oach. The interview</w:t>
      </w:r>
      <w:r w:rsidR="00334BCE">
        <w:t>s</w:t>
      </w:r>
      <w:r>
        <w:t xml:space="preserve"> were</w:t>
      </w:r>
      <w:r w:rsidR="00334BCE">
        <w:t xml:space="preserve"> recorded and</w:t>
      </w:r>
      <w:r>
        <w:t xml:space="preserve"> </w:t>
      </w:r>
      <w:r w:rsidR="00334BCE">
        <w:t xml:space="preserve">notes </w:t>
      </w:r>
      <w:r w:rsidR="00AB1392">
        <w:t xml:space="preserve">from each were </w:t>
      </w:r>
      <w:r w:rsidR="00334BCE">
        <w:t xml:space="preserve">entered </w:t>
      </w:r>
      <w:r>
        <w:t xml:space="preserve">into a spreadsheet </w:t>
      </w:r>
      <w:r w:rsidR="00BB697C">
        <w:t>that allowed</w:t>
      </w:r>
      <w:r>
        <w:t xml:space="preserve"> key points </w:t>
      </w:r>
      <w:r w:rsidR="00BB697C">
        <w:t xml:space="preserve">to be </w:t>
      </w:r>
      <w:r w:rsidR="00AB1392">
        <w:t>first coded and then analysed</w:t>
      </w:r>
      <w:r w:rsidR="00BB697C">
        <w:t xml:space="preserve">. </w:t>
      </w:r>
      <w:r w:rsidR="00AB1392">
        <w:t xml:space="preserve">The </w:t>
      </w:r>
      <w:r w:rsidR="00BB697C">
        <w:t xml:space="preserve">studies </w:t>
      </w:r>
      <w:r w:rsidR="00791F59">
        <w:t>synthesise</w:t>
      </w:r>
      <w:r w:rsidR="00AB1392">
        <w:t xml:space="preserve"> across interviews and, during this process,</w:t>
      </w:r>
      <w:r w:rsidR="00BB697C">
        <w:t xml:space="preserve"> material was anonymised</w:t>
      </w:r>
      <w:r w:rsidR="00AB1392">
        <w:t xml:space="preserve"> (</w:t>
      </w:r>
      <w:r w:rsidR="00BB697C">
        <w:t xml:space="preserve">though a </w:t>
      </w:r>
      <w:r>
        <w:t>referencing system to establish a clear audit trail</w:t>
      </w:r>
      <w:r w:rsidR="00BB697C">
        <w:t xml:space="preserve"> has been maintained in the dataset</w:t>
      </w:r>
      <w:r w:rsidR="00AB1392">
        <w:t>)</w:t>
      </w:r>
      <w:r>
        <w:t xml:space="preserve">. </w:t>
      </w:r>
    </w:p>
    <w:p w:rsidR="00B84942" w:rsidRDefault="00B84942" w:rsidP="00B84942">
      <w:pPr>
        <w:pStyle w:val="Belmananormal"/>
      </w:pPr>
      <w:r>
        <w:t>A key part of this analysis was to triangulate across interviews, monitoring information and the document review. As the case studies developed</w:t>
      </w:r>
      <w:r w:rsidR="00413913">
        <w:t>,</w:t>
      </w:r>
      <w:r>
        <w:t xml:space="preserve"> key themes around the</w:t>
      </w:r>
      <w:r w:rsidR="00413913">
        <w:t xml:space="preserve"> novel</w:t>
      </w:r>
      <w:r>
        <w:t xml:space="preserve"> operati</w:t>
      </w:r>
      <w:r w:rsidR="00413913">
        <w:t>ng</w:t>
      </w:r>
      <w:r>
        <w:t xml:space="preserve"> model and collaborative nature of work around commercialisation started to emerge, and this was incorporated into the synthesis. For each case study a detailed report was written u</w:t>
      </w:r>
      <w:r w:rsidR="00D441C7">
        <w:t>p which was converted into a four</w:t>
      </w:r>
      <w:r>
        <w:t xml:space="preserve">-page overview per study. The overviews were discussed and verified with HEFCE and project personnel, and a final synthesis was made across the five projects to pull out overarching themes. </w:t>
      </w:r>
    </w:p>
    <w:p w:rsidR="00AB1392" w:rsidRPr="00CA5BC4" w:rsidRDefault="00B84942" w:rsidP="00CA5BC4">
      <w:pPr>
        <w:pStyle w:val="Belmananormal"/>
      </w:pPr>
      <w:r>
        <w:t xml:space="preserve">Due to the nature of projects funded through the </w:t>
      </w:r>
      <w:r w:rsidR="00413913">
        <w:t xml:space="preserve">first four </w:t>
      </w:r>
      <w:r>
        <w:t>UKRPIF</w:t>
      </w:r>
      <w:r w:rsidR="00413913">
        <w:t xml:space="preserve"> rounds</w:t>
      </w:r>
      <w:r>
        <w:t xml:space="preserve"> the case studies were all focused on </w:t>
      </w:r>
      <w:r w:rsidR="00801BC6">
        <w:t>science, technology, engineering and mathematics (</w:t>
      </w:r>
      <w:r>
        <w:t>STEM</w:t>
      </w:r>
      <w:r w:rsidR="00801BC6">
        <w:t>)</w:t>
      </w:r>
      <w:r>
        <w:t xml:space="preserve"> research. To inform </w:t>
      </w:r>
      <w:r w:rsidR="00801BC6">
        <w:t xml:space="preserve">the development of </w:t>
      </w:r>
      <w:r>
        <w:t>a framework and evaluation guidance that c</w:t>
      </w:r>
      <w:r w:rsidR="00413913">
        <w:t>an</w:t>
      </w:r>
      <w:r>
        <w:t xml:space="preserve"> be applied also to social sciences</w:t>
      </w:r>
      <w:r w:rsidR="00413913">
        <w:t>,</w:t>
      </w:r>
      <w:r>
        <w:t xml:space="preserve"> an additional consultation was undertaken with the Alliance Manchester Business School (AMBS) which has recently benefited from UKRPIF funding. The Head of School and</w:t>
      </w:r>
      <w:r w:rsidR="00462943">
        <w:t xml:space="preserve"> the</w:t>
      </w:r>
      <w:r>
        <w:t xml:space="preserve"> </w:t>
      </w:r>
      <w:r w:rsidR="00D441C7">
        <w:t>Deputy Vice Chancellor</w:t>
      </w:r>
      <w:r>
        <w:t xml:space="preserve"> were </w:t>
      </w:r>
      <w:r w:rsidR="00462943">
        <w:t xml:space="preserve">both </w:t>
      </w:r>
      <w:r>
        <w:t xml:space="preserve">consulted </w:t>
      </w:r>
      <w:r w:rsidR="00801BC6">
        <w:t xml:space="preserve">on </w:t>
      </w:r>
      <w:r>
        <w:t xml:space="preserve">project goals and objectives, </w:t>
      </w:r>
      <w:r w:rsidR="00801BC6">
        <w:t xml:space="preserve">as well as </w:t>
      </w:r>
      <w:r>
        <w:t>the methods applied to gauge emerging outputs and impacts, wider benefits and additionality. The type</w:t>
      </w:r>
      <w:r w:rsidR="00801BC6">
        <w:t>s</w:t>
      </w:r>
      <w:r>
        <w:t xml:space="preserve"> of collaborations and co-investment were also discussed and compared to those of STEM</w:t>
      </w:r>
      <w:r w:rsidR="00801BC6">
        <w:t>-</w:t>
      </w:r>
      <w:r>
        <w:t>focused projects.</w:t>
      </w:r>
      <w:r w:rsidR="00AB1392">
        <w:br w:type="page"/>
      </w:r>
    </w:p>
    <w:p w:rsidR="00B84942" w:rsidRPr="008C2E15" w:rsidRDefault="001549E6" w:rsidP="00CA5BC4">
      <w:pPr>
        <w:pStyle w:val="BelmanaHeadNumbered"/>
      </w:pPr>
      <w:bookmarkStart w:id="37" w:name="_Toc499548017"/>
      <w:bookmarkStart w:id="38" w:name="_Toc514831646"/>
      <w:r>
        <w:t xml:space="preserve">Overview of </w:t>
      </w:r>
      <w:r w:rsidRPr="00CA5BC4">
        <w:t>the</w:t>
      </w:r>
      <w:r>
        <w:t xml:space="preserve"> UKRPIF</w:t>
      </w:r>
      <w:r w:rsidR="00B84942" w:rsidRPr="008C2E15">
        <w:t xml:space="preserve"> </w:t>
      </w:r>
      <w:r w:rsidR="00801BC6">
        <w:t>p</w:t>
      </w:r>
      <w:r w:rsidR="00B84942" w:rsidRPr="008C2E15">
        <w:t>rojects</w:t>
      </w:r>
      <w:bookmarkEnd w:id="37"/>
      <w:bookmarkEnd w:id="38"/>
    </w:p>
    <w:p w:rsidR="00B84942" w:rsidRPr="008C2E15" w:rsidRDefault="00B84942" w:rsidP="007A6C8D">
      <w:pPr>
        <w:pStyle w:val="Belmananormal"/>
        <w:numPr>
          <w:ilvl w:val="0"/>
          <w:numId w:val="24"/>
        </w:numPr>
      </w:pPr>
      <w:r w:rsidRPr="008C2E15">
        <w:t xml:space="preserve">This </w:t>
      </w:r>
      <w:r>
        <w:t>chapter</w:t>
      </w:r>
      <w:r w:rsidRPr="008C2E15">
        <w:t xml:space="preserve"> </w:t>
      </w:r>
      <w:r w:rsidR="00605247">
        <w:t>uses</w:t>
      </w:r>
      <w:r w:rsidRPr="008C2E15">
        <w:t xml:space="preserve"> the funding and business case evidence</w:t>
      </w:r>
      <w:r>
        <w:t xml:space="preserve"> to</w:t>
      </w:r>
      <w:r w:rsidRPr="008C2E15">
        <w:t xml:space="preserve"> characteris</w:t>
      </w:r>
      <w:r>
        <w:t>e</w:t>
      </w:r>
      <w:r w:rsidRPr="008C2E15">
        <w:t xml:space="preserve"> the investments in terms of discipline, type of capital and size of co-investment. It should be noted that an assessment of deadweight</w:t>
      </w:r>
      <w:r w:rsidR="00605247">
        <w:t xml:space="preserve"> is not provided</w:t>
      </w:r>
      <w:r w:rsidR="00413913">
        <w:t>,</w:t>
      </w:r>
      <w:r w:rsidRPr="008C2E15">
        <w:t xml:space="preserve"> i.e. how much of the overall project investment would have been carried out in the absence of the UKRPIF</w:t>
      </w:r>
      <w:r w:rsidR="00B81AD7">
        <w:t xml:space="preserve"> funding</w:t>
      </w:r>
      <w:r w:rsidRPr="008C2E15">
        <w:t>.</w:t>
      </w:r>
    </w:p>
    <w:p w:rsidR="007641CC" w:rsidRDefault="00B84942">
      <w:pPr>
        <w:pStyle w:val="Belmananormal"/>
      </w:pPr>
      <w:r w:rsidRPr="008C2E15">
        <w:t xml:space="preserve">Table 2 presents the allocations of UKRPIF </w:t>
      </w:r>
      <w:r w:rsidR="00840DB6">
        <w:t xml:space="preserve">grants </w:t>
      </w:r>
      <w:r w:rsidRPr="008C2E15">
        <w:t xml:space="preserve">by each of the five rounds of funding. </w:t>
      </w:r>
      <w:r>
        <w:t xml:space="preserve">The analysis </w:t>
      </w:r>
      <w:r w:rsidR="00605247">
        <w:t xml:space="preserve">is based on </w:t>
      </w:r>
      <w:r>
        <w:t xml:space="preserve">committed </w:t>
      </w:r>
      <w:r w:rsidR="003B0AB3">
        <w:t>co-investment and</w:t>
      </w:r>
      <w:r>
        <w:t xml:space="preserve"> </w:t>
      </w:r>
      <w:r w:rsidR="006C07C1">
        <w:t>consider</w:t>
      </w:r>
      <w:r w:rsidR="00605247">
        <w:t>s</w:t>
      </w:r>
      <w:r>
        <w:t xml:space="preserve"> </w:t>
      </w:r>
      <w:r w:rsidR="00605247">
        <w:t>revisions to the co-investment</w:t>
      </w:r>
      <w:r>
        <w:t xml:space="preserve">. </w:t>
      </w:r>
      <w:r w:rsidR="00605247">
        <w:t>R</w:t>
      </w:r>
      <w:r>
        <w:t>evisions in co-investment profiles have resulted in an increase in the amount of co-investment</w:t>
      </w:r>
      <w:r w:rsidR="007641CC">
        <w:t xml:space="preserve"> from the £1.67bn committed in the initial bids to £1.73bn. This constitutes</w:t>
      </w:r>
      <w:r>
        <w:t xml:space="preserve"> an aggregate positive variance of £53m across all projects funded</w:t>
      </w:r>
      <w:r w:rsidR="007641CC">
        <w:rPr>
          <w:rStyle w:val="FootnoteReference"/>
        </w:rPr>
        <w:footnoteReference w:id="2"/>
      </w:r>
      <w:r>
        <w:t xml:space="preserve">. In aggregate, committed co-investment reported to HEFCE made up 72% of the total project funds. </w:t>
      </w:r>
    </w:p>
    <w:p w:rsidR="00D17F8B" w:rsidRDefault="00B84942" w:rsidP="00D17F8B">
      <w:pPr>
        <w:pStyle w:val="Belmananormal"/>
      </w:pPr>
      <w:r w:rsidRPr="008C2E15">
        <w:t>Round 5 has allocated the most funding with a total of £2</w:t>
      </w:r>
      <w:r>
        <w:t>30</w:t>
      </w:r>
      <w:r w:rsidRPr="008C2E15">
        <w:t xml:space="preserve">m going towards 11 projects. Round 1, on the other hand, has received (or </w:t>
      </w:r>
      <w:r w:rsidR="00605247">
        <w:t xml:space="preserve">is </w:t>
      </w:r>
      <w:r w:rsidRPr="008C2E15">
        <w:t>due to receive) the most private co-investment for 13 projects (£</w:t>
      </w:r>
      <w:r>
        <w:t>549</w:t>
      </w:r>
      <w:r w:rsidRPr="008C2E15">
        <w:t>m).</w:t>
      </w:r>
    </w:p>
    <w:p w:rsidR="00D17F8B" w:rsidRPr="008C2E15" w:rsidRDefault="00D17F8B" w:rsidP="00D17F8B">
      <w:pPr>
        <w:pStyle w:val="Belmana2"/>
      </w:pPr>
      <w:bookmarkStart w:id="39" w:name="_Toc499548019"/>
      <w:bookmarkStart w:id="40" w:name="_Toc514831647"/>
      <w:r w:rsidRPr="008C2E15">
        <w:t xml:space="preserve">UKRPIF </w:t>
      </w:r>
      <w:r w:rsidR="00710881">
        <w:t xml:space="preserve">funding </w:t>
      </w:r>
      <w:r w:rsidRPr="008C2E15">
        <w:t>by discipline</w:t>
      </w:r>
      <w:bookmarkEnd w:id="39"/>
      <w:bookmarkEnd w:id="40"/>
    </w:p>
    <w:p w:rsidR="00D17F8B" w:rsidRPr="008C2E15" w:rsidRDefault="00D17F8B" w:rsidP="00D17F8B">
      <w:pPr>
        <w:pStyle w:val="Belmananormal"/>
      </w:pPr>
      <w:r w:rsidRPr="008C2E15">
        <w:t>All 43 projects supported by the UKRPIF during Round</w:t>
      </w:r>
      <w:r w:rsidR="00605247">
        <w:t>s</w:t>
      </w:r>
      <w:r w:rsidRPr="008C2E15">
        <w:t xml:space="preserve"> 1 to 5 have been categorised according to six different disciplines: Bio-medical, Engineering, High-value Manufacturing (HVM), Clinical Medicine, Fundamental Research</w:t>
      </w:r>
      <w:r w:rsidR="00462943">
        <w:t>,</w:t>
      </w:r>
      <w:r w:rsidRPr="008C2E15">
        <w:t xml:space="preserve"> and Social Science. These six headings were selected to reflect the</w:t>
      </w:r>
      <w:r w:rsidR="004056B5">
        <w:t xml:space="preserve"> diversity of projects</w:t>
      </w:r>
      <w:r w:rsidRPr="008C2E15">
        <w:t xml:space="preserve"> across the portfolio. One feature of the UKRPIF is that because the programme fosters collaborative partnerships, projects do not necessarily fit within academic disciplines. Many </w:t>
      </w:r>
      <w:r w:rsidR="00605247">
        <w:t>operate</w:t>
      </w:r>
      <w:r w:rsidR="00605247" w:rsidRPr="008C2E15">
        <w:t xml:space="preserve"> </w:t>
      </w:r>
      <w:r w:rsidRPr="008C2E15">
        <w:t>across academic departments to work with industry and/or charities</w:t>
      </w:r>
      <w:r w:rsidR="004056B5">
        <w:t xml:space="preserve"> and</w:t>
      </w:r>
      <w:r w:rsidR="00605247">
        <w:t>/</w:t>
      </w:r>
      <w:r w:rsidR="004056B5">
        <w:t>or</w:t>
      </w:r>
      <w:r w:rsidR="00605247">
        <w:t xml:space="preserve"> </w:t>
      </w:r>
      <w:r w:rsidRPr="008C2E15">
        <w:t xml:space="preserve">philanthropists. </w:t>
      </w:r>
    </w:p>
    <w:p w:rsidR="00D17F8B" w:rsidRPr="008C2E15" w:rsidRDefault="00D17F8B" w:rsidP="00D17F8B">
      <w:pPr>
        <w:pStyle w:val="Belmananormal"/>
        <w:spacing w:after="60"/>
      </w:pPr>
      <w:r w:rsidRPr="008C2E15">
        <w:t xml:space="preserve">The definitions of the six disciplines are as follows: </w:t>
      </w:r>
    </w:p>
    <w:p w:rsidR="00D17F8B" w:rsidRPr="008C2E15" w:rsidRDefault="00D17F8B" w:rsidP="00D17F8B">
      <w:pPr>
        <w:pStyle w:val="Belmana4normal"/>
        <w:numPr>
          <w:ilvl w:val="0"/>
          <w:numId w:val="3"/>
        </w:numPr>
        <w:spacing w:after="60"/>
      </w:pPr>
      <w:r w:rsidRPr="0048245C">
        <w:rPr>
          <w:i/>
        </w:rPr>
        <w:t>High-Value Manufacturing</w:t>
      </w:r>
      <w:r w:rsidRPr="008C2E15">
        <w:t xml:space="preserve"> covers projects where investment supports the application of leading</w:t>
      </w:r>
      <w:r w:rsidR="00605247">
        <w:t>-</w:t>
      </w:r>
      <w:r w:rsidRPr="008C2E15">
        <w:t>edge technical knowledge and expertise to the creation of products, production processes and associated services.</w:t>
      </w:r>
    </w:p>
    <w:p w:rsidR="00D17F8B" w:rsidRPr="008C2E15" w:rsidRDefault="00D17F8B" w:rsidP="00D17F8B">
      <w:pPr>
        <w:pStyle w:val="Belmana4normal"/>
        <w:numPr>
          <w:ilvl w:val="0"/>
          <w:numId w:val="3"/>
        </w:numPr>
        <w:spacing w:after="60"/>
      </w:pPr>
      <w:r w:rsidRPr="0048245C">
        <w:rPr>
          <w:i/>
        </w:rPr>
        <w:t>Engineering</w:t>
      </w:r>
      <w:r w:rsidRPr="008C2E15">
        <w:t xml:space="preserve"> projects are outside those focused on manufacturing but involving science and technology concerned with engines, machines and structures.</w:t>
      </w:r>
    </w:p>
    <w:p w:rsidR="00D17F8B" w:rsidRDefault="00D17F8B" w:rsidP="00D17F8B">
      <w:pPr>
        <w:pStyle w:val="Belmana4normal"/>
        <w:numPr>
          <w:ilvl w:val="0"/>
          <w:numId w:val="3"/>
        </w:numPr>
        <w:spacing w:after="60"/>
      </w:pPr>
      <w:r w:rsidRPr="0048245C">
        <w:rPr>
          <w:i/>
        </w:rPr>
        <w:t>Clinical Medicine</w:t>
      </w:r>
      <w:r w:rsidRPr="008C2E15">
        <w:t xml:space="preserve"> projects are closely allied with front-line healthcare, supporting hospitals or other providers as they diagnose, treat or prevent disease.</w:t>
      </w:r>
    </w:p>
    <w:p w:rsidR="00D17F8B" w:rsidRPr="008C2E15" w:rsidRDefault="00D17F8B" w:rsidP="00D17F8B">
      <w:pPr>
        <w:pStyle w:val="Belmana4normal"/>
        <w:numPr>
          <w:ilvl w:val="0"/>
          <w:numId w:val="3"/>
        </w:numPr>
        <w:spacing w:after="60"/>
      </w:pPr>
      <w:r w:rsidRPr="0048245C">
        <w:rPr>
          <w:i/>
        </w:rPr>
        <w:t>Bio-medical</w:t>
      </w:r>
      <w:r w:rsidRPr="008C2E15">
        <w:rPr>
          <w:b/>
        </w:rPr>
        <w:t xml:space="preserve"> </w:t>
      </w:r>
      <w:r w:rsidRPr="008C2E15">
        <w:t xml:space="preserve">projects foster translational activity (often with pharmaceutical companies) bridging the gap between research and clinical outputs. </w:t>
      </w:r>
    </w:p>
    <w:p w:rsidR="00D17F8B" w:rsidRPr="008C2E15" w:rsidRDefault="00D17F8B" w:rsidP="00D17F8B">
      <w:pPr>
        <w:pStyle w:val="Belmana4normal"/>
        <w:numPr>
          <w:ilvl w:val="0"/>
          <w:numId w:val="3"/>
        </w:numPr>
        <w:spacing w:after="60"/>
      </w:pPr>
      <w:r w:rsidRPr="0048245C">
        <w:rPr>
          <w:i/>
        </w:rPr>
        <w:t xml:space="preserve">Fundamental Research </w:t>
      </w:r>
      <w:r w:rsidRPr="008C2E15">
        <w:t>facilities support experimental or theoretical work to acquire new knowledge. Fundamental breakthroughs in science can ultimately impact industry and society. This type of research also tends to operate in a longer time frame and so complements the more short-term commercial R&amp;D outside of academia.</w:t>
      </w:r>
    </w:p>
    <w:p w:rsidR="00D17F8B" w:rsidRPr="008C2E15" w:rsidRDefault="00D17F8B" w:rsidP="00D17F8B">
      <w:pPr>
        <w:pStyle w:val="Belmana4normal"/>
        <w:numPr>
          <w:ilvl w:val="0"/>
          <w:numId w:val="3"/>
        </w:numPr>
      </w:pPr>
      <w:r w:rsidRPr="0048245C">
        <w:rPr>
          <w:i/>
        </w:rPr>
        <w:t>Social Science</w:t>
      </w:r>
      <w:r w:rsidRPr="008C2E15">
        <w:t xml:space="preserve"> projects study society in the broadest sense and the interpersonal relationships of individuals as members of society. The research can be interdisciplinary in nature taking insights from other disciplines. </w:t>
      </w:r>
    </w:p>
    <w:tbl>
      <w:tblPr>
        <w:tblW w:w="9639" w:type="dxa"/>
        <w:tblLayout w:type="fixed"/>
        <w:tblLook w:val="04A0" w:firstRow="1" w:lastRow="0" w:firstColumn="1" w:lastColumn="0" w:noHBand="0" w:noVBand="1"/>
      </w:tblPr>
      <w:tblGrid>
        <w:gridCol w:w="1606"/>
        <w:gridCol w:w="1607"/>
        <w:gridCol w:w="1606"/>
        <w:gridCol w:w="1607"/>
        <w:gridCol w:w="1606"/>
        <w:gridCol w:w="1607"/>
      </w:tblGrid>
      <w:tr w:rsidR="00B84942" w:rsidRPr="00FE4FE6">
        <w:trPr>
          <w:trHeight w:val="80"/>
        </w:trPr>
        <w:tc>
          <w:tcPr>
            <w:tcW w:w="9639" w:type="dxa"/>
            <w:gridSpan w:val="6"/>
            <w:vAlign w:val="center"/>
          </w:tcPr>
          <w:p w:rsidR="00A60166" w:rsidRDefault="00B84942">
            <w:pPr>
              <w:pStyle w:val="BelmanaTableTitle"/>
              <w:rPr>
                <w:lang w:eastAsia="en-GB"/>
              </w:rPr>
            </w:pPr>
            <w:bookmarkStart w:id="41" w:name="_Toc492459924"/>
            <w:bookmarkStart w:id="42" w:name="_Toc499548087"/>
            <w:r w:rsidRPr="00FE4FE6">
              <w:t xml:space="preserve">Table </w:t>
            </w:r>
            <w:r w:rsidR="00735EA0">
              <w:t>2</w:t>
            </w:r>
            <w:r w:rsidRPr="00FE4FE6">
              <w:rPr>
                <w:lang w:eastAsia="en-GB"/>
              </w:rPr>
              <w:t>: Funding by UKRPIF</w:t>
            </w:r>
            <w:bookmarkEnd w:id="41"/>
            <w:bookmarkEnd w:id="42"/>
            <w:r w:rsidR="00605247">
              <w:rPr>
                <w:lang w:eastAsia="en-GB"/>
              </w:rPr>
              <w:t xml:space="preserve"> round</w:t>
            </w:r>
          </w:p>
        </w:tc>
      </w:tr>
      <w:tr w:rsidR="00B84942" w:rsidRPr="00FE4FE6">
        <w:trPr>
          <w:trHeight w:val="80"/>
        </w:trPr>
        <w:tc>
          <w:tcPr>
            <w:tcW w:w="1606" w:type="dxa"/>
            <w:tcBorders>
              <w:left w:val="single" w:sz="4" w:space="0" w:color="993366"/>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Round</w:t>
            </w:r>
          </w:p>
        </w:tc>
        <w:tc>
          <w:tcPr>
            <w:tcW w:w="1607"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UKRPIF </w:t>
            </w:r>
            <w:r w:rsidR="006C07C1" w:rsidRPr="00513FAC">
              <w:rPr>
                <w:rFonts w:ascii="Arial" w:eastAsia="Times New Roman" w:hAnsi="Arial" w:cs="Arial"/>
                <w:b/>
                <w:color w:val="FFFFFF" w:themeColor="background1"/>
                <w:szCs w:val="24"/>
                <w:lang w:eastAsia="en-GB"/>
              </w:rPr>
              <w:t xml:space="preserve">Funding </w:t>
            </w:r>
            <w:r w:rsidRPr="00513FAC">
              <w:rPr>
                <w:rFonts w:ascii="Arial" w:eastAsia="Times New Roman" w:hAnsi="Arial" w:cs="Arial"/>
                <w:b/>
                <w:color w:val="FFFFFF" w:themeColor="background1"/>
                <w:szCs w:val="24"/>
                <w:lang w:eastAsia="en-GB"/>
              </w:rPr>
              <w:t>(£m)</w:t>
            </w:r>
          </w:p>
        </w:tc>
        <w:tc>
          <w:tcPr>
            <w:tcW w:w="1606"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Co-investment (£m)</w:t>
            </w:r>
          </w:p>
        </w:tc>
        <w:tc>
          <w:tcPr>
            <w:tcW w:w="1607"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Total</w:t>
            </w:r>
          </w:p>
        </w:tc>
        <w:tc>
          <w:tcPr>
            <w:tcW w:w="1606"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UKRPIF </w:t>
            </w:r>
            <w:r w:rsidR="00605247">
              <w:rPr>
                <w:rFonts w:ascii="Arial" w:eastAsia="Times New Roman" w:hAnsi="Arial" w:cs="Arial"/>
                <w:b/>
                <w:color w:val="FFFFFF" w:themeColor="background1"/>
                <w:szCs w:val="24"/>
                <w:lang w:eastAsia="en-GB"/>
              </w:rPr>
              <w:t>F</w:t>
            </w:r>
            <w:r w:rsidRPr="00513FAC">
              <w:rPr>
                <w:rFonts w:ascii="Arial" w:eastAsia="Times New Roman" w:hAnsi="Arial" w:cs="Arial"/>
                <w:b/>
                <w:color w:val="FFFFFF" w:themeColor="background1"/>
                <w:szCs w:val="24"/>
                <w:lang w:eastAsia="en-GB"/>
              </w:rPr>
              <w:t>unding</w:t>
            </w:r>
          </w:p>
          <w:p w:rsidR="00C46FEF" w:rsidRPr="00513FAC" w:rsidRDefault="00C46FEF" w:rsidP="00506E38">
            <w:pPr>
              <w:jc w:val="center"/>
              <w:rPr>
                <w:rFonts w:ascii="Arial" w:eastAsia="Times New Roman" w:hAnsi="Arial" w:cs="Arial"/>
                <w:b/>
                <w:color w:val="FFFFFF" w:themeColor="background1"/>
                <w:szCs w:val="24"/>
                <w:lang w:eastAsia="en-GB"/>
              </w:rPr>
            </w:pPr>
            <w:r>
              <w:rPr>
                <w:rFonts w:ascii="Arial" w:eastAsia="Times New Roman" w:hAnsi="Arial" w:cs="Arial"/>
                <w:b/>
                <w:color w:val="FFFFFF" w:themeColor="background1"/>
                <w:szCs w:val="24"/>
                <w:lang w:eastAsia="en-GB"/>
              </w:rPr>
              <w:t>(%)</w:t>
            </w:r>
          </w:p>
        </w:tc>
        <w:tc>
          <w:tcPr>
            <w:tcW w:w="1607" w:type="dxa"/>
            <w:tcBorders>
              <w:left w:val="single" w:sz="4" w:space="0" w:color="FFFFFF" w:themeColor="background1"/>
              <w:bottom w:val="single" w:sz="4" w:space="0" w:color="993365"/>
              <w:right w:val="single" w:sz="4" w:space="0" w:color="993366"/>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Co-investment </w:t>
            </w:r>
            <w:r w:rsidR="00C46FEF">
              <w:rPr>
                <w:rFonts w:ascii="Arial" w:eastAsia="Times New Roman" w:hAnsi="Arial" w:cs="Arial"/>
                <w:b/>
                <w:color w:val="FFFFFF" w:themeColor="background1"/>
                <w:szCs w:val="24"/>
                <w:lang w:eastAsia="en-GB"/>
              </w:rPr>
              <w:t>(%)</w:t>
            </w:r>
          </w:p>
        </w:tc>
      </w:tr>
      <w:tr w:rsidR="00B84942" w:rsidRPr="00FE4FE6">
        <w:trPr>
          <w:trHeight w:val="360"/>
        </w:trPr>
        <w:tc>
          <w:tcPr>
            <w:tcW w:w="1606" w:type="dxa"/>
            <w:tcBorders>
              <w:top w:val="single" w:sz="4" w:space="0" w:color="993365"/>
              <w:left w:val="single" w:sz="4" w:space="0" w:color="993366"/>
              <w:right w:val="single" w:sz="4" w:space="0" w:color="FFFFFF" w:themeColor="background1"/>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w:t>
            </w:r>
          </w:p>
        </w:tc>
        <w:tc>
          <w:tcPr>
            <w:tcW w:w="1607" w:type="dxa"/>
            <w:tcBorders>
              <w:top w:val="single" w:sz="4" w:space="0" w:color="993365"/>
              <w:left w:val="single" w:sz="4" w:space="0" w:color="FFFFFF" w:themeColor="background1"/>
              <w:right w:val="single" w:sz="4" w:space="0" w:color="FFFFFF" w:themeColor="background1"/>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186</w:t>
            </w:r>
          </w:p>
        </w:tc>
        <w:tc>
          <w:tcPr>
            <w:tcW w:w="1606" w:type="dxa"/>
            <w:tcBorders>
              <w:top w:val="single" w:sz="4" w:space="0" w:color="993365"/>
              <w:left w:val="single" w:sz="4" w:space="0" w:color="FFFFFF" w:themeColor="background1"/>
              <w:right w:val="single" w:sz="4" w:space="0" w:color="FFFFFF" w:themeColor="background1"/>
            </w:tcBorders>
            <w:vAlign w:val="center"/>
          </w:tcPr>
          <w:p w:rsidR="00B84942" w:rsidRPr="00FE4FE6" w:rsidRDefault="00B84942"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549</w:t>
            </w:r>
          </w:p>
        </w:tc>
        <w:tc>
          <w:tcPr>
            <w:tcW w:w="1607" w:type="dxa"/>
            <w:tcBorders>
              <w:top w:val="single" w:sz="4" w:space="0" w:color="993365"/>
              <w:left w:val="single" w:sz="4" w:space="0" w:color="FFFFFF" w:themeColor="background1"/>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735</w:t>
            </w:r>
          </w:p>
        </w:tc>
        <w:tc>
          <w:tcPr>
            <w:tcW w:w="1606" w:type="dxa"/>
            <w:tcBorders>
              <w:top w:val="single" w:sz="4" w:space="0" w:color="993365"/>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5</w:t>
            </w:r>
            <w:r w:rsidRPr="00FE4FE6">
              <w:rPr>
                <w:rFonts w:ascii="Arial" w:eastAsia="Times New Roman" w:hAnsi="Arial" w:cs="Arial"/>
                <w:color w:val="000000"/>
                <w:sz w:val="20"/>
                <w:szCs w:val="20"/>
                <w:lang w:eastAsia="en-GB"/>
              </w:rPr>
              <w:t>%</w:t>
            </w:r>
          </w:p>
        </w:tc>
        <w:tc>
          <w:tcPr>
            <w:tcW w:w="1607" w:type="dxa"/>
            <w:tcBorders>
              <w:top w:val="single" w:sz="4" w:space="0" w:color="993365"/>
              <w:left w:val="nil"/>
              <w:right w:val="single" w:sz="4" w:space="0" w:color="993366"/>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7</w:t>
            </w:r>
            <w:r w:rsidR="006C288F">
              <w:rPr>
                <w:rFonts w:ascii="Arial" w:eastAsia="Times New Roman" w:hAnsi="Arial" w:cs="Arial"/>
                <w:color w:val="000000"/>
                <w:sz w:val="20"/>
                <w:szCs w:val="20"/>
                <w:lang w:eastAsia="en-GB"/>
              </w:rPr>
              <w:t>5</w:t>
            </w:r>
            <w:r w:rsidRPr="00FE4FE6">
              <w:rPr>
                <w:rFonts w:ascii="Arial" w:eastAsia="Times New Roman" w:hAnsi="Arial" w:cs="Arial"/>
                <w:color w:val="000000"/>
                <w:sz w:val="20"/>
                <w:szCs w:val="20"/>
                <w:lang w:eastAsia="en-GB"/>
              </w:rPr>
              <w:t>%</w:t>
            </w:r>
          </w:p>
        </w:tc>
      </w:tr>
      <w:tr w:rsidR="00B84942" w:rsidRPr="00FE4FE6">
        <w:trPr>
          <w:trHeight w:val="360"/>
        </w:trPr>
        <w:tc>
          <w:tcPr>
            <w:tcW w:w="1606" w:type="dxa"/>
            <w:tcBorders>
              <w:top w:val="nil"/>
              <w:left w:val="single" w:sz="4" w:space="0" w:color="993366"/>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w:t>
            </w:r>
          </w:p>
        </w:tc>
        <w:tc>
          <w:tcPr>
            <w:tcW w:w="1607" w:type="dxa"/>
            <w:tcBorders>
              <w:top w:val="nil"/>
              <w:left w:val="nil"/>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115</w:t>
            </w:r>
          </w:p>
        </w:tc>
        <w:tc>
          <w:tcPr>
            <w:tcW w:w="1606"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3</w:t>
            </w:r>
            <w:r>
              <w:rPr>
                <w:rFonts w:ascii="Arial" w:eastAsia="Times New Roman" w:hAnsi="Arial" w:cs="Arial"/>
                <w:color w:val="000000"/>
                <w:sz w:val="20"/>
                <w:szCs w:val="20"/>
                <w:lang w:eastAsia="en-GB"/>
              </w:rPr>
              <w:t>39</w:t>
            </w:r>
          </w:p>
        </w:tc>
        <w:tc>
          <w:tcPr>
            <w:tcW w:w="1607"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455</w:t>
            </w:r>
          </w:p>
        </w:tc>
        <w:tc>
          <w:tcPr>
            <w:tcW w:w="1606" w:type="dxa"/>
            <w:tcBorders>
              <w:top w:val="nil"/>
              <w:left w:val="nil"/>
              <w:right w:val="nil"/>
            </w:tcBorders>
            <w:vAlign w:val="center"/>
          </w:tcPr>
          <w:p w:rsidR="00B84942" w:rsidRPr="00FE4FE6" w:rsidRDefault="006C288F"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25</w:t>
            </w:r>
            <w:r w:rsidR="00B84942" w:rsidRPr="00FE4FE6">
              <w:rPr>
                <w:rFonts w:ascii="Arial" w:eastAsia="Times New Roman" w:hAnsi="Arial" w:cs="Arial"/>
                <w:color w:val="000000"/>
                <w:sz w:val="20"/>
                <w:szCs w:val="20"/>
                <w:lang w:eastAsia="en-GB"/>
              </w:rPr>
              <w:t>%</w:t>
            </w:r>
          </w:p>
        </w:tc>
        <w:tc>
          <w:tcPr>
            <w:tcW w:w="1607" w:type="dxa"/>
            <w:tcBorders>
              <w:top w:val="nil"/>
              <w:left w:val="nil"/>
              <w:right w:val="single" w:sz="4" w:space="0" w:color="993366"/>
            </w:tcBorders>
            <w:vAlign w:val="center"/>
          </w:tcPr>
          <w:p w:rsidR="00B84942" w:rsidRPr="00FE4FE6" w:rsidRDefault="006C288F"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75</w:t>
            </w:r>
            <w:r w:rsidR="00B84942" w:rsidRPr="00FE4FE6">
              <w:rPr>
                <w:rFonts w:ascii="Arial" w:eastAsia="Times New Roman" w:hAnsi="Arial" w:cs="Arial"/>
                <w:color w:val="000000"/>
                <w:sz w:val="20"/>
                <w:szCs w:val="20"/>
                <w:lang w:eastAsia="en-GB"/>
              </w:rPr>
              <w:t>%</w:t>
            </w:r>
          </w:p>
        </w:tc>
      </w:tr>
      <w:tr w:rsidR="00B84942" w:rsidRPr="00FE4FE6">
        <w:trPr>
          <w:trHeight w:val="360"/>
        </w:trPr>
        <w:tc>
          <w:tcPr>
            <w:tcW w:w="1606" w:type="dxa"/>
            <w:tcBorders>
              <w:top w:val="nil"/>
              <w:left w:val="single" w:sz="4" w:space="0" w:color="993366"/>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3</w:t>
            </w:r>
          </w:p>
        </w:tc>
        <w:tc>
          <w:tcPr>
            <w:tcW w:w="1607" w:type="dxa"/>
            <w:tcBorders>
              <w:top w:val="nil"/>
              <w:left w:val="nil"/>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65</w:t>
            </w:r>
          </w:p>
        </w:tc>
        <w:tc>
          <w:tcPr>
            <w:tcW w:w="1606"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16</w:t>
            </w:r>
            <w:r>
              <w:rPr>
                <w:rFonts w:ascii="Arial" w:eastAsia="Times New Roman" w:hAnsi="Arial" w:cs="Arial"/>
                <w:color w:val="000000"/>
                <w:sz w:val="20"/>
                <w:szCs w:val="20"/>
                <w:lang w:eastAsia="en-GB"/>
              </w:rPr>
              <w:t>4</w:t>
            </w:r>
          </w:p>
        </w:tc>
        <w:tc>
          <w:tcPr>
            <w:tcW w:w="1607"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228</w:t>
            </w:r>
          </w:p>
        </w:tc>
        <w:tc>
          <w:tcPr>
            <w:tcW w:w="1606"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8</w:t>
            </w:r>
            <w:r w:rsidRPr="00FE4FE6">
              <w:rPr>
                <w:rFonts w:ascii="Arial" w:eastAsia="Times New Roman" w:hAnsi="Arial" w:cs="Arial"/>
                <w:color w:val="000000"/>
                <w:sz w:val="20"/>
                <w:szCs w:val="20"/>
                <w:lang w:eastAsia="en-GB"/>
              </w:rPr>
              <w:t>%</w:t>
            </w:r>
          </w:p>
        </w:tc>
        <w:tc>
          <w:tcPr>
            <w:tcW w:w="1607" w:type="dxa"/>
            <w:tcBorders>
              <w:top w:val="nil"/>
              <w:left w:val="nil"/>
              <w:right w:val="single" w:sz="4" w:space="0" w:color="993366"/>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7</w:t>
            </w:r>
            <w:r w:rsidR="006C288F">
              <w:rPr>
                <w:rFonts w:ascii="Arial" w:eastAsia="Times New Roman" w:hAnsi="Arial" w:cs="Arial"/>
                <w:color w:val="000000"/>
                <w:sz w:val="20"/>
                <w:szCs w:val="20"/>
                <w:lang w:eastAsia="en-GB"/>
              </w:rPr>
              <w:t>2</w:t>
            </w:r>
            <w:r w:rsidRPr="00FE4FE6">
              <w:rPr>
                <w:rFonts w:ascii="Arial" w:eastAsia="Times New Roman" w:hAnsi="Arial" w:cs="Arial"/>
                <w:color w:val="000000"/>
                <w:sz w:val="20"/>
                <w:szCs w:val="20"/>
                <w:lang w:eastAsia="en-GB"/>
              </w:rPr>
              <w:t>%</w:t>
            </w:r>
          </w:p>
        </w:tc>
      </w:tr>
      <w:tr w:rsidR="00B84942" w:rsidRPr="00FE4FE6">
        <w:trPr>
          <w:trHeight w:val="360"/>
        </w:trPr>
        <w:tc>
          <w:tcPr>
            <w:tcW w:w="1606" w:type="dxa"/>
            <w:tcBorders>
              <w:top w:val="nil"/>
              <w:left w:val="single" w:sz="4" w:space="0" w:color="993366"/>
              <w:right w:val="nil"/>
            </w:tcBorders>
            <w:noWrap/>
            <w:vAlign w:val="center"/>
          </w:tcPr>
          <w:p w:rsidR="00B84942" w:rsidRPr="00FE4FE6" w:rsidRDefault="00B84942" w:rsidP="00506E38">
            <w:pPr>
              <w:ind w:left="37"/>
              <w:jc w:val="center"/>
              <w:rPr>
                <w:rFonts w:ascii="Arial" w:hAnsi="Arial" w:cs="Arial"/>
                <w:sz w:val="20"/>
                <w:szCs w:val="20"/>
              </w:rPr>
            </w:pPr>
            <w:r w:rsidRPr="00FE4FE6">
              <w:rPr>
                <w:rFonts w:ascii="Arial" w:hAnsi="Arial" w:cs="Arial"/>
                <w:sz w:val="20"/>
                <w:szCs w:val="20"/>
              </w:rPr>
              <w:t>4</w:t>
            </w:r>
          </w:p>
        </w:tc>
        <w:tc>
          <w:tcPr>
            <w:tcW w:w="1607" w:type="dxa"/>
            <w:tcBorders>
              <w:top w:val="nil"/>
              <w:left w:val="nil"/>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86</w:t>
            </w:r>
          </w:p>
        </w:tc>
        <w:tc>
          <w:tcPr>
            <w:tcW w:w="1606"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09</w:t>
            </w:r>
          </w:p>
        </w:tc>
        <w:tc>
          <w:tcPr>
            <w:tcW w:w="1607"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94</w:t>
            </w:r>
          </w:p>
        </w:tc>
        <w:tc>
          <w:tcPr>
            <w:tcW w:w="1606" w:type="dxa"/>
            <w:tcBorders>
              <w:top w:val="nil"/>
              <w:left w:val="nil"/>
              <w:right w:val="nil"/>
            </w:tcBorders>
            <w:vAlign w:val="center"/>
          </w:tcPr>
          <w:p w:rsidR="00B84942" w:rsidRPr="00FE4FE6" w:rsidRDefault="006C288F"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29</w:t>
            </w:r>
            <w:r w:rsidR="00B84942" w:rsidRPr="00FE4FE6">
              <w:rPr>
                <w:rFonts w:ascii="Arial" w:eastAsia="Times New Roman" w:hAnsi="Arial" w:cs="Arial"/>
                <w:color w:val="000000"/>
                <w:sz w:val="20"/>
                <w:szCs w:val="20"/>
                <w:lang w:eastAsia="en-GB"/>
              </w:rPr>
              <w:t>%</w:t>
            </w:r>
          </w:p>
        </w:tc>
        <w:tc>
          <w:tcPr>
            <w:tcW w:w="1607" w:type="dxa"/>
            <w:tcBorders>
              <w:top w:val="nil"/>
              <w:left w:val="nil"/>
              <w:right w:val="single" w:sz="4" w:space="0" w:color="993366"/>
            </w:tcBorders>
            <w:vAlign w:val="center"/>
          </w:tcPr>
          <w:p w:rsidR="00B84942" w:rsidRPr="00FE4FE6" w:rsidRDefault="006C288F"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71</w:t>
            </w:r>
            <w:r w:rsidR="00B84942" w:rsidRPr="00FE4FE6">
              <w:rPr>
                <w:rFonts w:ascii="Arial" w:eastAsia="Times New Roman" w:hAnsi="Arial" w:cs="Arial"/>
                <w:color w:val="000000"/>
                <w:sz w:val="20"/>
                <w:szCs w:val="20"/>
                <w:lang w:eastAsia="en-GB"/>
              </w:rPr>
              <w:t>%</w:t>
            </w:r>
          </w:p>
        </w:tc>
      </w:tr>
      <w:tr w:rsidR="00B84942" w:rsidRPr="00FE4FE6">
        <w:trPr>
          <w:trHeight w:val="360"/>
        </w:trPr>
        <w:tc>
          <w:tcPr>
            <w:tcW w:w="1606" w:type="dxa"/>
            <w:tcBorders>
              <w:top w:val="nil"/>
              <w:left w:val="single" w:sz="4" w:space="0" w:color="993366"/>
              <w:right w:val="nil"/>
            </w:tcBorders>
            <w:noWrap/>
            <w:vAlign w:val="center"/>
          </w:tcPr>
          <w:p w:rsidR="00B84942" w:rsidRPr="00FE4FE6" w:rsidRDefault="00B84942" w:rsidP="00506E38">
            <w:pPr>
              <w:ind w:left="37"/>
              <w:jc w:val="center"/>
              <w:rPr>
                <w:rFonts w:ascii="Arial" w:hAnsi="Arial" w:cs="Arial"/>
                <w:sz w:val="20"/>
                <w:szCs w:val="20"/>
              </w:rPr>
            </w:pPr>
            <w:r w:rsidRPr="00FE4FE6">
              <w:rPr>
                <w:rFonts w:ascii="Arial" w:hAnsi="Arial" w:cs="Arial"/>
                <w:sz w:val="20"/>
                <w:szCs w:val="20"/>
              </w:rPr>
              <w:t>5</w:t>
            </w:r>
          </w:p>
        </w:tc>
        <w:tc>
          <w:tcPr>
            <w:tcW w:w="1607" w:type="dxa"/>
            <w:tcBorders>
              <w:top w:val="nil"/>
              <w:left w:val="nil"/>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230</w:t>
            </w:r>
          </w:p>
        </w:tc>
        <w:tc>
          <w:tcPr>
            <w:tcW w:w="1606"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466</w:t>
            </w:r>
          </w:p>
        </w:tc>
        <w:tc>
          <w:tcPr>
            <w:tcW w:w="1607" w:type="dxa"/>
            <w:tcBorders>
              <w:top w:val="nil"/>
              <w:left w:val="nil"/>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695</w:t>
            </w:r>
          </w:p>
        </w:tc>
        <w:tc>
          <w:tcPr>
            <w:tcW w:w="1606" w:type="dxa"/>
            <w:tcBorders>
              <w:top w:val="nil"/>
              <w:left w:val="nil"/>
              <w:right w:val="nil"/>
            </w:tcBorders>
            <w:vAlign w:val="center"/>
          </w:tcPr>
          <w:p w:rsidR="00B84942" w:rsidRPr="00FE4FE6" w:rsidRDefault="006C288F"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w:t>
            </w:r>
            <w:r w:rsidR="00B84942" w:rsidRPr="00FE4FE6">
              <w:rPr>
                <w:rFonts w:ascii="Arial" w:eastAsia="Times New Roman" w:hAnsi="Arial" w:cs="Arial"/>
                <w:color w:val="000000"/>
                <w:sz w:val="20"/>
                <w:szCs w:val="20"/>
                <w:lang w:eastAsia="en-GB"/>
              </w:rPr>
              <w:t>%</w:t>
            </w:r>
          </w:p>
        </w:tc>
        <w:tc>
          <w:tcPr>
            <w:tcW w:w="1607" w:type="dxa"/>
            <w:tcBorders>
              <w:top w:val="nil"/>
              <w:left w:val="nil"/>
              <w:right w:val="single" w:sz="4" w:space="0" w:color="993366"/>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6</w:t>
            </w:r>
            <w:r w:rsidR="006C288F">
              <w:rPr>
                <w:rFonts w:ascii="Arial" w:eastAsia="Times New Roman" w:hAnsi="Arial" w:cs="Arial"/>
                <w:color w:val="000000"/>
                <w:sz w:val="20"/>
                <w:szCs w:val="20"/>
                <w:lang w:eastAsia="en-GB"/>
              </w:rPr>
              <w:t>7</w:t>
            </w:r>
            <w:r w:rsidRPr="00FE4FE6">
              <w:rPr>
                <w:rFonts w:ascii="Arial" w:eastAsia="Times New Roman" w:hAnsi="Arial" w:cs="Arial"/>
                <w:color w:val="000000"/>
                <w:sz w:val="20"/>
                <w:szCs w:val="20"/>
                <w:lang w:eastAsia="en-GB"/>
              </w:rPr>
              <w:t>%</w:t>
            </w:r>
          </w:p>
        </w:tc>
      </w:tr>
      <w:tr w:rsidR="00B84942" w:rsidRPr="00FE4FE6">
        <w:trPr>
          <w:trHeight w:val="360"/>
        </w:trPr>
        <w:tc>
          <w:tcPr>
            <w:tcW w:w="1606" w:type="dxa"/>
            <w:tcBorders>
              <w:top w:val="single" w:sz="4" w:space="0" w:color="808080" w:themeColor="background1" w:themeShade="80"/>
              <w:left w:val="single" w:sz="4" w:space="0" w:color="993366"/>
              <w:bottom w:val="single" w:sz="4" w:space="0" w:color="993365"/>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hAnsi="Arial" w:cs="Arial"/>
                <w:sz w:val="20"/>
                <w:szCs w:val="20"/>
              </w:rPr>
              <w:t>Total</w:t>
            </w:r>
          </w:p>
        </w:tc>
        <w:tc>
          <w:tcPr>
            <w:tcW w:w="1607" w:type="dxa"/>
            <w:tcBorders>
              <w:top w:val="single" w:sz="4" w:space="0" w:color="808080" w:themeColor="background1" w:themeShade="80"/>
              <w:left w:val="nil"/>
              <w:bottom w:val="single" w:sz="4" w:space="0" w:color="993365"/>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681</w:t>
            </w:r>
          </w:p>
        </w:tc>
        <w:tc>
          <w:tcPr>
            <w:tcW w:w="1606" w:type="dxa"/>
            <w:tcBorders>
              <w:top w:val="single" w:sz="4" w:space="0" w:color="808080" w:themeColor="background1" w:themeShade="80"/>
              <w:left w:val="nil"/>
              <w:bottom w:val="single" w:sz="4" w:space="0" w:color="993365"/>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,726</w:t>
            </w:r>
          </w:p>
        </w:tc>
        <w:tc>
          <w:tcPr>
            <w:tcW w:w="1607" w:type="dxa"/>
            <w:tcBorders>
              <w:top w:val="single" w:sz="4" w:space="0" w:color="808080" w:themeColor="background1" w:themeShade="80"/>
              <w:left w:val="nil"/>
              <w:bottom w:val="single" w:sz="4" w:space="0" w:color="993365"/>
              <w:right w:val="nil"/>
            </w:tcBorders>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,407</w:t>
            </w:r>
          </w:p>
        </w:tc>
        <w:tc>
          <w:tcPr>
            <w:tcW w:w="1606" w:type="dxa"/>
            <w:tcBorders>
              <w:top w:val="single" w:sz="4" w:space="0" w:color="808080" w:themeColor="background1" w:themeShade="80"/>
              <w:left w:val="nil"/>
              <w:bottom w:val="single" w:sz="4" w:space="0" w:color="993365"/>
              <w:right w:val="nil"/>
            </w:tcBorders>
            <w:vAlign w:val="center"/>
          </w:tcPr>
          <w:p w:rsidR="00B84942" w:rsidRPr="00FE4FE6" w:rsidRDefault="006C288F"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28%</w:t>
            </w:r>
          </w:p>
        </w:tc>
        <w:tc>
          <w:tcPr>
            <w:tcW w:w="1607" w:type="dxa"/>
            <w:tcBorders>
              <w:top w:val="single" w:sz="4" w:space="0" w:color="808080" w:themeColor="background1" w:themeShade="80"/>
              <w:left w:val="nil"/>
              <w:bottom w:val="single" w:sz="4" w:space="0" w:color="993365"/>
              <w:right w:val="single" w:sz="4" w:space="0" w:color="993366"/>
            </w:tcBorders>
            <w:vAlign w:val="center"/>
          </w:tcPr>
          <w:p w:rsidR="00B84942" w:rsidRPr="00FE4FE6" w:rsidRDefault="00550970"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72%</w:t>
            </w:r>
          </w:p>
        </w:tc>
      </w:tr>
      <w:tr w:rsidR="00B84942" w:rsidRPr="00FE4FE6">
        <w:trPr>
          <w:trHeight w:val="360"/>
        </w:trPr>
        <w:tc>
          <w:tcPr>
            <w:tcW w:w="1606" w:type="dxa"/>
            <w:tcBorders>
              <w:top w:val="single" w:sz="4" w:space="0" w:color="993365"/>
              <w:left w:val="single" w:sz="4" w:space="0" w:color="993366"/>
              <w:bottom w:val="single" w:sz="4" w:space="0" w:color="808080"/>
              <w:right w:val="single" w:sz="4" w:space="0" w:color="FFFFFF" w:themeColor="background1"/>
            </w:tcBorders>
            <w:shd w:val="clear" w:color="auto" w:fill="993365"/>
            <w:noWrap/>
            <w:vAlign w:val="center"/>
          </w:tcPr>
          <w:p w:rsidR="00B84942" w:rsidRPr="00513FAC" w:rsidRDefault="00B84942" w:rsidP="00506E38">
            <w:pPr>
              <w:jc w:val="center"/>
              <w:rPr>
                <w:rFonts w:ascii="Arial" w:hAnsi="Arial" w:cs="Arial"/>
                <w:b/>
                <w:color w:val="FFFFFF" w:themeColor="background1"/>
                <w:szCs w:val="24"/>
              </w:rPr>
            </w:pPr>
          </w:p>
        </w:tc>
        <w:tc>
          <w:tcPr>
            <w:tcW w:w="1607" w:type="dxa"/>
            <w:tcBorders>
              <w:top w:val="single" w:sz="4" w:space="0" w:color="993365"/>
              <w:left w:val="single" w:sz="4" w:space="0" w:color="FFFFFF" w:themeColor="background1"/>
              <w:bottom w:val="single" w:sz="4" w:space="0" w:color="808080"/>
              <w:right w:val="single" w:sz="4" w:space="0" w:color="FFFFFF" w:themeColor="background1"/>
            </w:tcBorders>
            <w:shd w:val="clear" w:color="auto" w:fill="993365"/>
            <w:noWrap/>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 xml:space="preserve">Count of </w:t>
            </w:r>
            <w:r w:rsidR="00605247">
              <w:rPr>
                <w:rFonts w:ascii="Arial" w:hAnsi="Arial" w:cs="Arial"/>
                <w:b/>
                <w:color w:val="FFFFFF" w:themeColor="background1"/>
                <w:szCs w:val="24"/>
              </w:rPr>
              <w:t>P</w:t>
            </w:r>
            <w:r w:rsidRPr="00513FAC">
              <w:rPr>
                <w:rFonts w:ascii="Arial" w:hAnsi="Arial" w:cs="Arial"/>
                <w:b/>
                <w:color w:val="FFFFFF" w:themeColor="background1"/>
                <w:szCs w:val="24"/>
              </w:rPr>
              <w:t>rojects</w:t>
            </w:r>
          </w:p>
        </w:tc>
        <w:tc>
          <w:tcPr>
            <w:tcW w:w="1606" w:type="dxa"/>
            <w:tcBorders>
              <w:top w:val="single" w:sz="4" w:space="0" w:color="993365"/>
              <w:left w:val="single" w:sz="4" w:space="0" w:color="FFFFFF" w:themeColor="background1"/>
              <w:bottom w:val="single" w:sz="4" w:space="0" w:color="808080"/>
              <w:right w:val="single" w:sz="4" w:space="0" w:color="FFFFFF" w:themeColor="background1"/>
            </w:tcBorders>
            <w:shd w:val="clear" w:color="auto" w:fill="993365"/>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Count Share</w:t>
            </w:r>
          </w:p>
        </w:tc>
        <w:tc>
          <w:tcPr>
            <w:tcW w:w="1607" w:type="dxa"/>
            <w:tcBorders>
              <w:top w:val="single" w:sz="4" w:space="0" w:color="993365"/>
              <w:left w:val="single" w:sz="4" w:space="0" w:color="FFFFFF" w:themeColor="background1"/>
              <w:bottom w:val="single" w:sz="4" w:space="0" w:color="808080"/>
              <w:right w:val="single" w:sz="4" w:space="0" w:color="FFFFFF" w:themeColor="background1"/>
            </w:tcBorders>
            <w:shd w:val="clear" w:color="auto" w:fill="993365"/>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UKRPIF Mean Value (£m)</w:t>
            </w:r>
          </w:p>
        </w:tc>
        <w:tc>
          <w:tcPr>
            <w:tcW w:w="1606" w:type="dxa"/>
            <w:tcBorders>
              <w:top w:val="single" w:sz="4" w:space="0" w:color="993365"/>
              <w:left w:val="single" w:sz="4" w:space="0" w:color="FFFFFF" w:themeColor="background1"/>
              <w:bottom w:val="single" w:sz="4" w:space="0" w:color="808080"/>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Co-investment Mean </w:t>
            </w:r>
            <w:r w:rsidR="00605247">
              <w:rPr>
                <w:rFonts w:ascii="Arial" w:eastAsia="Times New Roman" w:hAnsi="Arial" w:cs="Arial"/>
                <w:b/>
                <w:color w:val="FFFFFF" w:themeColor="background1"/>
                <w:szCs w:val="24"/>
                <w:lang w:eastAsia="en-GB"/>
              </w:rPr>
              <w:t>V</w:t>
            </w:r>
            <w:r w:rsidRPr="00513FAC">
              <w:rPr>
                <w:rFonts w:ascii="Arial" w:eastAsia="Times New Roman" w:hAnsi="Arial" w:cs="Arial"/>
                <w:b/>
                <w:color w:val="FFFFFF" w:themeColor="background1"/>
                <w:szCs w:val="24"/>
                <w:lang w:eastAsia="en-GB"/>
              </w:rPr>
              <w:t>alue (£m)</w:t>
            </w:r>
          </w:p>
        </w:tc>
        <w:tc>
          <w:tcPr>
            <w:tcW w:w="1607" w:type="dxa"/>
            <w:tcBorders>
              <w:top w:val="single" w:sz="4" w:space="0" w:color="993365"/>
              <w:left w:val="single" w:sz="4" w:space="0" w:color="FFFFFF" w:themeColor="background1"/>
              <w:bottom w:val="single" w:sz="4" w:space="0" w:color="808080"/>
              <w:right w:val="single" w:sz="4" w:space="0" w:color="993366"/>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Co-investment to UKRPIF Ratio Mean</w:t>
            </w:r>
          </w:p>
        </w:tc>
      </w:tr>
      <w:tr w:rsidR="00B84942" w:rsidRPr="00FE4FE6">
        <w:trPr>
          <w:trHeight w:val="360"/>
        </w:trPr>
        <w:tc>
          <w:tcPr>
            <w:tcW w:w="1606" w:type="dxa"/>
            <w:tcBorders>
              <w:top w:val="single" w:sz="4" w:space="0" w:color="808080" w:themeColor="background1" w:themeShade="80"/>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w:t>
            </w:r>
          </w:p>
        </w:tc>
        <w:tc>
          <w:tcPr>
            <w:tcW w:w="1607" w:type="dxa"/>
            <w:tcBorders>
              <w:top w:val="single" w:sz="4" w:space="0" w:color="808080" w:themeColor="background1" w:themeShade="80"/>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13</w:t>
            </w:r>
          </w:p>
        </w:tc>
        <w:tc>
          <w:tcPr>
            <w:tcW w:w="1606" w:type="dxa"/>
            <w:tcBorders>
              <w:top w:val="single" w:sz="4" w:space="0" w:color="808080" w:themeColor="background1" w:themeShade="80"/>
              <w:left w:val="nil"/>
              <w:right w:val="single" w:sz="4" w:space="0" w:color="FFFFFF" w:themeColor="background1"/>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30.2%</w:t>
            </w:r>
          </w:p>
        </w:tc>
        <w:tc>
          <w:tcPr>
            <w:tcW w:w="1607" w:type="dxa"/>
            <w:tcBorders>
              <w:top w:val="single" w:sz="4" w:space="0" w:color="808080" w:themeColor="background1" w:themeShade="80"/>
              <w:left w:val="single" w:sz="4" w:space="0" w:color="FFFFFF" w:themeColor="background1"/>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14.3</w:t>
            </w:r>
          </w:p>
        </w:tc>
        <w:tc>
          <w:tcPr>
            <w:tcW w:w="1606" w:type="dxa"/>
            <w:tcBorders>
              <w:top w:val="single" w:sz="4" w:space="0" w:color="808080" w:themeColor="background1" w:themeShade="80"/>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42.2</w:t>
            </w:r>
          </w:p>
        </w:tc>
        <w:tc>
          <w:tcPr>
            <w:tcW w:w="1607" w:type="dxa"/>
            <w:tcBorders>
              <w:top w:val="single" w:sz="4" w:space="0" w:color="808080" w:themeColor="background1" w:themeShade="80"/>
              <w:left w:val="nil"/>
              <w:right w:val="single" w:sz="4" w:space="0" w:color="993366"/>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3.0</w:t>
            </w:r>
          </w:p>
        </w:tc>
      </w:tr>
      <w:tr w:rsidR="00B84942" w:rsidRPr="00FE4FE6">
        <w:trPr>
          <w:trHeight w:val="360"/>
        </w:trPr>
        <w:tc>
          <w:tcPr>
            <w:tcW w:w="1606"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p>
        </w:tc>
        <w:tc>
          <w:tcPr>
            <w:tcW w:w="1607"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9</w:t>
            </w:r>
          </w:p>
        </w:tc>
        <w:tc>
          <w:tcPr>
            <w:tcW w:w="1606"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20.9%</w:t>
            </w:r>
          </w:p>
        </w:tc>
        <w:tc>
          <w:tcPr>
            <w:tcW w:w="1607"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12.8</w:t>
            </w:r>
          </w:p>
        </w:tc>
        <w:tc>
          <w:tcPr>
            <w:tcW w:w="1606"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37.7</w:t>
            </w:r>
          </w:p>
        </w:tc>
        <w:tc>
          <w:tcPr>
            <w:tcW w:w="1607" w:type="dxa"/>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3.0</w:t>
            </w:r>
          </w:p>
        </w:tc>
      </w:tr>
      <w:tr w:rsidR="00B84942" w:rsidRPr="00FE4FE6">
        <w:trPr>
          <w:trHeight w:val="360"/>
        </w:trPr>
        <w:tc>
          <w:tcPr>
            <w:tcW w:w="1606"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w:t>
            </w:r>
          </w:p>
        </w:tc>
        <w:tc>
          <w:tcPr>
            <w:tcW w:w="1607"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w:t>
            </w:r>
          </w:p>
        </w:tc>
        <w:tc>
          <w:tcPr>
            <w:tcW w:w="1606"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9.3%</w:t>
            </w:r>
          </w:p>
        </w:tc>
        <w:tc>
          <w:tcPr>
            <w:tcW w:w="1607"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16.1</w:t>
            </w:r>
          </w:p>
        </w:tc>
        <w:tc>
          <w:tcPr>
            <w:tcW w:w="1606"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40.9</w:t>
            </w:r>
          </w:p>
        </w:tc>
        <w:tc>
          <w:tcPr>
            <w:tcW w:w="1607" w:type="dxa"/>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2.5</w:t>
            </w:r>
          </w:p>
        </w:tc>
      </w:tr>
      <w:tr w:rsidR="00B84942" w:rsidRPr="00FE4FE6">
        <w:trPr>
          <w:trHeight w:val="360"/>
        </w:trPr>
        <w:tc>
          <w:tcPr>
            <w:tcW w:w="1606"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w:t>
            </w:r>
          </w:p>
        </w:tc>
        <w:tc>
          <w:tcPr>
            <w:tcW w:w="1607"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6</w:t>
            </w:r>
          </w:p>
        </w:tc>
        <w:tc>
          <w:tcPr>
            <w:tcW w:w="1606"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14.0%</w:t>
            </w:r>
          </w:p>
        </w:tc>
        <w:tc>
          <w:tcPr>
            <w:tcW w:w="1607"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14.3</w:t>
            </w:r>
          </w:p>
        </w:tc>
        <w:tc>
          <w:tcPr>
            <w:tcW w:w="1606"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34.8</w:t>
            </w:r>
          </w:p>
        </w:tc>
        <w:tc>
          <w:tcPr>
            <w:tcW w:w="1607" w:type="dxa"/>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5</w:t>
            </w:r>
          </w:p>
        </w:tc>
      </w:tr>
      <w:tr w:rsidR="00B84942" w:rsidRPr="00FE4FE6">
        <w:trPr>
          <w:trHeight w:val="360"/>
        </w:trPr>
        <w:tc>
          <w:tcPr>
            <w:tcW w:w="1606"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5</w:t>
            </w:r>
          </w:p>
        </w:tc>
        <w:tc>
          <w:tcPr>
            <w:tcW w:w="1607"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11</w:t>
            </w:r>
          </w:p>
        </w:tc>
        <w:tc>
          <w:tcPr>
            <w:tcW w:w="1606"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25.6%</w:t>
            </w:r>
          </w:p>
        </w:tc>
        <w:tc>
          <w:tcPr>
            <w:tcW w:w="1607"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20.9</w:t>
            </w:r>
          </w:p>
        </w:tc>
        <w:tc>
          <w:tcPr>
            <w:tcW w:w="1606"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42.4</w:t>
            </w:r>
          </w:p>
        </w:tc>
        <w:tc>
          <w:tcPr>
            <w:tcW w:w="1607" w:type="dxa"/>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2.0</w:t>
            </w:r>
          </w:p>
        </w:tc>
      </w:tr>
      <w:tr w:rsidR="00B84942" w:rsidRPr="00FE4FE6">
        <w:trPr>
          <w:trHeight w:val="360"/>
        </w:trPr>
        <w:tc>
          <w:tcPr>
            <w:tcW w:w="1606" w:type="dxa"/>
            <w:tcBorders>
              <w:top w:val="single" w:sz="4" w:space="0" w:color="808080"/>
              <w:left w:val="single" w:sz="4" w:space="0" w:color="993366"/>
              <w:bottom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Total</w:t>
            </w:r>
          </w:p>
        </w:tc>
        <w:tc>
          <w:tcPr>
            <w:tcW w:w="1607" w:type="dxa"/>
            <w:tcBorders>
              <w:top w:val="single" w:sz="4" w:space="0" w:color="808080"/>
              <w:left w:val="nil"/>
              <w:bottom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43</w:t>
            </w:r>
          </w:p>
        </w:tc>
        <w:tc>
          <w:tcPr>
            <w:tcW w:w="1606"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100.0%</w:t>
            </w:r>
          </w:p>
        </w:tc>
        <w:tc>
          <w:tcPr>
            <w:tcW w:w="1607"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p>
        </w:tc>
        <w:tc>
          <w:tcPr>
            <w:tcW w:w="1606"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p>
        </w:tc>
        <w:tc>
          <w:tcPr>
            <w:tcW w:w="1607" w:type="dxa"/>
            <w:tcBorders>
              <w:top w:val="single" w:sz="4" w:space="0" w:color="808080"/>
              <w:left w:val="nil"/>
              <w:bottom w:val="single" w:sz="4" w:space="0" w:color="993366"/>
              <w:right w:val="single" w:sz="4" w:space="0" w:color="993366"/>
            </w:tcBorders>
            <w:vAlign w:val="center"/>
          </w:tcPr>
          <w:p w:rsidR="00B84942" w:rsidRPr="00FE4FE6" w:rsidRDefault="00B84942" w:rsidP="00506E38">
            <w:pPr>
              <w:jc w:val="center"/>
              <w:rPr>
                <w:rFonts w:ascii="Arial" w:hAnsi="Arial" w:cs="Arial"/>
                <w:sz w:val="20"/>
                <w:szCs w:val="20"/>
              </w:rPr>
            </w:pPr>
          </w:p>
        </w:tc>
      </w:tr>
    </w:tbl>
    <w:p w:rsidR="00B84942" w:rsidRPr="008C2E15" w:rsidRDefault="00B84942" w:rsidP="00B84942">
      <w:pPr>
        <w:pStyle w:val="Belmana4normal"/>
        <w:rPr>
          <w:sz w:val="18"/>
          <w:szCs w:val="16"/>
        </w:rPr>
      </w:pPr>
      <w:r w:rsidRPr="008C2E15">
        <w:rPr>
          <w:sz w:val="18"/>
          <w:szCs w:val="16"/>
        </w:rPr>
        <w:t xml:space="preserve">Source: </w:t>
      </w:r>
      <w:r>
        <w:rPr>
          <w:sz w:val="18"/>
          <w:szCs w:val="16"/>
        </w:rPr>
        <w:t>UKRPIF Co-Investment Profiles Rounds 1-5</w:t>
      </w:r>
    </w:p>
    <w:p w:rsidR="00B84942" w:rsidRPr="008C2E15" w:rsidRDefault="00B84942" w:rsidP="005721FF">
      <w:pPr>
        <w:pStyle w:val="Belmananormal"/>
      </w:pPr>
      <w:r w:rsidRPr="008C2E15">
        <w:t xml:space="preserve">A detailed breakdown of funding by </w:t>
      </w:r>
      <w:r w:rsidR="00605247">
        <w:t xml:space="preserve">the </w:t>
      </w:r>
      <w:r w:rsidRPr="008C2E15">
        <w:t xml:space="preserve">six disciplines is presented in Table 3. Annex C provides the full list of projects and how they </w:t>
      </w:r>
      <w:r w:rsidR="00605247">
        <w:t xml:space="preserve">were </w:t>
      </w:r>
      <w:r w:rsidRPr="008C2E15">
        <w:t xml:space="preserve">categorised into disciplines. </w:t>
      </w:r>
      <w:r w:rsidRPr="00997D51">
        <w:t xml:space="preserve"> </w:t>
      </w:r>
      <w:r w:rsidRPr="008C2E15">
        <w:t>The</w:t>
      </w:r>
      <w:r w:rsidR="000570DC">
        <w:t>re has been an increase in the number of</w:t>
      </w:r>
      <w:r w:rsidRPr="008C2E15">
        <w:t xml:space="preserve"> disciplines covered by UKRPIF, with more recent rounds funding capital investment in social sciences, such as the London School of Economics (LSE) International Inequalities Institute and the University of Manchester’s Alliance Business School</w:t>
      </w:r>
      <w:r w:rsidR="000570DC">
        <w:t>.</w:t>
      </w:r>
    </w:p>
    <w:tbl>
      <w:tblPr>
        <w:tblW w:w="9498" w:type="dxa"/>
        <w:jc w:val="center"/>
        <w:tblLayout w:type="fixed"/>
        <w:tblLook w:val="04A0" w:firstRow="1" w:lastRow="0" w:firstColumn="1" w:lastColumn="0" w:noHBand="0" w:noVBand="1"/>
      </w:tblPr>
      <w:tblGrid>
        <w:gridCol w:w="1583"/>
        <w:gridCol w:w="1583"/>
        <w:gridCol w:w="1583"/>
        <w:gridCol w:w="1583"/>
        <w:gridCol w:w="1583"/>
        <w:gridCol w:w="1583"/>
      </w:tblGrid>
      <w:tr w:rsidR="00B84942" w:rsidRPr="00FE4FE6">
        <w:trPr>
          <w:trHeight w:val="80"/>
          <w:jc w:val="center"/>
        </w:trPr>
        <w:tc>
          <w:tcPr>
            <w:tcW w:w="9498" w:type="dxa"/>
            <w:gridSpan w:val="6"/>
            <w:vAlign w:val="center"/>
          </w:tcPr>
          <w:p w:rsidR="00B84942" w:rsidRPr="00FE4FE6" w:rsidRDefault="00B84942" w:rsidP="00D17F8B">
            <w:pPr>
              <w:pStyle w:val="BelmanaTableTitle"/>
              <w:rPr>
                <w:lang w:eastAsia="en-GB"/>
              </w:rPr>
            </w:pPr>
            <w:bookmarkStart w:id="43" w:name="_Toc499548088"/>
            <w:r w:rsidRPr="00FE4FE6">
              <w:t xml:space="preserve">Table </w:t>
            </w:r>
            <w:r w:rsidR="00735EA0">
              <w:t>3</w:t>
            </w:r>
            <w:r w:rsidRPr="00FE4FE6">
              <w:t>:</w:t>
            </w:r>
            <w:r w:rsidRPr="00FE4FE6">
              <w:rPr>
                <w:lang w:eastAsia="en-GB"/>
              </w:rPr>
              <w:t xml:space="preserve"> Funding by </w:t>
            </w:r>
            <w:r w:rsidR="00605247">
              <w:rPr>
                <w:lang w:eastAsia="en-GB"/>
              </w:rPr>
              <w:t>d</w:t>
            </w:r>
            <w:r w:rsidRPr="00FE4FE6">
              <w:rPr>
                <w:lang w:eastAsia="en-GB"/>
              </w:rPr>
              <w:t>iscipline</w:t>
            </w:r>
            <w:bookmarkEnd w:id="43"/>
          </w:p>
        </w:tc>
      </w:tr>
      <w:tr w:rsidR="00B84942" w:rsidRPr="00FE4FE6">
        <w:trPr>
          <w:trHeight w:val="80"/>
          <w:jc w:val="center"/>
        </w:trPr>
        <w:tc>
          <w:tcPr>
            <w:tcW w:w="1583" w:type="dxa"/>
            <w:tcBorders>
              <w:left w:val="single" w:sz="4" w:space="0" w:color="993366"/>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Discipline</w:t>
            </w:r>
          </w:p>
        </w:tc>
        <w:tc>
          <w:tcPr>
            <w:tcW w:w="1583"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UKRPIF (£m)</w:t>
            </w:r>
          </w:p>
        </w:tc>
        <w:tc>
          <w:tcPr>
            <w:tcW w:w="1583"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Co-investment (£m)</w:t>
            </w:r>
          </w:p>
        </w:tc>
        <w:tc>
          <w:tcPr>
            <w:tcW w:w="1583"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Total (£m)</w:t>
            </w:r>
          </w:p>
        </w:tc>
        <w:tc>
          <w:tcPr>
            <w:tcW w:w="1583"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C46FEF" w:rsidRPr="00513FAC" w:rsidRDefault="00B84942" w:rsidP="00C46FEF">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UKRPIF </w:t>
            </w:r>
            <w:r w:rsidR="00605247">
              <w:rPr>
                <w:rFonts w:ascii="Arial" w:eastAsia="Times New Roman" w:hAnsi="Arial" w:cs="Arial"/>
                <w:b/>
                <w:color w:val="FFFFFF" w:themeColor="background1"/>
                <w:szCs w:val="24"/>
                <w:lang w:eastAsia="en-GB"/>
              </w:rPr>
              <w:t>F</w:t>
            </w:r>
            <w:r w:rsidRPr="00513FAC">
              <w:rPr>
                <w:rFonts w:ascii="Arial" w:eastAsia="Times New Roman" w:hAnsi="Arial" w:cs="Arial"/>
                <w:b/>
                <w:color w:val="FFFFFF" w:themeColor="background1"/>
                <w:szCs w:val="24"/>
                <w:lang w:eastAsia="en-GB"/>
              </w:rPr>
              <w:t>unding</w:t>
            </w:r>
            <w:r w:rsidR="00C46FEF">
              <w:rPr>
                <w:rFonts w:ascii="Arial" w:eastAsia="Times New Roman" w:hAnsi="Arial" w:cs="Arial"/>
                <w:b/>
                <w:color w:val="FFFFFF" w:themeColor="background1"/>
                <w:szCs w:val="24"/>
                <w:lang w:eastAsia="en-GB"/>
              </w:rPr>
              <w:t xml:space="preserve"> (%)</w:t>
            </w:r>
          </w:p>
        </w:tc>
        <w:tc>
          <w:tcPr>
            <w:tcW w:w="1583" w:type="dxa"/>
            <w:tcBorders>
              <w:left w:val="single" w:sz="4" w:space="0" w:color="FFFFFF" w:themeColor="background1"/>
              <w:bottom w:val="single" w:sz="4" w:space="0" w:color="993365"/>
              <w:right w:val="single" w:sz="4" w:space="0" w:color="993366"/>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Co-investment </w:t>
            </w:r>
            <w:r w:rsidR="00C46FEF">
              <w:rPr>
                <w:rFonts w:ascii="Arial" w:eastAsia="Times New Roman" w:hAnsi="Arial" w:cs="Arial"/>
                <w:b/>
                <w:color w:val="FFFFFF" w:themeColor="background1"/>
                <w:szCs w:val="24"/>
                <w:lang w:eastAsia="en-GB"/>
              </w:rPr>
              <w:t>(%)</w:t>
            </w:r>
          </w:p>
        </w:tc>
      </w:tr>
      <w:tr w:rsidR="00B84942" w:rsidRPr="00FE4FE6">
        <w:trPr>
          <w:trHeight w:val="360"/>
          <w:jc w:val="center"/>
        </w:trPr>
        <w:tc>
          <w:tcPr>
            <w:tcW w:w="1583" w:type="dxa"/>
            <w:tcBorders>
              <w:top w:val="single" w:sz="4" w:space="0" w:color="993365"/>
              <w:left w:val="single" w:sz="4" w:space="0" w:color="993366"/>
              <w:right w:val="single" w:sz="4" w:space="0" w:color="FFFFFF" w:themeColor="background1"/>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hAnsi="Arial" w:cs="Arial"/>
                <w:sz w:val="20"/>
                <w:szCs w:val="20"/>
              </w:rPr>
              <w:t>Bio-</w:t>
            </w:r>
            <w:r w:rsidR="00605247">
              <w:rPr>
                <w:rFonts w:ascii="Arial" w:hAnsi="Arial" w:cs="Arial"/>
                <w:sz w:val="20"/>
                <w:szCs w:val="20"/>
              </w:rPr>
              <w:t>m</w:t>
            </w:r>
            <w:r w:rsidRPr="00FE4FE6">
              <w:rPr>
                <w:rFonts w:ascii="Arial" w:hAnsi="Arial" w:cs="Arial"/>
                <w:sz w:val="20"/>
                <w:szCs w:val="20"/>
              </w:rPr>
              <w:t>edical</w:t>
            </w:r>
          </w:p>
        </w:tc>
        <w:tc>
          <w:tcPr>
            <w:tcW w:w="1583" w:type="dxa"/>
            <w:tcBorders>
              <w:top w:val="single" w:sz="4" w:space="0" w:color="993365"/>
              <w:left w:val="single" w:sz="4" w:space="0" w:color="FFFFFF" w:themeColor="background1"/>
              <w:right w:val="single" w:sz="4" w:space="0" w:color="FFFFFF" w:themeColor="background1"/>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135</w:t>
            </w:r>
          </w:p>
        </w:tc>
        <w:tc>
          <w:tcPr>
            <w:tcW w:w="1583" w:type="dxa"/>
            <w:tcBorders>
              <w:top w:val="single" w:sz="4" w:space="0" w:color="993365"/>
              <w:left w:val="single" w:sz="4" w:space="0" w:color="FFFFFF" w:themeColor="background1"/>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w:t>
            </w:r>
            <w:r>
              <w:rPr>
                <w:rFonts w:ascii="Arial" w:hAnsi="Arial" w:cs="Arial"/>
                <w:sz w:val="20"/>
                <w:szCs w:val="20"/>
              </w:rPr>
              <w:t>24</w:t>
            </w:r>
          </w:p>
        </w:tc>
        <w:tc>
          <w:tcPr>
            <w:tcW w:w="1583" w:type="dxa"/>
            <w:tcBorders>
              <w:top w:val="single" w:sz="4" w:space="0" w:color="993365"/>
              <w:left w:val="nil"/>
              <w:right w:val="single" w:sz="4" w:space="0" w:color="FFFFFF" w:themeColor="background1"/>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w:t>
            </w:r>
            <w:r>
              <w:rPr>
                <w:rFonts w:ascii="Arial" w:hAnsi="Arial" w:cs="Arial"/>
                <w:sz w:val="20"/>
                <w:szCs w:val="20"/>
              </w:rPr>
              <w:t>59</w:t>
            </w:r>
          </w:p>
        </w:tc>
        <w:tc>
          <w:tcPr>
            <w:tcW w:w="1583" w:type="dxa"/>
            <w:tcBorders>
              <w:top w:val="single" w:sz="4" w:space="0" w:color="993365"/>
              <w:left w:val="single" w:sz="4" w:space="0" w:color="FFFFFF" w:themeColor="background1"/>
              <w:right w:val="single" w:sz="4" w:space="0" w:color="FFFFFF" w:themeColor="background1"/>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9</w:t>
            </w:r>
            <w:r w:rsidRPr="00FE4FE6">
              <w:rPr>
                <w:rFonts w:ascii="Arial" w:hAnsi="Arial" w:cs="Arial"/>
                <w:sz w:val="20"/>
                <w:szCs w:val="20"/>
              </w:rPr>
              <w:t>.</w:t>
            </w:r>
            <w:r>
              <w:rPr>
                <w:rFonts w:ascii="Arial" w:hAnsi="Arial" w:cs="Arial"/>
                <w:sz w:val="20"/>
                <w:szCs w:val="20"/>
              </w:rPr>
              <w:t>4</w:t>
            </w:r>
            <w:r w:rsidRPr="00FE4FE6">
              <w:rPr>
                <w:rFonts w:ascii="Arial" w:hAnsi="Arial" w:cs="Arial"/>
                <w:sz w:val="20"/>
                <w:szCs w:val="20"/>
              </w:rPr>
              <w:t>%</w:t>
            </w:r>
          </w:p>
        </w:tc>
        <w:tc>
          <w:tcPr>
            <w:tcW w:w="1583" w:type="dxa"/>
            <w:tcBorders>
              <w:top w:val="single" w:sz="4" w:space="0" w:color="993365"/>
              <w:left w:val="single" w:sz="4" w:space="0" w:color="FFFFFF" w:themeColor="background1"/>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7</w:t>
            </w:r>
            <w:r>
              <w:rPr>
                <w:rFonts w:ascii="Arial" w:hAnsi="Arial" w:cs="Arial"/>
                <w:sz w:val="20"/>
                <w:szCs w:val="20"/>
              </w:rPr>
              <w:t>0</w:t>
            </w:r>
            <w:r w:rsidRPr="00FE4FE6">
              <w:rPr>
                <w:rFonts w:ascii="Arial" w:hAnsi="Arial" w:cs="Arial"/>
                <w:sz w:val="20"/>
                <w:szCs w:val="20"/>
              </w:rPr>
              <w:t>.</w:t>
            </w:r>
            <w:r>
              <w:rPr>
                <w:rFonts w:ascii="Arial" w:hAnsi="Arial" w:cs="Arial"/>
                <w:sz w:val="20"/>
                <w:szCs w:val="20"/>
              </w:rPr>
              <w:t>6</w:t>
            </w:r>
            <w:r w:rsidRPr="00FE4FE6">
              <w:rPr>
                <w:rFonts w:ascii="Arial" w:hAnsi="Arial" w:cs="Arial"/>
                <w:sz w:val="20"/>
                <w:szCs w:val="20"/>
              </w:rPr>
              <w:t>%</w:t>
            </w:r>
          </w:p>
        </w:tc>
      </w:tr>
      <w:tr w:rsidR="00B84942" w:rsidRPr="00FE4FE6">
        <w:trPr>
          <w:trHeight w:val="360"/>
          <w:jc w:val="center"/>
        </w:trPr>
        <w:tc>
          <w:tcPr>
            <w:tcW w:w="1583" w:type="dxa"/>
            <w:tcBorders>
              <w:top w:val="nil"/>
              <w:left w:val="single" w:sz="4" w:space="0" w:color="993366"/>
              <w:right w:val="single" w:sz="4" w:space="0" w:color="FFFFFF" w:themeColor="background1"/>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hAnsi="Arial" w:cs="Arial"/>
                <w:sz w:val="20"/>
                <w:szCs w:val="20"/>
              </w:rPr>
              <w:t>Clinical Medicine</w:t>
            </w:r>
          </w:p>
        </w:tc>
        <w:tc>
          <w:tcPr>
            <w:tcW w:w="1583" w:type="dxa"/>
            <w:tcBorders>
              <w:top w:val="nil"/>
              <w:left w:val="single" w:sz="4" w:space="0" w:color="FFFFFF" w:themeColor="background1"/>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165</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418</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584</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28.3%</w:t>
            </w:r>
          </w:p>
        </w:tc>
        <w:tc>
          <w:tcPr>
            <w:tcW w:w="1583" w:type="dxa"/>
            <w:tcBorders>
              <w:top w:val="nil"/>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71.7%</w:t>
            </w:r>
          </w:p>
        </w:tc>
      </w:tr>
      <w:tr w:rsidR="00B84942" w:rsidRPr="00FE4FE6">
        <w:trPr>
          <w:trHeight w:val="360"/>
          <w:jc w:val="center"/>
        </w:trPr>
        <w:tc>
          <w:tcPr>
            <w:tcW w:w="1583" w:type="dxa"/>
            <w:tcBorders>
              <w:top w:val="nil"/>
              <w:left w:val="single" w:sz="4" w:space="0" w:color="993366"/>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hAnsi="Arial" w:cs="Arial"/>
                <w:sz w:val="20"/>
                <w:szCs w:val="20"/>
              </w:rPr>
              <w:t>Fundamental</w:t>
            </w:r>
          </w:p>
        </w:tc>
        <w:tc>
          <w:tcPr>
            <w:tcW w:w="1583" w:type="dxa"/>
            <w:tcBorders>
              <w:top w:val="nil"/>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61</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w:t>
            </w:r>
            <w:r>
              <w:rPr>
                <w:rFonts w:ascii="Arial" w:hAnsi="Arial" w:cs="Arial"/>
                <w:sz w:val="20"/>
                <w:szCs w:val="20"/>
              </w:rPr>
              <w:t>34</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w:t>
            </w:r>
            <w:r>
              <w:rPr>
                <w:rFonts w:ascii="Arial" w:hAnsi="Arial" w:cs="Arial"/>
                <w:sz w:val="20"/>
                <w:szCs w:val="20"/>
              </w:rPr>
              <w:t>95</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w:t>
            </w:r>
            <w:r>
              <w:rPr>
                <w:rFonts w:ascii="Arial" w:hAnsi="Arial" w:cs="Arial"/>
                <w:sz w:val="20"/>
                <w:szCs w:val="20"/>
              </w:rPr>
              <w:t>1</w:t>
            </w:r>
            <w:r w:rsidRPr="00FE4FE6">
              <w:rPr>
                <w:rFonts w:ascii="Arial" w:hAnsi="Arial" w:cs="Arial"/>
                <w:sz w:val="20"/>
                <w:szCs w:val="20"/>
              </w:rPr>
              <w:t>.</w:t>
            </w:r>
            <w:r>
              <w:rPr>
                <w:rFonts w:ascii="Arial" w:hAnsi="Arial" w:cs="Arial"/>
                <w:sz w:val="20"/>
                <w:szCs w:val="20"/>
              </w:rPr>
              <w:t>4</w:t>
            </w:r>
            <w:r w:rsidRPr="00FE4FE6">
              <w:rPr>
                <w:rFonts w:ascii="Arial" w:hAnsi="Arial" w:cs="Arial"/>
                <w:sz w:val="20"/>
                <w:szCs w:val="20"/>
              </w:rPr>
              <w:t>%</w:t>
            </w:r>
          </w:p>
        </w:tc>
        <w:tc>
          <w:tcPr>
            <w:tcW w:w="1583" w:type="dxa"/>
            <w:tcBorders>
              <w:top w:val="nil"/>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6</w:t>
            </w:r>
            <w:r>
              <w:rPr>
                <w:rFonts w:ascii="Arial" w:hAnsi="Arial" w:cs="Arial"/>
                <w:sz w:val="20"/>
                <w:szCs w:val="20"/>
              </w:rPr>
              <w:t>8</w:t>
            </w:r>
            <w:r w:rsidRPr="00FE4FE6">
              <w:rPr>
                <w:rFonts w:ascii="Arial" w:hAnsi="Arial" w:cs="Arial"/>
                <w:sz w:val="20"/>
                <w:szCs w:val="20"/>
              </w:rPr>
              <w:t>.</w:t>
            </w:r>
            <w:r>
              <w:rPr>
                <w:rFonts w:ascii="Arial" w:hAnsi="Arial" w:cs="Arial"/>
                <w:sz w:val="20"/>
                <w:szCs w:val="20"/>
              </w:rPr>
              <w:t>6</w:t>
            </w:r>
            <w:r w:rsidRPr="00FE4FE6">
              <w:rPr>
                <w:rFonts w:ascii="Arial" w:hAnsi="Arial" w:cs="Arial"/>
                <w:sz w:val="20"/>
                <w:szCs w:val="20"/>
              </w:rPr>
              <w:t>%</w:t>
            </w:r>
          </w:p>
        </w:tc>
      </w:tr>
      <w:tr w:rsidR="00B84942" w:rsidRPr="00FE4FE6">
        <w:trPr>
          <w:trHeight w:val="360"/>
          <w:jc w:val="center"/>
        </w:trPr>
        <w:tc>
          <w:tcPr>
            <w:tcW w:w="1583" w:type="dxa"/>
            <w:tcBorders>
              <w:top w:val="nil"/>
              <w:left w:val="single" w:sz="4" w:space="0" w:color="993366"/>
              <w:right w:val="nil"/>
            </w:tcBorders>
            <w:noWrap/>
            <w:vAlign w:val="center"/>
          </w:tcPr>
          <w:p w:rsidR="00B84942" w:rsidRPr="00FE4FE6" w:rsidRDefault="00B84942" w:rsidP="00506E38">
            <w:pPr>
              <w:ind w:left="37"/>
              <w:jc w:val="center"/>
              <w:rPr>
                <w:rFonts w:ascii="Arial" w:hAnsi="Arial" w:cs="Arial"/>
                <w:sz w:val="20"/>
                <w:szCs w:val="20"/>
              </w:rPr>
            </w:pPr>
            <w:r w:rsidRPr="00FE4FE6">
              <w:rPr>
                <w:rFonts w:ascii="Arial" w:hAnsi="Arial" w:cs="Arial"/>
                <w:sz w:val="20"/>
                <w:szCs w:val="20"/>
              </w:rPr>
              <w:t>HVM</w:t>
            </w:r>
          </w:p>
        </w:tc>
        <w:tc>
          <w:tcPr>
            <w:tcW w:w="1583" w:type="dxa"/>
            <w:tcBorders>
              <w:top w:val="nil"/>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169</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w:t>
            </w:r>
            <w:r>
              <w:rPr>
                <w:rFonts w:ascii="Arial" w:hAnsi="Arial" w:cs="Arial"/>
                <w:sz w:val="20"/>
                <w:szCs w:val="20"/>
              </w:rPr>
              <w:t>97</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6</w:t>
            </w:r>
            <w:r>
              <w:rPr>
                <w:rFonts w:ascii="Arial" w:hAnsi="Arial" w:cs="Arial"/>
                <w:sz w:val="20"/>
                <w:szCs w:val="20"/>
              </w:rPr>
              <w:t>66</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5</w:t>
            </w:r>
            <w:r w:rsidRPr="00FE4FE6">
              <w:rPr>
                <w:rFonts w:ascii="Arial" w:hAnsi="Arial" w:cs="Arial"/>
                <w:sz w:val="20"/>
                <w:szCs w:val="20"/>
              </w:rPr>
              <w:t>.</w:t>
            </w:r>
            <w:r>
              <w:rPr>
                <w:rFonts w:ascii="Arial" w:hAnsi="Arial" w:cs="Arial"/>
                <w:sz w:val="20"/>
                <w:szCs w:val="20"/>
              </w:rPr>
              <w:t>3</w:t>
            </w:r>
            <w:r w:rsidRPr="00FE4FE6">
              <w:rPr>
                <w:rFonts w:ascii="Arial" w:hAnsi="Arial" w:cs="Arial"/>
                <w:sz w:val="20"/>
                <w:szCs w:val="20"/>
              </w:rPr>
              <w:t>%</w:t>
            </w:r>
          </w:p>
        </w:tc>
        <w:tc>
          <w:tcPr>
            <w:tcW w:w="1583" w:type="dxa"/>
            <w:tcBorders>
              <w:top w:val="nil"/>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7</w:t>
            </w:r>
            <w:r>
              <w:rPr>
                <w:rFonts w:ascii="Arial" w:hAnsi="Arial" w:cs="Arial"/>
                <w:sz w:val="20"/>
                <w:szCs w:val="20"/>
              </w:rPr>
              <w:t>4</w:t>
            </w:r>
            <w:r w:rsidRPr="00FE4FE6">
              <w:rPr>
                <w:rFonts w:ascii="Arial" w:hAnsi="Arial" w:cs="Arial"/>
                <w:sz w:val="20"/>
                <w:szCs w:val="20"/>
              </w:rPr>
              <w:t>.</w:t>
            </w:r>
            <w:r>
              <w:rPr>
                <w:rFonts w:ascii="Arial" w:hAnsi="Arial" w:cs="Arial"/>
                <w:sz w:val="20"/>
                <w:szCs w:val="20"/>
              </w:rPr>
              <w:t>7</w:t>
            </w:r>
            <w:r w:rsidRPr="00FE4FE6">
              <w:rPr>
                <w:rFonts w:ascii="Arial" w:hAnsi="Arial" w:cs="Arial"/>
                <w:sz w:val="20"/>
                <w:szCs w:val="20"/>
              </w:rPr>
              <w:t>%</w:t>
            </w:r>
          </w:p>
        </w:tc>
      </w:tr>
      <w:tr w:rsidR="00B84942" w:rsidRPr="00FE4FE6">
        <w:trPr>
          <w:trHeight w:val="360"/>
          <w:jc w:val="center"/>
        </w:trPr>
        <w:tc>
          <w:tcPr>
            <w:tcW w:w="1583" w:type="dxa"/>
            <w:tcBorders>
              <w:top w:val="nil"/>
              <w:left w:val="single" w:sz="4" w:space="0" w:color="993366"/>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hAnsi="Arial" w:cs="Arial"/>
                <w:sz w:val="20"/>
                <w:szCs w:val="20"/>
              </w:rPr>
              <w:t>Engineering</w:t>
            </w:r>
          </w:p>
        </w:tc>
        <w:tc>
          <w:tcPr>
            <w:tcW w:w="1583" w:type="dxa"/>
            <w:tcBorders>
              <w:top w:val="nil"/>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109</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68</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w:t>
            </w:r>
            <w:r>
              <w:rPr>
                <w:rFonts w:ascii="Arial" w:hAnsi="Arial" w:cs="Arial"/>
                <w:sz w:val="20"/>
                <w:szCs w:val="20"/>
              </w:rPr>
              <w:t>78</w:t>
            </w:r>
          </w:p>
        </w:tc>
        <w:tc>
          <w:tcPr>
            <w:tcW w:w="1583" w:type="dxa"/>
            <w:tcBorders>
              <w:top w:val="nil"/>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28</w:t>
            </w:r>
            <w:r w:rsidRPr="00FE4FE6">
              <w:rPr>
                <w:rFonts w:ascii="Arial" w:hAnsi="Arial" w:cs="Arial"/>
                <w:sz w:val="20"/>
                <w:szCs w:val="20"/>
              </w:rPr>
              <w:t>.</w:t>
            </w:r>
            <w:r>
              <w:rPr>
                <w:rFonts w:ascii="Arial" w:hAnsi="Arial" w:cs="Arial"/>
                <w:sz w:val="20"/>
                <w:szCs w:val="20"/>
              </w:rPr>
              <w:t>9</w:t>
            </w:r>
            <w:r w:rsidRPr="00FE4FE6">
              <w:rPr>
                <w:rFonts w:ascii="Arial" w:hAnsi="Arial" w:cs="Arial"/>
                <w:sz w:val="20"/>
                <w:szCs w:val="20"/>
              </w:rPr>
              <w:t>%</w:t>
            </w:r>
          </w:p>
        </w:tc>
        <w:tc>
          <w:tcPr>
            <w:tcW w:w="1583" w:type="dxa"/>
            <w:tcBorders>
              <w:top w:val="nil"/>
              <w:left w:val="nil"/>
              <w:right w:val="single" w:sz="4" w:space="0" w:color="993366"/>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71</w:t>
            </w:r>
            <w:r w:rsidRPr="00FE4FE6">
              <w:rPr>
                <w:rFonts w:ascii="Arial" w:hAnsi="Arial" w:cs="Arial"/>
                <w:sz w:val="20"/>
                <w:szCs w:val="20"/>
              </w:rPr>
              <w:t>.</w:t>
            </w:r>
            <w:r>
              <w:rPr>
                <w:rFonts w:ascii="Arial" w:hAnsi="Arial" w:cs="Arial"/>
                <w:sz w:val="20"/>
                <w:szCs w:val="20"/>
              </w:rPr>
              <w:t>1</w:t>
            </w:r>
            <w:r w:rsidRPr="00FE4FE6">
              <w:rPr>
                <w:rFonts w:ascii="Arial" w:hAnsi="Arial" w:cs="Arial"/>
                <w:sz w:val="20"/>
                <w:szCs w:val="20"/>
              </w:rPr>
              <w:t>%</w:t>
            </w:r>
          </w:p>
        </w:tc>
      </w:tr>
      <w:tr w:rsidR="00B84942" w:rsidRPr="00FE4FE6">
        <w:trPr>
          <w:trHeight w:val="360"/>
          <w:jc w:val="center"/>
        </w:trPr>
        <w:tc>
          <w:tcPr>
            <w:tcW w:w="1583" w:type="dxa"/>
            <w:tcBorders>
              <w:left w:val="single" w:sz="4" w:space="0" w:color="993366"/>
              <w:bottom w:val="single" w:sz="4" w:space="0" w:color="808080" w:themeColor="background1" w:themeShade="80"/>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Social Science</w:t>
            </w:r>
          </w:p>
        </w:tc>
        <w:tc>
          <w:tcPr>
            <w:tcW w:w="1583" w:type="dxa"/>
            <w:tcBorders>
              <w:left w:val="nil"/>
              <w:bottom w:val="single" w:sz="4" w:space="0" w:color="808080" w:themeColor="background1" w:themeShade="80"/>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42</w:t>
            </w:r>
          </w:p>
        </w:tc>
        <w:tc>
          <w:tcPr>
            <w:tcW w:w="1583" w:type="dxa"/>
            <w:tcBorders>
              <w:left w:val="nil"/>
              <w:bottom w:val="single" w:sz="4" w:space="0" w:color="808080" w:themeColor="background1" w:themeShade="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8</w:t>
            </w:r>
            <w:r>
              <w:rPr>
                <w:rFonts w:ascii="Arial" w:hAnsi="Arial" w:cs="Arial"/>
                <w:sz w:val="20"/>
                <w:szCs w:val="20"/>
              </w:rPr>
              <w:t>4</w:t>
            </w:r>
          </w:p>
        </w:tc>
        <w:tc>
          <w:tcPr>
            <w:tcW w:w="1583" w:type="dxa"/>
            <w:tcBorders>
              <w:left w:val="nil"/>
              <w:bottom w:val="single" w:sz="4" w:space="0" w:color="808080" w:themeColor="background1" w:themeShade="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126</w:t>
            </w:r>
          </w:p>
        </w:tc>
        <w:tc>
          <w:tcPr>
            <w:tcW w:w="1583" w:type="dxa"/>
            <w:tcBorders>
              <w:left w:val="nil"/>
              <w:bottom w:val="single" w:sz="4" w:space="0" w:color="808080" w:themeColor="background1" w:themeShade="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33.3%</w:t>
            </w:r>
          </w:p>
        </w:tc>
        <w:tc>
          <w:tcPr>
            <w:tcW w:w="1583" w:type="dxa"/>
            <w:tcBorders>
              <w:left w:val="nil"/>
              <w:bottom w:val="single" w:sz="4" w:space="0" w:color="808080" w:themeColor="background1" w:themeShade="80"/>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66.7%</w:t>
            </w:r>
          </w:p>
        </w:tc>
      </w:tr>
      <w:tr w:rsidR="00B84942" w:rsidRPr="00FE4FE6">
        <w:trPr>
          <w:trHeight w:val="360"/>
          <w:jc w:val="center"/>
        </w:trPr>
        <w:tc>
          <w:tcPr>
            <w:tcW w:w="1583" w:type="dxa"/>
            <w:tcBorders>
              <w:top w:val="single" w:sz="4" w:space="0" w:color="808080" w:themeColor="background1" w:themeShade="80"/>
              <w:left w:val="single" w:sz="4" w:space="0" w:color="993366"/>
              <w:bottom w:val="single" w:sz="4" w:space="0" w:color="993365"/>
              <w:right w:val="single" w:sz="4" w:space="0" w:color="FFFFFF" w:themeColor="background1"/>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hAnsi="Arial" w:cs="Arial"/>
                <w:sz w:val="20"/>
                <w:szCs w:val="20"/>
              </w:rPr>
              <w:t>Total</w:t>
            </w:r>
          </w:p>
        </w:tc>
        <w:tc>
          <w:tcPr>
            <w:tcW w:w="1583" w:type="dxa"/>
            <w:tcBorders>
              <w:top w:val="single" w:sz="4" w:space="0" w:color="808080" w:themeColor="background1" w:themeShade="80"/>
              <w:left w:val="single" w:sz="4" w:space="0" w:color="FFFFFF" w:themeColor="background1"/>
              <w:bottom w:val="single" w:sz="4" w:space="0" w:color="993365"/>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681</w:t>
            </w:r>
          </w:p>
        </w:tc>
        <w:tc>
          <w:tcPr>
            <w:tcW w:w="1583" w:type="dxa"/>
            <w:tcBorders>
              <w:top w:val="single" w:sz="4" w:space="0" w:color="808080" w:themeColor="background1" w:themeShade="80"/>
              <w:left w:val="nil"/>
              <w:bottom w:val="single" w:sz="4" w:space="0" w:color="993365"/>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w:t>
            </w:r>
            <w:r>
              <w:rPr>
                <w:rFonts w:ascii="Arial" w:hAnsi="Arial" w:cs="Arial"/>
                <w:sz w:val="20"/>
                <w:szCs w:val="20"/>
              </w:rPr>
              <w:t>,726</w:t>
            </w:r>
          </w:p>
        </w:tc>
        <w:tc>
          <w:tcPr>
            <w:tcW w:w="1583" w:type="dxa"/>
            <w:tcBorders>
              <w:top w:val="single" w:sz="4" w:space="0" w:color="808080" w:themeColor="background1" w:themeShade="80"/>
              <w:left w:val="nil"/>
              <w:bottom w:val="single" w:sz="4" w:space="0" w:color="993365"/>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,407</w:t>
            </w:r>
          </w:p>
        </w:tc>
        <w:tc>
          <w:tcPr>
            <w:tcW w:w="1583" w:type="dxa"/>
            <w:tcBorders>
              <w:top w:val="single" w:sz="4" w:space="0" w:color="808080" w:themeColor="background1" w:themeShade="80"/>
              <w:left w:val="nil"/>
              <w:bottom w:val="single" w:sz="4" w:space="0" w:color="993365"/>
              <w:right w:val="nil"/>
            </w:tcBorders>
            <w:vAlign w:val="center"/>
          </w:tcPr>
          <w:p w:rsidR="00B84942" w:rsidRPr="00FE4FE6" w:rsidRDefault="00B84942" w:rsidP="00506E38">
            <w:pPr>
              <w:jc w:val="center"/>
              <w:rPr>
                <w:rFonts w:ascii="Arial" w:hAnsi="Arial" w:cs="Arial"/>
                <w:sz w:val="20"/>
                <w:szCs w:val="20"/>
              </w:rPr>
            </w:pPr>
          </w:p>
        </w:tc>
        <w:tc>
          <w:tcPr>
            <w:tcW w:w="1583" w:type="dxa"/>
            <w:tcBorders>
              <w:top w:val="single" w:sz="4" w:space="0" w:color="808080" w:themeColor="background1" w:themeShade="80"/>
              <w:left w:val="nil"/>
              <w:bottom w:val="single" w:sz="4" w:space="0" w:color="993365"/>
              <w:right w:val="single" w:sz="4" w:space="0" w:color="993366"/>
            </w:tcBorders>
            <w:vAlign w:val="center"/>
          </w:tcPr>
          <w:p w:rsidR="00B84942" w:rsidRPr="00FE4FE6" w:rsidRDefault="00B84942" w:rsidP="00506E38">
            <w:pPr>
              <w:jc w:val="center"/>
              <w:rPr>
                <w:rFonts w:ascii="Arial" w:hAnsi="Arial" w:cs="Arial"/>
                <w:sz w:val="20"/>
                <w:szCs w:val="20"/>
              </w:rPr>
            </w:pPr>
          </w:p>
        </w:tc>
      </w:tr>
      <w:tr w:rsidR="00B84942" w:rsidRPr="00FE4FE6">
        <w:trPr>
          <w:trHeight w:val="360"/>
          <w:jc w:val="center"/>
        </w:trPr>
        <w:tc>
          <w:tcPr>
            <w:tcW w:w="1583" w:type="dxa"/>
            <w:tcBorders>
              <w:top w:val="single" w:sz="4" w:space="0" w:color="993365"/>
              <w:left w:val="single" w:sz="4" w:space="0" w:color="993366"/>
              <w:bottom w:val="single" w:sz="4" w:space="0" w:color="993365"/>
              <w:right w:val="single" w:sz="4" w:space="0" w:color="FFFFFF" w:themeColor="background1"/>
            </w:tcBorders>
            <w:shd w:val="clear" w:color="auto" w:fill="993365"/>
            <w:noWrap/>
            <w:vAlign w:val="center"/>
          </w:tcPr>
          <w:p w:rsidR="00B84942" w:rsidRPr="00513FAC" w:rsidRDefault="00B84942" w:rsidP="00506E38">
            <w:pPr>
              <w:jc w:val="center"/>
              <w:rPr>
                <w:rFonts w:ascii="Arial" w:hAnsi="Arial" w:cs="Arial"/>
                <w:b/>
                <w:color w:val="FFFFFF" w:themeColor="background1"/>
                <w:szCs w:val="24"/>
              </w:rPr>
            </w:pPr>
          </w:p>
        </w:tc>
        <w:tc>
          <w:tcPr>
            <w:tcW w:w="1583"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noWrap/>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 xml:space="preserve">Count of </w:t>
            </w:r>
            <w:r w:rsidR="00605247">
              <w:rPr>
                <w:rFonts w:ascii="Arial" w:hAnsi="Arial" w:cs="Arial"/>
                <w:b/>
                <w:color w:val="FFFFFF" w:themeColor="background1"/>
                <w:szCs w:val="24"/>
              </w:rPr>
              <w:t>P</w:t>
            </w:r>
            <w:r w:rsidRPr="00513FAC">
              <w:rPr>
                <w:rFonts w:ascii="Arial" w:hAnsi="Arial" w:cs="Arial"/>
                <w:b/>
                <w:color w:val="FFFFFF" w:themeColor="background1"/>
                <w:szCs w:val="24"/>
              </w:rPr>
              <w:t>rojects</w:t>
            </w:r>
          </w:p>
        </w:tc>
        <w:tc>
          <w:tcPr>
            <w:tcW w:w="1583"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Count Share</w:t>
            </w:r>
          </w:p>
        </w:tc>
        <w:tc>
          <w:tcPr>
            <w:tcW w:w="1583"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UKRPIF Mean Value (£m)</w:t>
            </w:r>
          </w:p>
        </w:tc>
        <w:tc>
          <w:tcPr>
            <w:tcW w:w="1583"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Co-investment Mean </w:t>
            </w:r>
            <w:r w:rsidR="00605247">
              <w:rPr>
                <w:rFonts w:ascii="Arial" w:eastAsia="Times New Roman" w:hAnsi="Arial" w:cs="Arial"/>
                <w:b/>
                <w:color w:val="FFFFFF" w:themeColor="background1"/>
                <w:szCs w:val="24"/>
                <w:lang w:eastAsia="en-GB"/>
              </w:rPr>
              <w:t>V</w:t>
            </w:r>
            <w:r w:rsidRPr="00513FAC">
              <w:rPr>
                <w:rFonts w:ascii="Arial" w:eastAsia="Times New Roman" w:hAnsi="Arial" w:cs="Arial"/>
                <w:b/>
                <w:color w:val="FFFFFF" w:themeColor="background1"/>
                <w:szCs w:val="24"/>
                <w:lang w:eastAsia="en-GB"/>
              </w:rPr>
              <w:t>alue (£m)</w:t>
            </w:r>
          </w:p>
        </w:tc>
        <w:tc>
          <w:tcPr>
            <w:tcW w:w="1583" w:type="dxa"/>
            <w:tcBorders>
              <w:top w:val="single" w:sz="4" w:space="0" w:color="993365"/>
              <w:left w:val="single" w:sz="4" w:space="0" w:color="FFFFFF" w:themeColor="background1"/>
              <w:bottom w:val="single" w:sz="4" w:space="0" w:color="993365"/>
              <w:right w:val="single" w:sz="4" w:space="0" w:color="993366"/>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Co-investment to UKRPIF Ratio Mean</w:t>
            </w:r>
          </w:p>
        </w:tc>
      </w:tr>
      <w:tr w:rsidR="00B84942" w:rsidRPr="00FE4FE6">
        <w:trPr>
          <w:trHeight w:val="360"/>
          <w:jc w:val="center"/>
        </w:trPr>
        <w:tc>
          <w:tcPr>
            <w:tcW w:w="1583" w:type="dxa"/>
            <w:tcBorders>
              <w:top w:val="single" w:sz="4" w:space="0" w:color="993365"/>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Bio-</w:t>
            </w:r>
            <w:r w:rsidR="00605247">
              <w:rPr>
                <w:rFonts w:ascii="Arial" w:hAnsi="Arial" w:cs="Arial"/>
                <w:sz w:val="20"/>
                <w:szCs w:val="20"/>
              </w:rPr>
              <w:t>m</w:t>
            </w:r>
            <w:r w:rsidRPr="00FE4FE6">
              <w:rPr>
                <w:rFonts w:ascii="Arial" w:hAnsi="Arial" w:cs="Arial"/>
                <w:sz w:val="20"/>
                <w:szCs w:val="20"/>
              </w:rPr>
              <w:t>edical</w:t>
            </w:r>
          </w:p>
        </w:tc>
        <w:tc>
          <w:tcPr>
            <w:tcW w:w="1583" w:type="dxa"/>
            <w:tcBorders>
              <w:top w:val="single" w:sz="4" w:space="0" w:color="993365"/>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7</w:t>
            </w:r>
          </w:p>
        </w:tc>
        <w:tc>
          <w:tcPr>
            <w:tcW w:w="1583" w:type="dxa"/>
            <w:tcBorders>
              <w:top w:val="single" w:sz="4" w:space="0" w:color="993365"/>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16.3%</w:t>
            </w:r>
          </w:p>
        </w:tc>
        <w:tc>
          <w:tcPr>
            <w:tcW w:w="1583" w:type="dxa"/>
            <w:tcBorders>
              <w:top w:val="single" w:sz="4" w:space="0" w:color="993365"/>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19.3</w:t>
            </w:r>
          </w:p>
        </w:tc>
        <w:tc>
          <w:tcPr>
            <w:tcW w:w="1583" w:type="dxa"/>
            <w:tcBorders>
              <w:top w:val="single" w:sz="4" w:space="0" w:color="993365"/>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w:t>
            </w:r>
            <w:r>
              <w:rPr>
                <w:rFonts w:ascii="Arial" w:hAnsi="Arial" w:cs="Arial"/>
                <w:sz w:val="20"/>
                <w:szCs w:val="20"/>
              </w:rPr>
              <w:t>6</w:t>
            </w:r>
            <w:r w:rsidRPr="00FE4FE6">
              <w:rPr>
                <w:rFonts w:ascii="Arial" w:hAnsi="Arial" w:cs="Arial"/>
                <w:sz w:val="20"/>
                <w:szCs w:val="20"/>
              </w:rPr>
              <w:t>.</w:t>
            </w:r>
            <w:r>
              <w:rPr>
                <w:rFonts w:ascii="Arial" w:hAnsi="Arial" w:cs="Arial"/>
                <w:sz w:val="20"/>
                <w:szCs w:val="20"/>
              </w:rPr>
              <w:t>3</w:t>
            </w:r>
          </w:p>
        </w:tc>
        <w:tc>
          <w:tcPr>
            <w:tcW w:w="1583" w:type="dxa"/>
            <w:tcBorders>
              <w:top w:val="single" w:sz="4" w:space="0" w:color="993365"/>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2.5</w:t>
            </w:r>
          </w:p>
        </w:tc>
      </w:tr>
      <w:tr w:rsidR="00B84942" w:rsidRPr="00FE4FE6">
        <w:trPr>
          <w:trHeight w:val="360"/>
          <w:jc w:val="center"/>
        </w:trPr>
        <w:tc>
          <w:tcPr>
            <w:tcW w:w="1583"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Clinical Medicine</w:t>
            </w:r>
          </w:p>
        </w:tc>
        <w:tc>
          <w:tcPr>
            <w:tcW w:w="1583"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12</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27.9%</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13.8</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34.9</w:t>
            </w:r>
          </w:p>
        </w:tc>
        <w:tc>
          <w:tcPr>
            <w:tcW w:w="1583" w:type="dxa"/>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2.7</w:t>
            </w:r>
          </w:p>
        </w:tc>
      </w:tr>
      <w:tr w:rsidR="00B84942" w:rsidRPr="00FE4FE6">
        <w:trPr>
          <w:trHeight w:val="360"/>
          <w:jc w:val="center"/>
        </w:trPr>
        <w:tc>
          <w:tcPr>
            <w:tcW w:w="1583"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Fundamental</w:t>
            </w:r>
          </w:p>
        </w:tc>
        <w:tc>
          <w:tcPr>
            <w:tcW w:w="1583"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9.3%</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15.3</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w:t>
            </w:r>
            <w:r>
              <w:rPr>
                <w:rFonts w:ascii="Arial" w:hAnsi="Arial" w:cs="Arial"/>
                <w:sz w:val="20"/>
                <w:szCs w:val="20"/>
              </w:rPr>
              <w:t>3</w:t>
            </w:r>
            <w:r w:rsidRPr="00FE4FE6">
              <w:rPr>
                <w:rFonts w:ascii="Arial" w:hAnsi="Arial" w:cs="Arial"/>
                <w:sz w:val="20"/>
                <w:szCs w:val="20"/>
              </w:rPr>
              <w:t>.</w:t>
            </w:r>
            <w:r>
              <w:rPr>
                <w:rFonts w:ascii="Arial" w:hAnsi="Arial" w:cs="Arial"/>
                <w:sz w:val="20"/>
                <w:szCs w:val="20"/>
              </w:rPr>
              <w:t>5</w:t>
            </w:r>
          </w:p>
        </w:tc>
        <w:tc>
          <w:tcPr>
            <w:tcW w:w="1583" w:type="dxa"/>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2</w:t>
            </w:r>
          </w:p>
        </w:tc>
      </w:tr>
      <w:tr w:rsidR="00B84942" w:rsidRPr="00FE4FE6">
        <w:trPr>
          <w:trHeight w:val="360"/>
          <w:jc w:val="center"/>
        </w:trPr>
        <w:tc>
          <w:tcPr>
            <w:tcW w:w="1583"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HVM</w:t>
            </w:r>
          </w:p>
        </w:tc>
        <w:tc>
          <w:tcPr>
            <w:tcW w:w="1583"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11</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25.6%</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15.3</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w:t>
            </w:r>
            <w:r>
              <w:rPr>
                <w:rFonts w:ascii="Arial" w:hAnsi="Arial" w:cs="Arial"/>
                <w:sz w:val="20"/>
                <w:szCs w:val="20"/>
              </w:rPr>
              <w:t>5</w:t>
            </w:r>
            <w:r w:rsidRPr="00FE4FE6">
              <w:rPr>
                <w:rFonts w:ascii="Arial" w:hAnsi="Arial" w:cs="Arial"/>
                <w:sz w:val="20"/>
                <w:szCs w:val="20"/>
              </w:rPr>
              <w:t>.2</w:t>
            </w:r>
          </w:p>
        </w:tc>
        <w:tc>
          <w:tcPr>
            <w:tcW w:w="1583" w:type="dxa"/>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w:t>
            </w:r>
            <w:r>
              <w:rPr>
                <w:rFonts w:ascii="Arial" w:hAnsi="Arial" w:cs="Arial"/>
                <w:sz w:val="20"/>
                <w:szCs w:val="20"/>
              </w:rPr>
              <w:t>2</w:t>
            </w:r>
          </w:p>
        </w:tc>
      </w:tr>
      <w:tr w:rsidR="00B84942" w:rsidRPr="00FE4FE6">
        <w:trPr>
          <w:trHeight w:val="360"/>
          <w:jc w:val="center"/>
        </w:trPr>
        <w:tc>
          <w:tcPr>
            <w:tcW w:w="1583"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Engineering</w:t>
            </w:r>
          </w:p>
        </w:tc>
        <w:tc>
          <w:tcPr>
            <w:tcW w:w="1583"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7</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16.3%</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15.6</w:t>
            </w:r>
          </w:p>
        </w:tc>
        <w:tc>
          <w:tcPr>
            <w:tcW w:w="1583"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w:t>
            </w:r>
            <w:r>
              <w:rPr>
                <w:rFonts w:ascii="Arial" w:hAnsi="Arial" w:cs="Arial"/>
                <w:sz w:val="20"/>
                <w:szCs w:val="20"/>
              </w:rPr>
              <w:t>8</w:t>
            </w:r>
            <w:r w:rsidRPr="00FE4FE6">
              <w:rPr>
                <w:rFonts w:ascii="Arial" w:hAnsi="Arial" w:cs="Arial"/>
                <w:sz w:val="20"/>
                <w:szCs w:val="20"/>
              </w:rPr>
              <w:t>.</w:t>
            </w:r>
            <w:r>
              <w:rPr>
                <w:rFonts w:ascii="Arial" w:hAnsi="Arial" w:cs="Arial"/>
                <w:sz w:val="20"/>
                <w:szCs w:val="20"/>
              </w:rPr>
              <w:t>3</w:t>
            </w:r>
          </w:p>
        </w:tc>
        <w:tc>
          <w:tcPr>
            <w:tcW w:w="1583" w:type="dxa"/>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4</w:t>
            </w:r>
          </w:p>
        </w:tc>
      </w:tr>
      <w:tr w:rsidR="00B84942" w:rsidRPr="00FE4FE6">
        <w:trPr>
          <w:trHeight w:val="360"/>
          <w:jc w:val="center"/>
        </w:trPr>
        <w:tc>
          <w:tcPr>
            <w:tcW w:w="1583" w:type="dxa"/>
            <w:tcBorders>
              <w:left w:val="single" w:sz="4" w:space="0" w:color="993366"/>
              <w:bottom w:val="single" w:sz="4" w:space="0" w:color="808080"/>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Social Science</w:t>
            </w:r>
          </w:p>
        </w:tc>
        <w:tc>
          <w:tcPr>
            <w:tcW w:w="1583" w:type="dxa"/>
            <w:tcBorders>
              <w:left w:val="nil"/>
              <w:bottom w:val="single" w:sz="4" w:space="0" w:color="808080"/>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p>
        </w:tc>
        <w:tc>
          <w:tcPr>
            <w:tcW w:w="1583" w:type="dxa"/>
            <w:tcBorders>
              <w:left w:val="nil"/>
              <w:bottom w:val="single" w:sz="4" w:space="0" w:color="8080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4.7%</w:t>
            </w:r>
          </w:p>
        </w:tc>
        <w:tc>
          <w:tcPr>
            <w:tcW w:w="1583" w:type="dxa"/>
            <w:tcBorders>
              <w:left w:val="nil"/>
              <w:bottom w:val="single" w:sz="4" w:space="0" w:color="8080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20.9</w:t>
            </w:r>
          </w:p>
        </w:tc>
        <w:tc>
          <w:tcPr>
            <w:tcW w:w="1583" w:type="dxa"/>
            <w:tcBorders>
              <w:left w:val="nil"/>
              <w:bottom w:val="single" w:sz="4" w:space="0" w:color="8080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41.8</w:t>
            </w:r>
          </w:p>
        </w:tc>
        <w:tc>
          <w:tcPr>
            <w:tcW w:w="1583" w:type="dxa"/>
            <w:tcBorders>
              <w:left w:val="nil"/>
              <w:bottom w:val="single" w:sz="4" w:space="0" w:color="808080"/>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2.0</w:t>
            </w:r>
          </w:p>
        </w:tc>
      </w:tr>
      <w:tr w:rsidR="00B84942" w:rsidRPr="00FE4FE6">
        <w:trPr>
          <w:trHeight w:val="360"/>
          <w:jc w:val="center"/>
        </w:trPr>
        <w:tc>
          <w:tcPr>
            <w:tcW w:w="1583" w:type="dxa"/>
            <w:tcBorders>
              <w:top w:val="single" w:sz="4" w:space="0" w:color="808080"/>
              <w:left w:val="single" w:sz="4" w:space="0" w:color="993366"/>
              <w:bottom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Total</w:t>
            </w:r>
          </w:p>
        </w:tc>
        <w:tc>
          <w:tcPr>
            <w:tcW w:w="1583" w:type="dxa"/>
            <w:tcBorders>
              <w:top w:val="single" w:sz="4" w:space="0" w:color="808080"/>
              <w:left w:val="nil"/>
              <w:bottom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43</w:t>
            </w:r>
          </w:p>
        </w:tc>
        <w:tc>
          <w:tcPr>
            <w:tcW w:w="1583"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100.0%</w:t>
            </w:r>
          </w:p>
        </w:tc>
        <w:tc>
          <w:tcPr>
            <w:tcW w:w="1583"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p>
        </w:tc>
        <w:tc>
          <w:tcPr>
            <w:tcW w:w="1583"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p>
        </w:tc>
        <w:tc>
          <w:tcPr>
            <w:tcW w:w="1583" w:type="dxa"/>
            <w:tcBorders>
              <w:top w:val="single" w:sz="4" w:space="0" w:color="808080"/>
              <w:left w:val="nil"/>
              <w:bottom w:val="single" w:sz="4" w:space="0" w:color="993366"/>
              <w:right w:val="single" w:sz="4" w:space="0" w:color="993366"/>
            </w:tcBorders>
            <w:vAlign w:val="center"/>
          </w:tcPr>
          <w:p w:rsidR="00B84942" w:rsidRPr="00FE4FE6" w:rsidRDefault="00B84942" w:rsidP="00506E38">
            <w:pPr>
              <w:jc w:val="center"/>
              <w:rPr>
                <w:rFonts w:ascii="Arial" w:hAnsi="Arial" w:cs="Arial"/>
                <w:sz w:val="20"/>
                <w:szCs w:val="20"/>
              </w:rPr>
            </w:pPr>
          </w:p>
        </w:tc>
      </w:tr>
    </w:tbl>
    <w:p w:rsidR="00DE341A" w:rsidRPr="009E29CE" w:rsidRDefault="00B84942" w:rsidP="009E29CE">
      <w:pPr>
        <w:pStyle w:val="Belmana4normal"/>
        <w:ind w:firstLine="142"/>
        <w:rPr>
          <w:sz w:val="18"/>
          <w:szCs w:val="16"/>
        </w:rPr>
      </w:pPr>
      <w:r w:rsidRPr="008C2E15">
        <w:rPr>
          <w:sz w:val="18"/>
          <w:szCs w:val="16"/>
        </w:rPr>
        <w:t xml:space="preserve">Source: </w:t>
      </w:r>
      <w:r>
        <w:rPr>
          <w:sz w:val="18"/>
          <w:szCs w:val="16"/>
        </w:rPr>
        <w:t>UKRPIF Co-Investment Profiles Rounds 1-5</w:t>
      </w:r>
    </w:p>
    <w:p w:rsidR="00B84942" w:rsidRPr="008C2E15" w:rsidRDefault="009C3448" w:rsidP="00363228">
      <w:pPr>
        <w:pStyle w:val="Belmana2"/>
      </w:pPr>
      <w:bookmarkStart w:id="44" w:name="_Toc499548020"/>
      <w:bookmarkStart w:id="45" w:name="_Toc514831648"/>
      <w:r>
        <w:t>UKRPIF f</w:t>
      </w:r>
      <w:r w:rsidR="00453CDC">
        <w:t xml:space="preserve">unding </w:t>
      </w:r>
      <w:r w:rsidR="0048245C">
        <w:t>by c</w:t>
      </w:r>
      <w:r w:rsidR="00B84942" w:rsidRPr="008C2E15">
        <w:t xml:space="preserve">apital expenditure </w:t>
      </w:r>
      <w:bookmarkEnd w:id="44"/>
      <w:r w:rsidR="00A34EA7">
        <w:t>category</w:t>
      </w:r>
      <w:bookmarkEnd w:id="45"/>
    </w:p>
    <w:p w:rsidR="00B84942" w:rsidRPr="008C2E15" w:rsidRDefault="00B84942" w:rsidP="00A92448">
      <w:pPr>
        <w:pStyle w:val="Belmananormal"/>
        <w:spacing w:after="60"/>
      </w:pPr>
      <w:r w:rsidRPr="008C2E15">
        <w:t>The funds provided to HEIs under UKRPIF can be used for any of the following purposes:</w:t>
      </w:r>
    </w:p>
    <w:p w:rsidR="00B84942" w:rsidRPr="008C2E15" w:rsidRDefault="00B84942" w:rsidP="00A92448">
      <w:pPr>
        <w:pStyle w:val="Belmana4normal"/>
        <w:numPr>
          <w:ilvl w:val="0"/>
          <w:numId w:val="4"/>
        </w:numPr>
        <w:spacing w:after="60"/>
      </w:pPr>
      <w:r w:rsidRPr="008C2E15">
        <w:t>The refurbishment of buildings used for research;</w:t>
      </w:r>
    </w:p>
    <w:p w:rsidR="00B84942" w:rsidRPr="008C2E15" w:rsidRDefault="00B84942" w:rsidP="00A92448">
      <w:pPr>
        <w:pStyle w:val="Belmana4normal"/>
        <w:numPr>
          <w:ilvl w:val="0"/>
          <w:numId w:val="4"/>
        </w:numPr>
        <w:spacing w:after="60"/>
      </w:pPr>
      <w:r w:rsidRPr="008C2E15">
        <w:t>The construction of new research premises;</w:t>
      </w:r>
    </w:p>
    <w:p w:rsidR="00B84942" w:rsidRPr="008C2E15" w:rsidRDefault="00B84942" w:rsidP="00A92448">
      <w:pPr>
        <w:pStyle w:val="Belmana4normal"/>
        <w:numPr>
          <w:ilvl w:val="0"/>
          <w:numId w:val="4"/>
        </w:numPr>
        <w:spacing w:after="60"/>
      </w:pPr>
      <w:r w:rsidRPr="008C2E15">
        <w:t>The replacement, renewal or upgrading of equipment used for research;</w:t>
      </w:r>
    </w:p>
    <w:p w:rsidR="00B84942" w:rsidRPr="008C2E15" w:rsidRDefault="00B84942" w:rsidP="008A4AAB">
      <w:pPr>
        <w:pStyle w:val="Belmana4normal"/>
        <w:numPr>
          <w:ilvl w:val="0"/>
          <w:numId w:val="4"/>
        </w:numPr>
      </w:pPr>
      <w:r w:rsidRPr="008C2E15">
        <w:t>A combination of the above.</w:t>
      </w:r>
    </w:p>
    <w:p w:rsidR="00B84942" w:rsidRPr="008C2E15" w:rsidRDefault="00B84942" w:rsidP="00B84942">
      <w:pPr>
        <w:rPr>
          <w:rFonts w:ascii="Arial" w:hAnsi="Arial" w:cs="Arial"/>
        </w:rPr>
      </w:pPr>
    </w:p>
    <w:tbl>
      <w:tblPr>
        <w:tblW w:w="9622" w:type="dxa"/>
        <w:jc w:val="center"/>
        <w:tblLayout w:type="fixed"/>
        <w:tblLook w:val="04A0" w:firstRow="1" w:lastRow="0" w:firstColumn="1" w:lastColumn="0" w:noHBand="0" w:noVBand="1"/>
      </w:tblPr>
      <w:tblGrid>
        <w:gridCol w:w="2410"/>
        <w:gridCol w:w="1276"/>
        <w:gridCol w:w="1611"/>
        <w:gridCol w:w="1366"/>
        <w:gridCol w:w="1611"/>
        <w:gridCol w:w="1340"/>
        <w:gridCol w:w="8"/>
      </w:tblGrid>
      <w:tr w:rsidR="00B84942" w:rsidRPr="00FE4FE6">
        <w:trPr>
          <w:gridAfter w:val="1"/>
          <w:wAfter w:w="8" w:type="dxa"/>
          <w:trHeight w:val="20"/>
          <w:jc w:val="center"/>
        </w:trPr>
        <w:tc>
          <w:tcPr>
            <w:tcW w:w="9614" w:type="dxa"/>
            <w:gridSpan w:val="6"/>
            <w:vAlign w:val="center"/>
          </w:tcPr>
          <w:p w:rsidR="00B84942" w:rsidRPr="00FE4FE6" w:rsidRDefault="00B84942">
            <w:pPr>
              <w:pStyle w:val="BelmanaTableTitle"/>
              <w:rPr>
                <w:lang w:eastAsia="en-GB"/>
              </w:rPr>
            </w:pPr>
            <w:bookmarkStart w:id="46" w:name="_Toc499548089"/>
            <w:r w:rsidRPr="00FE4FE6">
              <w:t>Table</w:t>
            </w:r>
            <w:r w:rsidR="00735EA0">
              <w:t xml:space="preserve"> 4</w:t>
            </w:r>
            <w:r w:rsidRPr="00FE4FE6">
              <w:rPr>
                <w:lang w:eastAsia="en-GB"/>
              </w:rPr>
              <w:t xml:space="preserve">: Funding by Capital Expenditure </w:t>
            </w:r>
            <w:bookmarkEnd w:id="46"/>
            <w:r w:rsidR="00A34EA7">
              <w:rPr>
                <w:lang w:eastAsia="en-GB"/>
              </w:rPr>
              <w:t>Category</w:t>
            </w:r>
          </w:p>
        </w:tc>
      </w:tr>
      <w:tr w:rsidR="00B84942" w:rsidRPr="00FE4FE6">
        <w:trPr>
          <w:trHeight w:val="80"/>
          <w:jc w:val="center"/>
        </w:trPr>
        <w:tc>
          <w:tcPr>
            <w:tcW w:w="2410" w:type="dxa"/>
            <w:tcBorders>
              <w:top w:val="single" w:sz="4" w:space="0" w:color="993365"/>
              <w:left w:val="single" w:sz="4" w:space="0" w:color="993366"/>
              <w:bottom w:val="single" w:sz="4" w:space="0" w:color="993365"/>
              <w:right w:val="single" w:sz="4" w:space="0" w:color="FFFFFF" w:themeColor="background1"/>
            </w:tcBorders>
            <w:shd w:val="clear" w:color="auto" w:fill="993365"/>
            <w:vAlign w:val="center"/>
          </w:tcPr>
          <w:p w:rsidR="00B84942" w:rsidRPr="00513FAC" w:rsidRDefault="000570DC" w:rsidP="00506E38">
            <w:pPr>
              <w:jc w:val="center"/>
              <w:rPr>
                <w:rFonts w:ascii="Arial" w:eastAsia="Times New Roman" w:hAnsi="Arial" w:cs="Arial"/>
                <w:b/>
                <w:color w:val="FFFFFF" w:themeColor="background1"/>
                <w:szCs w:val="24"/>
                <w:lang w:eastAsia="en-GB"/>
              </w:rPr>
            </w:pPr>
            <w:r>
              <w:rPr>
                <w:rFonts w:ascii="Arial" w:eastAsia="Times New Roman" w:hAnsi="Arial" w:cs="Arial"/>
                <w:b/>
                <w:color w:val="FFFFFF" w:themeColor="background1"/>
                <w:szCs w:val="24"/>
                <w:lang w:eastAsia="en-GB"/>
              </w:rPr>
              <w:t>Category</w:t>
            </w:r>
          </w:p>
        </w:tc>
        <w:tc>
          <w:tcPr>
            <w:tcW w:w="1276"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UKRPIF (£m)</w:t>
            </w:r>
          </w:p>
        </w:tc>
        <w:tc>
          <w:tcPr>
            <w:tcW w:w="1611"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Co-investment (£m)</w:t>
            </w:r>
          </w:p>
        </w:tc>
        <w:tc>
          <w:tcPr>
            <w:tcW w:w="1366"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Total</w:t>
            </w:r>
          </w:p>
        </w:tc>
        <w:tc>
          <w:tcPr>
            <w:tcW w:w="1611"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UKRPIF </w:t>
            </w:r>
            <w:r w:rsidR="000429E4">
              <w:rPr>
                <w:rFonts w:ascii="Arial" w:eastAsia="Times New Roman" w:hAnsi="Arial" w:cs="Arial"/>
                <w:b/>
                <w:color w:val="FFFFFF" w:themeColor="background1"/>
                <w:szCs w:val="24"/>
                <w:lang w:eastAsia="en-GB"/>
              </w:rPr>
              <w:t>S</w:t>
            </w:r>
            <w:r w:rsidR="00886FFE">
              <w:rPr>
                <w:rFonts w:ascii="Arial" w:eastAsia="Times New Roman" w:hAnsi="Arial" w:cs="Arial"/>
                <w:b/>
                <w:color w:val="FFFFFF" w:themeColor="background1"/>
                <w:szCs w:val="24"/>
                <w:lang w:eastAsia="en-GB"/>
              </w:rPr>
              <w:t>hare</w:t>
            </w:r>
            <w:r w:rsidRPr="00513FAC">
              <w:rPr>
                <w:rFonts w:ascii="Arial" w:eastAsia="Times New Roman" w:hAnsi="Arial" w:cs="Arial"/>
                <w:b/>
                <w:color w:val="FFFFFF" w:themeColor="background1"/>
                <w:szCs w:val="24"/>
                <w:lang w:eastAsia="en-GB"/>
              </w:rPr>
              <w:t xml:space="preserve"> of </w:t>
            </w:r>
            <w:r w:rsidR="000429E4">
              <w:rPr>
                <w:rFonts w:ascii="Arial" w:eastAsia="Times New Roman" w:hAnsi="Arial" w:cs="Arial"/>
                <w:b/>
                <w:color w:val="FFFFFF" w:themeColor="background1"/>
                <w:szCs w:val="24"/>
                <w:lang w:eastAsia="en-GB"/>
              </w:rPr>
              <w:t>T</w:t>
            </w:r>
            <w:r w:rsidRPr="00513FAC">
              <w:rPr>
                <w:rFonts w:ascii="Arial" w:eastAsia="Times New Roman" w:hAnsi="Arial" w:cs="Arial"/>
                <w:b/>
                <w:color w:val="FFFFFF" w:themeColor="background1"/>
                <w:szCs w:val="24"/>
                <w:lang w:eastAsia="en-GB"/>
              </w:rPr>
              <w:t>otal</w:t>
            </w:r>
          </w:p>
        </w:tc>
        <w:tc>
          <w:tcPr>
            <w:tcW w:w="1348" w:type="dxa"/>
            <w:gridSpan w:val="2"/>
            <w:tcBorders>
              <w:top w:val="single" w:sz="4" w:space="0" w:color="993365"/>
              <w:left w:val="single" w:sz="4" w:space="0" w:color="FFFFFF" w:themeColor="background1"/>
              <w:bottom w:val="single" w:sz="4" w:space="0" w:color="993365"/>
              <w:right w:val="single" w:sz="4" w:space="0" w:color="993366"/>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Co-investment </w:t>
            </w:r>
            <w:r w:rsidR="000429E4">
              <w:rPr>
                <w:rFonts w:ascii="Arial" w:eastAsia="Times New Roman" w:hAnsi="Arial" w:cs="Arial"/>
                <w:b/>
                <w:color w:val="FFFFFF" w:themeColor="background1"/>
                <w:szCs w:val="24"/>
                <w:lang w:eastAsia="en-GB"/>
              </w:rPr>
              <w:t>S</w:t>
            </w:r>
            <w:r w:rsidR="00886FFE">
              <w:rPr>
                <w:rFonts w:ascii="Arial" w:eastAsia="Times New Roman" w:hAnsi="Arial" w:cs="Arial"/>
                <w:b/>
                <w:color w:val="FFFFFF" w:themeColor="background1"/>
                <w:szCs w:val="24"/>
                <w:lang w:eastAsia="en-GB"/>
              </w:rPr>
              <w:t>hare</w:t>
            </w:r>
          </w:p>
        </w:tc>
      </w:tr>
      <w:tr w:rsidR="00B84942" w:rsidRPr="00FE4FE6">
        <w:trPr>
          <w:trHeight w:val="360"/>
          <w:jc w:val="center"/>
        </w:trPr>
        <w:tc>
          <w:tcPr>
            <w:tcW w:w="2410" w:type="dxa"/>
            <w:tcBorders>
              <w:top w:val="nil"/>
              <w:left w:val="single" w:sz="4" w:space="0" w:color="993366"/>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hAnsi="Arial" w:cs="Arial"/>
                <w:sz w:val="20"/>
                <w:szCs w:val="20"/>
              </w:rPr>
              <w:t>PBB</w:t>
            </w:r>
          </w:p>
        </w:tc>
        <w:tc>
          <w:tcPr>
            <w:tcW w:w="1276" w:type="dxa"/>
            <w:tcBorders>
              <w:top w:val="nil"/>
              <w:left w:val="nil"/>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452</w:t>
            </w:r>
          </w:p>
        </w:tc>
        <w:tc>
          <w:tcPr>
            <w:tcW w:w="1611"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219</w:t>
            </w:r>
          </w:p>
        </w:tc>
        <w:tc>
          <w:tcPr>
            <w:tcW w:w="1366"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w:t>
            </w:r>
            <w:r w:rsidRPr="00FE4FE6">
              <w:rPr>
                <w:rFonts w:ascii="Arial" w:eastAsia="Times New Roman" w:hAnsi="Arial" w:cs="Arial"/>
                <w:color w:val="000000"/>
                <w:sz w:val="20"/>
                <w:szCs w:val="20"/>
                <w:lang w:eastAsia="en-GB"/>
              </w:rPr>
              <w:t>6</w:t>
            </w:r>
            <w:r w:rsidR="004F0736">
              <w:rPr>
                <w:rFonts w:ascii="Arial" w:eastAsia="Times New Roman" w:hAnsi="Arial" w:cs="Arial"/>
                <w:color w:val="000000"/>
                <w:sz w:val="20"/>
                <w:szCs w:val="20"/>
                <w:lang w:eastAsia="en-GB"/>
              </w:rPr>
              <w:t>72</w:t>
            </w:r>
          </w:p>
        </w:tc>
        <w:tc>
          <w:tcPr>
            <w:tcW w:w="1611"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27.</w:t>
            </w:r>
            <w:r>
              <w:rPr>
                <w:rFonts w:ascii="Arial" w:eastAsia="Times New Roman" w:hAnsi="Arial" w:cs="Arial"/>
                <w:color w:val="000000"/>
                <w:sz w:val="20"/>
                <w:szCs w:val="20"/>
                <w:lang w:eastAsia="en-GB"/>
              </w:rPr>
              <w:t>1</w:t>
            </w:r>
            <w:r w:rsidRPr="00FE4FE6">
              <w:rPr>
                <w:rFonts w:ascii="Arial" w:eastAsia="Times New Roman" w:hAnsi="Arial" w:cs="Arial"/>
                <w:color w:val="000000"/>
                <w:sz w:val="20"/>
                <w:szCs w:val="20"/>
                <w:lang w:eastAsia="en-GB"/>
              </w:rPr>
              <w:t>%</w:t>
            </w:r>
          </w:p>
        </w:tc>
        <w:tc>
          <w:tcPr>
            <w:tcW w:w="1348" w:type="dxa"/>
            <w:gridSpan w:val="2"/>
            <w:tcBorders>
              <w:top w:val="nil"/>
              <w:left w:val="nil"/>
              <w:right w:val="single" w:sz="4" w:space="0" w:color="993366"/>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72.</w:t>
            </w:r>
            <w:r>
              <w:rPr>
                <w:rFonts w:ascii="Arial" w:eastAsia="Times New Roman" w:hAnsi="Arial" w:cs="Arial"/>
                <w:color w:val="000000"/>
                <w:sz w:val="20"/>
                <w:szCs w:val="20"/>
                <w:lang w:eastAsia="en-GB"/>
              </w:rPr>
              <w:t>9</w:t>
            </w:r>
            <w:r w:rsidRPr="00FE4FE6">
              <w:rPr>
                <w:rFonts w:ascii="Arial" w:eastAsia="Times New Roman" w:hAnsi="Arial" w:cs="Arial"/>
                <w:color w:val="000000"/>
                <w:sz w:val="20"/>
                <w:szCs w:val="20"/>
                <w:lang w:eastAsia="en-GB"/>
              </w:rPr>
              <w:t>%</w:t>
            </w:r>
          </w:p>
        </w:tc>
      </w:tr>
      <w:tr w:rsidR="00B84942" w:rsidRPr="00FE4FE6">
        <w:trPr>
          <w:trHeight w:val="360"/>
          <w:jc w:val="center"/>
        </w:trPr>
        <w:tc>
          <w:tcPr>
            <w:tcW w:w="2410" w:type="dxa"/>
            <w:tcBorders>
              <w:top w:val="nil"/>
              <w:left w:val="single" w:sz="4" w:space="0" w:color="993366"/>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Equipment</w:t>
            </w:r>
          </w:p>
        </w:tc>
        <w:tc>
          <w:tcPr>
            <w:tcW w:w="1276" w:type="dxa"/>
            <w:tcBorders>
              <w:top w:val="nil"/>
              <w:left w:val="nil"/>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11</w:t>
            </w:r>
          </w:p>
        </w:tc>
        <w:tc>
          <w:tcPr>
            <w:tcW w:w="1611"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23</w:t>
            </w:r>
          </w:p>
        </w:tc>
        <w:tc>
          <w:tcPr>
            <w:tcW w:w="1366"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34</w:t>
            </w:r>
          </w:p>
        </w:tc>
        <w:tc>
          <w:tcPr>
            <w:tcW w:w="1611"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33.2%</w:t>
            </w:r>
          </w:p>
        </w:tc>
        <w:tc>
          <w:tcPr>
            <w:tcW w:w="1348" w:type="dxa"/>
            <w:gridSpan w:val="2"/>
            <w:tcBorders>
              <w:top w:val="nil"/>
              <w:left w:val="nil"/>
              <w:right w:val="single" w:sz="4" w:space="0" w:color="993366"/>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66.8</w:t>
            </w:r>
            <w:r w:rsidRPr="00FE4FE6">
              <w:rPr>
                <w:rFonts w:ascii="Arial" w:eastAsia="Times New Roman" w:hAnsi="Arial" w:cs="Arial"/>
                <w:color w:val="000000"/>
                <w:sz w:val="20"/>
                <w:szCs w:val="20"/>
                <w:lang w:eastAsia="en-GB"/>
              </w:rPr>
              <w:t>%</w:t>
            </w:r>
          </w:p>
        </w:tc>
      </w:tr>
      <w:tr w:rsidR="00B84942" w:rsidRPr="00FE4FE6">
        <w:trPr>
          <w:trHeight w:val="360"/>
          <w:jc w:val="center"/>
        </w:trPr>
        <w:tc>
          <w:tcPr>
            <w:tcW w:w="2410" w:type="dxa"/>
            <w:tcBorders>
              <w:top w:val="nil"/>
              <w:left w:val="single" w:sz="4" w:space="0" w:color="993366"/>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Refurb</w:t>
            </w:r>
          </w:p>
        </w:tc>
        <w:tc>
          <w:tcPr>
            <w:tcW w:w="1276" w:type="dxa"/>
            <w:tcBorders>
              <w:top w:val="nil"/>
              <w:left w:val="nil"/>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33</w:t>
            </w:r>
          </w:p>
        </w:tc>
        <w:tc>
          <w:tcPr>
            <w:tcW w:w="1611"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82</w:t>
            </w:r>
          </w:p>
        </w:tc>
        <w:tc>
          <w:tcPr>
            <w:tcW w:w="1366"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11</w:t>
            </w:r>
            <w:r>
              <w:rPr>
                <w:rFonts w:ascii="Arial" w:eastAsia="Times New Roman" w:hAnsi="Arial" w:cs="Arial"/>
                <w:color w:val="000000"/>
                <w:sz w:val="20"/>
                <w:szCs w:val="20"/>
                <w:lang w:eastAsia="en-GB"/>
              </w:rPr>
              <w:t>5</w:t>
            </w:r>
          </w:p>
        </w:tc>
        <w:tc>
          <w:tcPr>
            <w:tcW w:w="1611"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8.8</w:t>
            </w:r>
            <w:r w:rsidRPr="00FE4FE6">
              <w:rPr>
                <w:rFonts w:ascii="Arial" w:eastAsia="Times New Roman" w:hAnsi="Arial" w:cs="Arial"/>
                <w:color w:val="000000"/>
                <w:sz w:val="20"/>
                <w:szCs w:val="20"/>
                <w:lang w:eastAsia="en-GB"/>
              </w:rPr>
              <w:t>%</w:t>
            </w:r>
          </w:p>
        </w:tc>
        <w:tc>
          <w:tcPr>
            <w:tcW w:w="1348" w:type="dxa"/>
            <w:gridSpan w:val="2"/>
            <w:tcBorders>
              <w:top w:val="nil"/>
              <w:left w:val="nil"/>
              <w:right w:val="single" w:sz="4" w:space="0" w:color="993366"/>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7</w:t>
            </w:r>
            <w:r>
              <w:rPr>
                <w:rFonts w:ascii="Arial" w:eastAsia="Times New Roman" w:hAnsi="Arial" w:cs="Arial"/>
                <w:color w:val="000000"/>
                <w:sz w:val="20"/>
                <w:szCs w:val="20"/>
                <w:lang w:eastAsia="en-GB"/>
              </w:rPr>
              <w:t>1.2</w:t>
            </w:r>
            <w:r w:rsidRPr="00FE4FE6">
              <w:rPr>
                <w:rFonts w:ascii="Arial" w:eastAsia="Times New Roman" w:hAnsi="Arial" w:cs="Arial"/>
                <w:color w:val="000000"/>
                <w:sz w:val="20"/>
                <w:szCs w:val="20"/>
                <w:lang w:eastAsia="en-GB"/>
              </w:rPr>
              <w:t>%</w:t>
            </w:r>
          </w:p>
        </w:tc>
      </w:tr>
      <w:tr w:rsidR="00B84942" w:rsidRPr="00FE4FE6">
        <w:trPr>
          <w:trHeight w:val="360"/>
          <w:jc w:val="center"/>
        </w:trPr>
        <w:tc>
          <w:tcPr>
            <w:tcW w:w="2410" w:type="dxa"/>
            <w:tcBorders>
              <w:top w:val="single" w:sz="4" w:space="0" w:color="993365"/>
              <w:left w:val="single" w:sz="4" w:space="0" w:color="993366"/>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sidRPr="00FE4FE6">
              <w:rPr>
                <w:rFonts w:ascii="Arial" w:hAnsi="Arial" w:cs="Arial"/>
                <w:sz w:val="20"/>
                <w:szCs w:val="20"/>
              </w:rPr>
              <w:t>PBB/Equipment</w:t>
            </w:r>
          </w:p>
        </w:tc>
        <w:tc>
          <w:tcPr>
            <w:tcW w:w="1276" w:type="dxa"/>
            <w:tcBorders>
              <w:top w:val="single" w:sz="4" w:space="0" w:color="993365"/>
              <w:left w:val="nil"/>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130</w:t>
            </w:r>
          </w:p>
        </w:tc>
        <w:tc>
          <w:tcPr>
            <w:tcW w:w="1611" w:type="dxa"/>
            <w:tcBorders>
              <w:top w:val="single" w:sz="4" w:space="0" w:color="993365"/>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283</w:t>
            </w:r>
          </w:p>
        </w:tc>
        <w:tc>
          <w:tcPr>
            <w:tcW w:w="1366" w:type="dxa"/>
            <w:tcBorders>
              <w:top w:val="single" w:sz="4" w:space="0" w:color="993365"/>
              <w:left w:val="nil"/>
              <w:right w:val="single" w:sz="4" w:space="0" w:color="FFFFFF" w:themeColor="background1"/>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413</w:t>
            </w:r>
          </w:p>
        </w:tc>
        <w:tc>
          <w:tcPr>
            <w:tcW w:w="1611" w:type="dxa"/>
            <w:tcBorders>
              <w:top w:val="single" w:sz="4" w:space="0" w:color="993365"/>
              <w:left w:val="single" w:sz="4" w:space="0" w:color="FFFFFF" w:themeColor="background1"/>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31.5%</w:t>
            </w:r>
          </w:p>
        </w:tc>
        <w:tc>
          <w:tcPr>
            <w:tcW w:w="1348" w:type="dxa"/>
            <w:gridSpan w:val="2"/>
            <w:tcBorders>
              <w:top w:val="single" w:sz="4" w:space="0" w:color="993365"/>
              <w:left w:val="nil"/>
              <w:right w:val="single" w:sz="4" w:space="0" w:color="993366"/>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68.5%</w:t>
            </w:r>
          </w:p>
        </w:tc>
      </w:tr>
      <w:tr w:rsidR="00B84942" w:rsidRPr="00FE4FE6">
        <w:trPr>
          <w:trHeight w:val="360"/>
          <w:jc w:val="center"/>
        </w:trPr>
        <w:tc>
          <w:tcPr>
            <w:tcW w:w="2410" w:type="dxa"/>
            <w:tcBorders>
              <w:top w:val="nil"/>
              <w:left w:val="single" w:sz="4" w:space="0" w:color="993366"/>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PBB/Refurb</w:t>
            </w:r>
          </w:p>
        </w:tc>
        <w:tc>
          <w:tcPr>
            <w:tcW w:w="1276" w:type="dxa"/>
            <w:tcBorders>
              <w:top w:val="nil"/>
              <w:left w:val="nil"/>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12</w:t>
            </w:r>
          </w:p>
        </w:tc>
        <w:tc>
          <w:tcPr>
            <w:tcW w:w="1611"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3</w:t>
            </w:r>
            <w:r>
              <w:rPr>
                <w:rFonts w:ascii="Arial" w:eastAsia="Times New Roman" w:hAnsi="Arial" w:cs="Arial"/>
                <w:color w:val="000000"/>
                <w:sz w:val="20"/>
                <w:szCs w:val="20"/>
                <w:lang w:eastAsia="en-GB"/>
              </w:rPr>
              <w:t>2</w:t>
            </w:r>
          </w:p>
        </w:tc>
        <w:tc>
          <w:tcPr>
            <w:tcW w:w="1366"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4</w:t>
            </w:r>
          </w:p>
        </w:tc>
        <w:tc>
          <w:tcPr>
            <w:tcW w:w="1611" w:type="dxa"/>
            <w:tcBorders>
              <w:top w:val="nil"/>
              <w:left w:val="nil"/>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27.</w:t>
            </w:r>
            <w:r>
              <w:rPr>
                <w:rFonts w:ascii="Arial" w:eastAsia="Times New Roman" w:hAnsi="Arial" w:cs="Arial"/>
                <w:color w:val="000000"/>
                <w:sz w:val="20"/>
                <w:szCs w:val="20"/>
                <w:lang w:eastAsia="en-GB"/>
              </w:rPr>
              <w:t>3</w:t>
            </w:r>
            <w:r w:rsidRPr="00FE4FE6">
              <w:rPr>
                <w:rFonts w:ascii="Arial" w:eastAsia="Times New Roman" w:hAnsi="Arial" w:cs="Arial"/>
                <w:color w:val="000000"/>
                <w:sz w:val="20"/>
                <w:szCs w:val="20"/>
                <w:lang w:eastAsia="en-GB"/>
              </w:rPr>
              <w:t>%</w:t>
            </w:r>
          </w:p>
        </w:tc>
        <w:tc>
          <w:tcPr>
            <w:tcW w:w="1348" w:type="dxa"/>
            <w:gridSpan w:val="2"/>
            <w:tcBorders>
              <w:top w:val="nil"/>
              <w:left w:val="nil"/>
              <w:right w:val="single" w:sz="4" w:space="0" w:color="993366"/>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72.3%</w:t>
            </w:r>
          </w:p>
        </w:tc>
      </w:tr>
      <w:tr w:rsidR="00B84942" w:rsidRPr="00FE4FE6">
        <w:trPr>
          <w:trHeight w:val="360"/>
          <w:jc w:val="center"/>
        </w:trPr>
        <w:tc>
          <w:tcPr>
            <w:tcW w:w="2410" w:type="dxa"/>
            <w:tcBorders>
              <w:left w:val="single" w:sz="4" w:space="0" w:color="993366"/>
              <w:bottom w:val="single" w:sz="4" w:space="0" w:color="808080" w:themeColor="background1" w:themeShade="80"/>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PBB/Refurb/Equipment</w:t>
            </w:r>
          </w:p>
        </w:tc>
        <w:tc>
          <w:tcPr>
            <w:tcW w:w="1276" w:type="dxa"/>
            <w:tcBorders>
              <w:left w:val="nil"/>
              <w:bottom w:val="single" w:sz="4" w:space="0" w:color="808080" w:themeColor="background1" w:themeShade="80"/>
              <w:right w:val="nil"/>
            </w:tcBorders>
            <w:noWrap/>
            <w:vAlign w:val="center"/>
          </w:tcPr>
          <w:p w:rsidR="00B84942"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32</w:t>
            </w:r>
          </w:p>
        </w:tc>
        <w:tc>
          <w:tcPr>
            <w:tcW w:w="1611" w:type="dxa"/>
            <w:tcBorders>
              <w:left w:val="nil"/>
              <w:bottom w:val="single" w:sz="4" w:space="0" w:color="808080" w:themeColor="background1" w:themeShade="80"/>
              <w:right w:val="nil"/>
            </w:tcBorders>
            <w:vAlign w:val="center"/>
          </w:tcPr>
          <w:p w:rsidR="00B84942"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67</w:t>
            </w:r>
          </w:p>
        </w:tc>
        <w:tc>
          <w:tcPr>
            <w:tcW w:w="1366" w:type="dxa"/>
            <w:tcBorders>
              <w:left w:val="nil"/>
              <w:bottom w:val="single" w:sz="4" w:space="0" w:color="808080" w:themeColor="background1" w:themeShade="80"/>
              <w:right w:val="nil"/>
            </w:tcBorders>
            <w:vAlign w:val="center"/>
          </w:tcPr>
          <w:p w:rsidR="00B84942"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100</w:t>
            </w:r>
          </w:p>
        </w:tc>
        <w:tc>
          <w:tcPr>
            <w:tcW w:w="1611" w:type="dxa"/>
            <w:tcBorders>
              <w:left w:val="nil"/>
              <w:bottom w:val="single" w:sz="4" w:space="0" w:color="808080" w:themeColor="background1" w:themeShade="80"/>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33.3%</w:t>
            </w:r>
          </w:p>
        </w:tc>
        <w:tc>
          <w:tcPr>
            <w:tcW w:w="1348" w:type="dxa"/>
            <w:gridSpan w:val="2"/>
            <w:tcBorders>
              <w:left w:val="nil"/>
              <w:bottom w:val="single" w:sz="4" w:space="0" w:color="808080" w:themeColor="background1" w:themeShade="80"/>
              <w:right w:val="single" w:sz="4" w:space="0" w:color="993366"/>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6</w:t>
            </w:r>
            <w:r w:rsidR="004F0736">
              <w:rPr>
                <w:rFonts w:ascii="Arial" w:eastAsia="Times New Roman" w:hAnsi="Arial" w:cs="Arial"/>
                <w:color w:val="000000"/>
                <w:sz w:val="20"/>
                <w:szCs w:val="20"/>
                <w:lang w:eastAsia="en-GB"/>
              </w:rPr>
              <w:t>7</w:t>
            </w:r>
            <w:r w:rsidRPr="00FE4FE6">
              <w:rPr>
                <w:rFonts w:ascii="Arial" w:eastAsia="Times New Roman" w:hAnsi="Arial" w:cs="Arial"/>
                <w:color w:val="000000"/>
                <w:sz w:val="20"/>
                <w:szCs w:val="20"/>
                <w:lang w:eastAsia="en-GB"/>
              </w:rPr>
              <w:t>.</w:t>
            </w:r>
            <w:r w:rsidR="004F0736">
              <w:rPr>
                <w:rFonts w:ascii="Arial" w:eastAsia="Times New Roman" w:hAnsi="Arial" w:cs="Arial"/>
                <w:color w:val="000000"/>
                <w:sz w:val="20"/>
                <w:szCs w:val="20"/>
                <w:lang w:eastAsia="en-GB"/>
              </w:rPr>
              <w:t>4</w:t>
            </w:r>
            <w:r w:rsidRPr="00FE4FE6">
              <w:rPr>
                <w:rFonts w:ascii="Arial" w:eastAsia="Times New Roman" w:hAnsi="Arial" w:cs="Arial"/>
                <w:color w:val="000000"/>
                <w:sz w:val="20"/>
                <w:szCs w:val="20"/>
                <w:lang w:eastAsia="en-GB"/>
              </w:rPr>
              <w:t>%</w:t>
            </w:r>
          </w:p>
        </w:tc>
      </w:tr>
      <w:tr w:rsidR="004F0736" w:rsidRPr="00FE4FE6">
        <w:trPr>
          <w:trHeight w:val="360"/>
          <w:jc w:val="center"/>
        </w:trPr>
        <w:tc>
          <w:tcPr>
            <w:tcW w:w="2410" w:type="dxa"/>
            <w:tcBorders>
              <w:left w:val="single" w:sz="4" w:space="0" w:color="993366"/>
              <w:bottom w:val="single" w:sz="4" w:space="0" w:color="808080" w:themeColor="background1" w:themeShade="80"/>
              <w:right w:val="nil"/>
            </w:tcBorders>
            <w:noWrap/>
            <w:vAlign w:val="center"/>
          </w:tcPr>
          <w:p w:rsidR="004F0736"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Equipment/Refurb</w:t>
            </w:r>
          </w:p>
        </w:tc>
        <w:tc>
          <w:tcPr>
            <w:tcW w:w="1276" w:type="dxa"/>
            <w:tcBorders>
              <w:left w:val="nil"/>
              <w:bottom w:val="single" w:sz="4" w:space="0" w:color="808080" w:themeColor="background1" w:themeShade="80"/>
              <w:right w:val="nil"/>
            </w:tcBorders>
            <w:noWrap/>
            <w:vAlign w:val="center"/>
          </w:tcPr>
          <w:p w:rsidR="004F0736"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10</w:t>
            </w:r>
          </w:p>
        </w:tc>
        <w:tc>
          <w:tcPr>
            <w:tcW w:w="1611" w:type="dxa"/>
            <w:tcBorders>
              <w:left w:val="nil"/>
              <w:bottom w:val="single" w:sz="4" w:space="0" w:color="808080" w:themeColor="background1" w:themeShade="80"/>
              <w:right w:val="nil"/>
            </w:tcBorders>
            <w:vAlign w:val="center"/>
          </w:tcPr>
          <w:p w:rsidR="004F0736"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20</w:t>
            </w:r>
          </w:p>
        </w:tc>
        <w:tc>
          <w:tcPr>
            <w:tcW w:w="1366" w:type="dxa"/>
            <w:tcBorders>
              <w:left w:val="nil"/>
              <w:bottom w:val="single" w:sz="4" w:space="0" w:color="808080" w:themeColor="background1" w:themeShade="80"/>
              <w:right w:val="nil"/>
            </w:tcBorders>
            <w:vAlign w:val="center"/>
          </w:tcPr>
          <w:p w:rsidR="004F0736"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31</w:t>
            </w:r>
          </w:p>
        </w:tc>
        <w:tc>
          <w:tcPr>
            <w:tcW w:w="1611" w:type="dxa"/>
            <w:tcBorders>
              <w:left w:val="nil"/>
              <w:bottom w:val="single" w:sz="4" w:space="0" w:color="808080" w:themeColor="background1" w:themeShade="80"/>
              <w:right w:val="nil"/>
            </w:tcBorders>
            <w:vAlign w:val="center"/>
          </w:tcPr>
          <w:p w:rsidR="004F0736"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33.3%</w:t>
            </w:r>
          </w:p>
        </w:tc>
        <w:tc>
          <w:tcPr>
            <w:tcW w:w="1348" w:type="dxa"/>
            <w:gridSpan w:val="2"/>
            <w:tcBorders>
              <w:left w:val="nil"/>
              <w:bottom w:val="single" w:sz="4" w:space="0" w:color="808080" w:themeColor="background1" w:themeShade="80"/>
              <w:right w:val="single" w:sz="4" w:space="0" w:color="993366"/>
            </w:tcBorders>
            <w:vAlign w:val="center"/>
          </w:tcPr>
          <w:p w:rsidR="004F0736" w:rsidRPr="00FE4FE6" w:rsidRDefault="004F0736" w:rsidP="00506E38">
            <w:pPr>
              <w:ind w:left="37"/>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66.7%</w:t>
            </w:r>
          </w:p>
        </w:tc>
      </w:tr>
      <w:tr w:rsidR="00B84942" w:rsidRPr="00FE4FE6">
        <w:trPr>
          <w:trHeight w:val="360"/>
          <w:jc w:val="center"/>
        </w:trPr>
        <w:tc>
          <w:tcPr>
            <w:tcW w:w="2410" w:type="dxa"/>
            <w:tcBorders>
              <w:top w:val="single" w:sz="4" w:space="0" w:color="808080" w:themeColor="background1" w:themeShade="80"/>
              <w:left w:val="single" w:sz="4" w:space="0" w:color="993366"/>
              <w:bottom w:val="single" w:sz="4" w:space="0" w:color="993365"/>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hAnsi="Arial" w:cs="Arial"/>
                <w:sz w:val="20"/>
                <w:szCs w:val="20"/>
              </w:rPr>
              <w:t>Total</w:t>
            </w:r>
          </w:p>
        </w:tc>
        <w:tc>
          <w:tcPr>
            <w:tcW w:w="1276" w:type="dxa"/>
            <w:tcBorders>
              <w:top w:val="single" w:sz="4" w:space="0" w:color="808080" w:themeColor="background1" w:themeShade="80"/>
              <w:left w:val="nil"/>
              <w:bottom w:val="single" w:sz="4" w:space="0" w:color="993365"/>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681</w:t>
            </w:r>
          </w:p>
        </w:tc>
        <w:tc>
          <w:tcPr>
            <w:tcW w:w="1611" w:type="dxa"/>
            <w:tcBorders>
              <w:top w:val="single" w:sz="4" w:space="0" w:color="808080" w:themeColor="background1" w:themeShade="80"/>
              <w:left w:val="nil"/>
              <w:bottom w:val="single" w:sz="4" w:space="0" w:color="993365"/>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1</w:t>
            </w:r>
            <w:r>
              <w:rPr>
                <w:rFonts w:ascii="Arial" w:eastAsia="Times New Roman" w:hAnsi="Arial" w:cs="Arial"/>
                <w:color w:val="000000"/>
                <w:sz w:val="20"/>
                <w:szCs w:val="20"/>
                <w:lang w:eastAsia="en-GB"/>
              </w:rPr>
              <w:t>,726</w:t>
            </w:r>
          </w:p>
        </w:tc>
        <w:tc>
          <w:tcPr>
            <w:tcW w:w="1366" w:type="dxa"/>
            <w:tcBorders>
              <w:top w:val="single" w:sz="4" w:space="0" w:color="808080" w:themeColor="background1" w:themeShade="80"/>
              <w:left w:val="nil"/>
              <w:bottom w:val="single" w:sz="4" w:space="0" w:color="993365"/>
              <w:right w:val="single" w:sz="4" w:space="0" w:color="FFFFFF" w:themeColor="background1"/>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,407</w:t>
            </w:r>
          </w:p>
        </w:tc>
        <w:tc>
          <w:tcPr>
            <w:tcW w:w="1611" w:type="dxa"/>
            <w:tcBorders>
              <w:top w:val="single" w:sz="4" w:space="0" w:color="808080" w:themeColor="background1" w:themeShade="80"/>
              <w:left w:val="single" w:sz="4" w:space="0" w:color="FFFFFF" w:themeColor="background1"/>
              <w:bottom w:val="single" w:sz="4" w:space="0" w:color="993365"/>
              <w:right w:val="nil"/>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p>
        </w:tc>
        <w:tc>
          <w:tcPr>
            <w:tcW w:w="1348" w:type="dxa"/>
            <w:gridSpan w:val="2"/>
            <w:tcBorders>
              <w:top w:val="single" w:sz="4" w:space="0" w:color="808080" w:themeColor="background1" w:themeShade="80"/>
              <w:left w:val="nil"/>
              <w:bottom w:val="single" w:sz="4" w:space="0" w:color="993365"/>
              <w:right w:val="single" w:sz="4" w:space="0" w:color="993366"/>
            </w:tcBorders>
            <w:vAlign w:val="center"/>
          </w:tcPr>
          <w:p w:rsidR="00B84942" w:rsidRPr="00FE4FE6" w:rsidRDefault="00B84942" w:rsidP="00506E38">
            <w:pPr>
              <w:ind w:left="37"/>
              <w:jc w:val="center"/>
              <w:rPr>
                <w:rFonts w:ascii="Arial" w:eastAsia="Times New Roman" w:hAnsi="Arial" w:cs="Arial"/>
                <w:color w:val="000000"/>
                <w:sz w:val="20"/>
                <w:szCs w:val="20"/>
                <w:lang w:eastAsia="en-GB"/>
              </w:rPr>
            </w:pPr>
          </w:p>
        </w:tc>
      </w:tr>
      <w:tr w:rsidR="00B84942" w:rsidRPr="00FE4FE6">
        <w:trPr>
          <w:trHeight w:val="360"/>
          <w:jc w:val="center"/>
        </w:trPr>
        <w:tc>
          <w:tcPr>
            <w:tcW w:w="2410" w:type="dxa"/>
            <w:tcBorders>
              <w:top w:val="single" w:sz="4" w:space="0" w:color="993365"/>
              <w:left w:val="single" w:sz="4" w:space="0" w:color="993366"/>
              <w:bottom w:val="single" w:sz="4" w:space="0" w:color="993365"/>
              <w:right w:val="nil"/>
            </w:tcBorders>
            <w:shd w:val="clear" w:color="auto" w:fill="993365"/>
            <w:noWrap/>
            <w:vAlign w:val="center"/>
          </w:tcPr>
          <w:p w:rsidR="00B84942" w:rsidRPr="00513FAC" w:rsidRDefault="00B84942" w:rsidP="00506E38">
            <w:pPr>
              <w:jc w:val="center"/>
              <w:rPr>
                <w:rFonts w:ascii="Arial" w:eastAsia="Times New Roman" w:hAnsi="Arial" w:cs="Arial"/>
                <w:color w:val="000000"/>
                <w:szCs w:val="24"/>
                <w:lang w:eastAsia="en-GB"/>
              </w:rPr>
            </w:pPr>
          </w:p>
        </w:tc>
        <w:tc>
          <w:tcPr>
            <w:tcW w:w="1276" w:type="dxa"/>
            <w:tcBorders>
              <w:top w:val="single" w:sz="4" w:space="0" w:color="993365"/>
              <w:left w:val="nil"/>
              <w:bottom w:val="single" w:sz="4" w:space="0" w:color="993365"/>
              <w:right w:val="single" w:sz="4" w:space="0" w:color="FFFFFF" w:themeColor="background1"/>
            </w:tcBorders>
            <w:shd w:val="clear" w:color="auto" w:fill="993365"/>
            <w:noWrap/>
            <w:vAlign w:val="center"/>
          </w:tcPr>
          <w:p w:rsidR="00B84942" w:rsidRPr="00513FAC" w:rsidRDefault="00B84942" w:rsidP="00506E38">
            <w:pPr>
              <w:ind w:left="37"/>
              <w:jc w:val="center"/>
              <w:rPr>
                <w:rFonts w:ascii="Arial" w:eastAsia="Times New Roman" w:hAnsi="Arial" w:cs="Arial"/>
                <w:color w:val="000000"/>
                <w:szCs w:val="24"/>
                <w:lang w:eastAsia="en-GB"/>
              </w:rPr>
            </w:pPr>
            <w:r w:rsidRPr="00513FAC">
              <w:rPr>
                <w:rFonts w:ascii="Arial" w:hAnsi="Arial" w:cs="Arial"/>
                <w:b/>
                <w:color w:val="FFFFFF" w:themeColor="background1"/>
                <w:szCs w:val="24"/>
              </w:rPr>
              <w:t xml:space="preserve">Count of </w:t>
            </w:r>
            <w:r w:rsidR="000429E4">
              <w:rPr>
                <w:rFonts w:ascii="Arial" w:hAnsi="Arial" w:cs="Arial"/>
                <w:b/>
                <w:color w:val="FFFFFF" w:themeColor="background1"/>
                <w:szCs w:val="24"/>
              </w:rPr>
              <w:t>P</w:t>
            </w:r>
            <w:r w:rsidRPr="00513FAC">
              <w:rPr>
                <w:rFonts w:ascii="Arial" w:hAnsi="Arial" w:cs="Arial"/>
                <w:b/>
                <w:color w:val="FFFFFF" w:themeColor="background1"/>
                <w:szCs w:val="24"/>
              </w:rPr>
              <w:t>rojects</w:t>
            </w:r>
          </w:p>
        </w:tc>
        <w:tc>
          <w:tcPr>
            <w:tcW w:w="1611"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ind w:left="37"/>
              <w:jc w:val="center"/>
              <w:rPr>
                <w:rFonts w:ascii="Arial" w:eastAsia="Times New Roman" w:hAnsi="Arial" w:cs="Arial"/>
                <w:color w:val="000000"/>
                <w:szCs w:val="24"/>
                <w:lang w:eastAsia="en-GB"/>
              </w:rPr>
            </w:pPr>
            <w:r w:rsidRPr="00513FAC">
              <w:rPr>
                <w:rFonts w:ascii="Arial" w:hAnsi="Arial" w:cs="Arial"/>
                <w:b/>
                <w:color w:val="FFFFFF" w:themeColor="background1"/>
                <w:szCs w:val="24"/>
              </w:rPr>
              <w:t>Count Share</w:t>
            </w:r>
          </w:p>
        </w:tc>
        <w:tc>
          <w:tcPr>
            <w:tcW w:w="1366"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ind w:left="37"/>
              <w:jc w:val="center"/>
              <w:rPr>
                <w:rFonts w:ascii="Arial" w:eastAsia="Times New Roman" w:hAnsi="Arial" w:cs="Arial"/>
                <w:color w:val="000000"/>
                <w:szCs w:val="24"/>
                <w:lang w:eastAsia="en-GB"/>
              </w:rPr>
            </w:pPr>
            <w:r w:rsidRPr="00513FAC">
              <w:rPr>
                <w:rFonts w:ascii="Arial" w:hAnsi="Arial" w:cs="Arial"/>
                <w:b/>
                <w:color w:val="FFFFFF" w:themeColor="background1"/>
                <w:szCs w:val="24"/>
              </w:rPr>
              <w:t xml:space="preserve">UKRPIF </w:t>
            </w:r>
            <w:r w:rsidR="00886FFE">
              <w:rPr>
                <w:rFonts w:ascii="Arial" w:hAnsi="Arial" w:cs="Arial"/>
                <w:b/>
                <w:color w:val="FFFFFF" w:themeColor="background1"/>
                <w:szCs w:val="24"/>
              </w:rPr>
              <w:t xml:space="preserve">Average </w:t>
            </w:r>
            <w:r w:rsidRPr="00513FAC">
              <w:rPr>
                <w:rFonts w:ascii="Arial" w:hAnsi="Arial" w:cs="Arial"/>
                <w:b/>
                <w:color w:val="FFFFFF" w:themeColor="background1"/>
                <w:szCs w:val="24"/>
              </w:rPr>
              <w:t>(£m)</w:t>
            </w:r>
          </w:p>
        </w:tc>
        <w:tc>
          <w:tcPr>
            <w:tcW w:w="1611"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ind w:left="37"/>
              <w:jc w:val="center"/>
              <w:rPr>
                <w:rFonts w:ascii="Arial" w:eastAsia="Times New Roman" w:hAnsi="Arial" w:cs="Arial"/>
                <w:color w:val="000000"/>
                <w:szCs w:val="24"/>
                <w:lang w:eastAsia="en-GB"/>
              </w:rPr>
            </w:pPr>
            <w:r w:rsidRPr="00513FAC">
              <w:rPr>
                <w:rFonts w:ascii="Arial" w:eastAsia="Times New Roman" w:hAnsi="Arial" w:cs="Arial"/>
                <w:b/>
                <w:color w:val="FFFFFF" w:themeColor="background1"/>
                <w:szCs w:val="24"/>
                <w:lang w:eastAsia="en-GB"/>
              </w:rPr>
              <w:t xml:space="preserve">Co-investment </w:t>
            </w:r>
            <w:r w:rsidR="00886FFE">
              <w:rPr>
                <w:rFonts w:ascii="Arial" w:eastAsia="Times New Roman" w:hAnsi="Arial" w:cs="Arial"/>
                <w:b/>
                <w:color w:val="FFFFFF" w:themeColor="background1"/>
                <w:szCs w:val="24"/>
                <w:lang w:eastAsia="en-GB"/>
              </w:rPr>
              <w:t>Ave</w:t>
            </w:r>
            <w:r w:rsidRPr="00513FAC">
              <w:rPr>
                <w:rFonts w:ascii="Arial" w:eastAsia="Times New Roman" w:hAnsi="Arial" w:cs="Arial"/>
                <w:b/>
                <w:color w:val="FFFFFF" w:themeColor="background1"/>
                <w:szCs w:val="24"/>
                <w:lang w:eastAsia="en-GB"/>
              </w:rPr>
              <w:t xml:space="preserve"> (£m)</w:t>
            </w:r>
          </w:p>
        </w:tc>
        <w:tc>
          <w:tcPr>
            <w:tcW w:w="1348" w:type="dxa"/>
            <w:gridSpan w:val="2"/>
            <w:tcBorders>
              <w:top w:val="single" w:sz="4" w:space="0" w:color="993365"/>
              <w:left w:val="single" w:sz="4" w:space="0" w:color="FFFFFF" w:themeColor="background1"/>
              <w:bottom w:val="single" w:sz="4" w:space="0" w:color="993365"/>
              <w:right w:val="single" w:sz="4" w:space="0" w:color="993366"/>
            </w:tcBorders>
            <w:shd w:val="clear" w:color="auto" w:fill="993365"/>
            <w:vAlign w:val="center"/>
          </w:tcPr>
          <w:p w:rsidR="00B84942" w:rsidRPr="00513FAC" w:rsidRDefault="00886FFE" w:rsidP="00506E38">
            <w:pPr>
              <w:ind w:left="37"/>
              <w:jc w:val="center"/>
              <w:rPr>
                <w:rFonts w:ascii="Arial" w:eastAsia="Times New Roman" w:hAnsi="Arial" w:cs="Arial"/>
                <w:color w:val="000000"/>
                <w:szCs w:val="24"/>
                <w:lang w:eastAsia="en-GB"/>
              </w:rPr>
            </w:pPr>
            <w:r>
              <w:rPr>
                <w:rFonts w:ascii="Arial" w:eastAsia="Times New Roman" w:hAnsi="Arial" w:cs="Arial"/>
                <w:b/>
                <w:color w:val="FFFFFF" w:themeColor="background1"/>
                <w:szCs w:val="24"/>
                <w:lang w:eastAsia="en-GB"/>
              </w:rPr>
              <w:t xml:space="preserve">Leverage </w:t>
            </w:r>
            <w:r w:rsidR="000429E4">
              <w:rPr>
                <w:rFonts w:ascii="Arial" w:eastAsia="Times New Roman" w:hAnsi="Arial" w:cs="Arial"/>
                <w:b/>
                <w:color w:val="FFFFFF" w:themeColor="background1"/>
                <w:szCs w:val="24"/>
                <w:lang w:eastAsia="en-GB"/>
              </w:rPr>
              <w:t>R</w:t>
            </w:r>
            <w:r>
              <w:rPr>
                <w:rFonts w:ascii="Arial" w:eastAsia="Times New Roman" w:hAnsi="Arial" w:cs="Arial"/>
                <w:b/>
                <w:color w:val="FFFFFF" w:themeColor="background1"/>
                <w:szCs w:val="24"/>
                <w:lang w:eastAsia="en-GB"/>
              </w:rPr>
              <w:t>atio</w:t>
            </w:r>
          </w:p>
        </w:tc>
      </w:tr>
      <w:tr w:rsidR="00B84942" w:rsidRPr="00FE4FE6" w:rsidDel="00AA1981">
        <w:trPr>
          <w:trHeight w:val="360"/>
          <w:jc w:val="center"/>
        </w:trPr>
        <w:tc>
          <w:tcPr>
            <w:tcW w:w="2410" w:type="dxa"/>
            <w:tcBorders>
              <w:left w:val="single" w:sz="4" w:space="0" w:color="993366"/>
              <w:right w:val="nil"/>
            </w:tcBorders>
            <w:noWrap/>
            <w:vAlign w:val="center"/>
          </w:tcPr>
          <w:p w:rsidR="00B84942" w:rsidRDefault="00B84942" w:rsidP="00506E38">
            <w:pPr>
              <w:jc w:val="center"/>
              <w:rPr>
                <w:rFonts w:ascii="Arial" w:hAnsi="Arial" w:cs="Arial"/>
                <w:sz w:val="20"/>
                <w:szCs w:val="20"/>
              </w:rPr>
            </w:pPr>
            <w:r>
              <w:rPr>
                <w:rFonts w:ascii="Arial" w:hAnsi="Arial" w:cs="Arial"/>
                <w:sz w:val="20"/>
                <w:szCs w:val="20"/>
              </w:rPr>
              <w:t>PBB</w:t>
            </w:r>
          </w:p>
        </w:tc>
        <w:tc>
          <w:tcPr>
            <w:tcW w:w="1276" w:type="dxa"/>
            <w:tcBorders>
              <w:left w:val="nil"/>
              <w:right w:val="nil"/>
            </w:tcBorders>
            <w:noWrap/>
            <w:vAlign w:val="center"/>
          </w:tcPr>
          <w:p w:rsidR="00B84942" w:rsidRPr="00FE4FE6" w:rsidRDefault="00B84942" w:rsidP="00506E38">
            <w:pPr>
              <w:jc w:val="center"/>
              <w:rPr>
                <w:rFonts w:ascii="Arial" w:hAnsi="Arial" w:cs="Arial"/>
                <w:sz w:val="20"/>
                <w:szCs w:val="20"/>
              </w:rPr>
            </w:pPr>
            <w:r>
              <w:rPr>
                <w:rFonts w:ascii="Arial" w:hAnsi="Arial" w:cs="Arial"/>
                <w:sz w:val="20"/>
                <w:szCs w:val="20"/>
              </w:rPr>
              <w:t>28</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65.1%</w:t>
            </w:r>
          </w:p>
        </w:tc>
        <w:tc>
          <w:tcPr>
            <w:tcW w:w="1366"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16.2</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43.6</w:t>
            </w:r>
          </w:p>
        </w:tc>
        <w:tc>
          <w:tcPr>
            <w:tcW w:w="1348" w:type="dxa"/>
            <w:gridSpan w:val="2"/>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2.9</w:t>
            </w:r>
          </w:p>
        </w:tc>
      </w:tr>
      <w:tr w:rsidR="00B84942" w:rsidRPr="00FE4FE6">
        <w:trPr>
          <w:trHeight w:val="360"/>
          <w:jc w:val="center"/>
        </w:trPr>
        <w:tc>
          <w:tcPr>
            <w:tcW w:w="2410"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eastAsia="Times New Roman" w:hAnsi="Arial" w:cs="Arial"/>
                <w:color w:val="000000"/>
                <w:sz w:val="20"/>
                <w:szCs w:val="20"/>
                <w:lang w:eastAsia="en-GB"/>
              </w:rPr>
              <w:t>Equipment</w:t>
            </w:r>
          </w:p>
        </w:tc>
        <w:tc>
          <w:tcPr>
            <w:tcW w:w="1276"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2.3%</w:t>
            </w:r>
          </w:p>
        </w:tc>
        <w:tc>
          <w:tcPr>
            <w:tcW w:w="1366"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11.4</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22.9</w:t>
            </w:r>
          </w:p>
        </w:tc>
        <w:tc>
          <w:tcPr>
            <w:tcW w:w="1348" w:type="dxa"/>
            <w:gridSpan w:val="2"/>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2.0</w:t>
            </w:r>
          </w:p>
        </w:tc>
      </w:tr>
      <w:tr w:rsidR="00B84942" w:rsidRPr="00FE4FE6">
        <w:trPr>
          <w:trHeight w:val="360"/>
          <w:jc w:val="center"/>
        </w:trPr>
        <w:tc>
          <w:tcPr>
            <w:tcW w:w="2410"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eastAsia="Times New Roman" w:hAnsi="Arial" w:cs="Arial"/>
                <w:color w:val="000000"/>
                <w:sz w:val="20"/>
                <w:szCs w:val="20"/>
                <w:lang w:eastAsia="en-GB"/>
              </w:rPr>
              <w:t>Refurb</w:t>
            </w:r>
          </w:p>
        </w:tc>
        <w:tc>
          <w:tcPr>
            <w:tcW w:w="1276"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4.7%</w:t>
            </w:r>
          </w:p>
        </w:tc>
        <w:tc>
          <w:tcPr>
            <w:tcW w:w="1366"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16.5</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40</w:t>
            </w:r>
            <w:r w:rsidRPr="00FE4FE6">
              <w:rPr>
                <w:rFonts w:ascii="Arial" w:hAnsi="Arial" w:cs="Arial"/>
                <w:sz w:val="20"/>
                <w:szCs w:val="20"/>
              </w:rPr>
              <w:t>.</w:t>
            </w:r>
            <w:r>
              <w:rPr>
                <w:rFonts w:ascii="Arial" w:hAnsi="Arial" w:cs="Arial"/>
                <w:sz w:val="20"/>
                <w:szCs w:val="20"/>
              </w:rPr>
              <w:t>8</w:t>
            </w:r>
          </w:p>
        </w:tc>
        <w:tc>
          <w:tcPr>
            <w:tcW w:w="1348" w:type="dxa"/>
            <w:gridSpan w:val="2"/>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5</w:t>
            </w:r>
          </w:p>
        </w:tc>
      </w:tr>
      <w:tr w:rsidR="00B84942" w:rsidRPr="00FE4FE6">
        <w:trPr>
          <w:trHeight w:val="360"/>
          <w:jc w:val="center"/>
        </w:trPr>
        <w:tc>
          <w:tcPr>
            <w:tcW w:w="2410" w:type="dxa"/>
            <w:tcBorders>
              <w:top w:val="single" w:sz="4" w:space="0" w:color="993365"/>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PBB/Equipment</w:t>
            </w:r>
          </w:p>
        </w:tc>
        <w:tc>
          <w:tcPr>
            <w:tcW w:w="1276" w:type="dxa"/>
            <w:tcBorders>
              <w:top w:val="single" w:sz="4" w:space="0" w:color="993365"/>
              <w:left w:val="nil"/>
              <w:right w:val="single" w:sz="4" w:space="0" w:color="FFFFFF" w:themeColor="background1"/>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8</w:t>
            </w:r>
          </w:p>
        </w:tc>
        <w:tc>
          <w:tcPr>
            <w:tcW w:w="1611" w:type="dxa"/>
            <w:tcBorders>
              <w:top w:val="single" w:sz="4" w:space="0" w:color="993365"/>
              <w:left w:val="single" w:sz="4" w:space="0" w:color="FFFFFF" w:themeColor="background1"/>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18.6%</w:t>
            </w:r>
          </w:p>
        </w:tc>
        <w:tc>
          <w:tcPr>
            <w:tcW w:w="1366" w:type="dxa"/>
            <w:tcBorders>
              <w:top w:val="single" w:sz="4" w:space="0" w:color="993365"/>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16.2</w:t>
            </w:r>
          </w:p>
        </w:tc>
        <w:tc>
          <w:tcPr>
            <w:tcW w:w="1611" w:type="dxa"/>
            <w:tcBorders>
              <w:top w:val="single" w:sz="4" w:space="0" w:color="993365"/>
              <w:left w:val="nil"/>
              <w:right w:val="single" w:sz="4" w:space="0" w:color="FFFFFF" w:themeColor="background1"/>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35.4</w:t>
            </w:r>
          </w:p>
        </w:tc>
        <w:tc>
          <w:tcPr>
            <w:tcW w:w="1348" w:type="dxa"/>
            <w:gridSpan w:val="2"/>
            <w:tcBorders>
              <w:top w:val="single" w:sz="4" w:space="0" w:color="993365"/>
              <w:left w:val="single" w:sz="4" w:space="0" w:color="FFFFFF" w:themeColor="background1"/>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2.2</w:t>
            </w:r>
          </w:p>
        </w:tc>
      </w:tr>
      <w:tr w:rsidR="00B84942" w:rsidRPr="00FE4FE6">
        <w:trPr>
          <w:trHeight w:val="360"/>
          <w:jc w:val="center"/>
        </w:trPr>
        <w:tc>
          <w:tcPr>
            <w:tcW w:w="2410" w:type="dxa"/>
            <w:tcBorders>
              <w:left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eastAsia="Times New Roman" w:hAnsi="Arial" w:cs="Arial"/>
                <w:color w:val="000000"/>
                <w:sz w:val="20"/>
                <w:szCs w:val="20"/>
                <w:lang w:eastAsia="en-GB"/>
              </w:rPr>
              <w:t>PBB/Refurb</w:t>
            </w:r>
          </w:p>
        </w:tc>
        <w:tc>
          <w:tcPr>
            <w:tcW w:w="1276" w:type="dxa"/>
            <w:tcBorders>
              <w:left w:val="nil"/>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2.3%</w:t>
            </w:r>
          </w:p>
        </w:tc>
        <w:tc>
          <w:tcPr>
            <w:tcW w:w="1366"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11.9</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31.</w:t>
            </w:r>
            <w:r>
              <w:rPr>
                <w:rFonts w:ascii="Arial" w:hAnsi="Arial" w:cs="Arial"/>
                <w:sz w:val="20"/>
                <w:szCs w:val="20"/>
              </w:rPr>
              <w:t>7</w:t>
            </w:r>
          </w:p>
        </w:tc>
        <w:tc>
          <w:tcPr>
            <w:tcW w:w="1348" w:type="dxa"/>
            <w:gridSpan w:val="2"/>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w:t>
            </w:r>
            <w:r>
              <w:rPr>
                <w:rFonts w:ascii="Arial" w:hAnsi="Arial" w:cs="Arial"/>
                <w:sz w:val="20"/>
                <w:szCs w:val="20"/>
              </w:rPr>
              <w:t>7</w:t>
            </w:r>
          </w:p>
        </w:tc>
      </w:tr>
      <w:tr w:rsidR="00B84942" w:rsidRPr="00FE4FE6" w:rsidDel="00AA1981">
        <w:trPr>
          <w:trHeight w:val="360"/>
          <w:jc w:val="center"/>
        </w:trPr>
        <w:tc>
          <w:tcPr>
            <w:tcW w:w="2410" w:type="dxa"/>
            <w:tcBorders>
              <w:left w:val="single" w:sz="4" w:space="0" w:color="993366"/>
              <w:right w:val="nil"/>
            </w:tcBorders>
            <w:noWrap/>
            <w:vAlign w:val="center"/>
          </w:tcPr>
          <w:p w:rsidR="00B84942" w:rsidRPr="00FE4FE6" w:rsidRDefault="00B84942"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PBB/Refurb/Equipment</w:t>
            </w:r>
          </w:p>
        </w:tc>
        <w:tc>
          <w:tcPr>
            <w:tcW w:w="1276" w:type="dxa"/>
            <w:tcBorders>
              <w:left w:val="nil"/>
              <w:right w:val="nil"/>
            </w:tcBorders>
            <w:noWrap/>
            <w:vAlign w:val="center"/>
          </w:tcPr>
          <w:p w:rsidR="00B84942" w:rsidRPr="00FE4FE6" w:rsidRDefault="00B84942" w:rsidP="00506E38">
            <w:pPr>
              <w:jc w:val="center"/>
              <w:rPr>
                <w:rFonts w:ascii="Arial" w:hAnsi="Arial" w:cs="Arial"/>
                <w:sz w:val="20"/>
                <w:szCs w:val="20"/>
              </w:rPr>
            </w:pPr>
            <w:r>
              <w:rPr>
                <w:rFonts w:ascii="Arial" w:hAnsi="Arial" w:cs="Arial"/>
                <w:sz w:val="20"/>
                <w:szCs w:val="20"/>
              </w:rPr>
              <w:t>2</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4.7%</w:t>
            </w:r>
          </w:p>
        </w:tc>
        <w:tc>
          <w:tcPr>
            <w:tcW w:w="1366"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16.2</w:t>
            </w:r>
          </w:p>
        </w:tc>
        <w:tc>
          <w:tcPr>
            <w:tcW w:w="1611" w:type="dxa"/>
            <w:tcBorders>
              <w:left w:val="nil"/>
              <w:right w:val="nil"/>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33.5</w:t>
            </w:r>
          </w:p>
        </w:tc>
        <w:tc>
          <w:tcPr>
            <w:tcW w:w="1348" w:type="dxa"/>
            <w:gridSpan w:val="2"/>
            <w:tcBorders>
              <w:left w:val="nil"/>
              <w:right w:val="single" w:sz="4" w:space="0" w:color="993366"/>
            </w:tcBorders>
            <w:vAlign w:val="center"/>
          </w:tcPr>
          <w:p w:rsidR="00B84942" w:rsidRPr="00FE4FE6" w:rsidRDefault="00B84942" w:rsidP="00506E38">
            <w:pPr>
              <w:jc w:val="center"/>
              <w:rPr>
                <w:rFonts w:ascii="Arial" w:hAnsi="Arial" w:cs="Arial"/>
                <w:sz w:val="20"/>
                <w:szCs w:val="20"/>
              </w:rPr>
            </w:pPr>
            <w:r>
              <w:rPr>
                <w:rFonts w:ascii="Arial" w:hAnsi="Arial" w:cs="Arial"/>
                <w:sz w:val="20"/>
                <w:szCs w:val="20"/>
              </w:rPr>
              <w:t>2.1</w:t>
            </w:r>
          </w:p>
        </w:tc>
      </w:tr>
      <w:tr w:rsidR="00B84942" w:rsidRPr="00FE4FE6">
        <w:trPr>
          <w:trHeight w:val="360"/>
          <w:jc w:val="center"/>
        </w:trPr>
        <w:tc>
          <w:tcPr>
            <w:tcW w:w="2410" w:type="dxa"/>
            <w:tcBorders>
              <w:left w:val="single" w:sz="4" w:space="0" w:color="993366"/>
              <w:bottom w:val="single" w:sz="4" w:space="0" w:color="808080"/>
              <w:right w:val="nil"/>
            </w:tcBorders>
            <w:noWrap/>
            <w:vAlign w:val="center"/>
          </w:tcPr>
          <w:p w:rsidR="00B84942" w:rsidRPr="00FE4FE6" w:rsidRDefault="00B84942" w:rsidP="00506E38">
            <w:pPr>
              <w:ind w:left="37"/>
              <w:jc w:val="center"/>
              <w:rPr>
                <w:rFonts w:ascii="Arial" w:eastAsia="Times New Roman" w:hAnsi="Arial" w:cs="Arial"/>
                <w:color w:val="000000"/>
                <w:sz w:val="20"/>
                <w:szCs w:val="20"/>
                <w:lang w:eastAsia="en-GB"/>
              </w:rPr>
            </w:pPr>
            <w:r w:rsidRPr="00FE4FE6">
              <w:rPr>
                <w:rFonts w:ascii="Arial" w:eastAsia="Times New Roman" w:hAnsi="Arial" w:cs="Arial"/>
                <w:color w:val="000000"/>
                <w:sz w:val="20"/>
                <w:szCs w:val="20"/>
                <w:lang w:eastAsia="en-GB"/>
              </w:rPr>
              <w:t>Equipment/Refurb</w:t>
            </w:r>
          </w:p>
        </w:tc>
        <w:tc>
          <w:tcPr>
            <w:tcW w:w="1276" w:type="dxa"/>
            <w:tcBorders>
              <w:left w:val="nil"/>
              <w:bottom w:val="single" w:sz="4" w:space="0" w:color="808080"/>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w:t>
            </w:r>
          </w:p>
        </w:tc>
        <w:tc>
          <w:tcPr>
            <w:tcW w:w="1611" w:type="dxa"/>
            <w:tcBorders>
              <w:left w:val="nil"/>
              <w:bottom w:val="single" w:sz="4" w:space="0" w:color="8080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2.3%</w:t>
            </w:r>
          </w:p>
        </w:tc>
        <w:tc>
          <w:tcPr>
            <w:tcW w:w="1366" w:type="dxa"/>
            <w:tcBorders>
              <w:left w:val="nil"/>
              <w:bottom w:val="single" w:sz="4" w:space="0" w:color="8080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10.2</w:t>
            </w:r>
          </w:p>
        </w:tc>
        <w:tc>
          <w:tcPr>
            <w:tcW w:w="1611" w:type="dxa"/>
            <w:tcBorders>
              <w:left w:val="nil"/>
              <w:bottom w:val="single" w:sz="4" w:space="0" w:color="808080"/>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20.4</w:t>
            </w:r>
          </w:p>
        </w:tc>
        <w:tc>
          <w:tcPr>
            <w:tcW w:w="1348" w:type="dxa"/>
            <w:gridSpan w:val="2"/>
            <w:tcBorders>
              <w:left w:val="nil"/>
              <w:bottom w:val="single" w:sz="4" w:space="0" w:color="808080"/>
              <w:right w:val="single" w:sz="4" w:space="0" w:color="993366"/>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2.0</w:t>
            </w:r>
          </w:p>
        </w:tc>
      </w:tr>
      <w:tr w:rsidR="00B84942" w:rsidRPr="00FE4FE6">
        <w:trPr>
          <w:trHeight w:val="360"/>
          <w:jc w:val="center"/>
        </w:trPr>
        <w:tc>
          <w:tcPr>
            <w:tcW w:w="2410" w:type="dxa"/>
            <w:tcBorders>
              <w:top w:val="single" w:sz="4" w:space="0" w:color="808080"/>
              <w:left w:val="single" w:sz="4" w:space="0" w:color="993366"/>
              <w:bottom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Total</w:t>
            </w:r>
          </w:p>
        </w:tc>
        <w:tc>
          <w:tcPr>
            <w:tcW w:w="1276" w:type="dxa"/>
            <w:tcBorders>
              <w:top w:val="single" w:sz="4" w:space="0" w:color="808080"/>
              <w:left w:val="nil"/>
              <w:bottom w:val="single" w:sz="4" w:space="0" w:color="993366"/>
              <w:right w:val="nil"/>
            </w:tcBorders>
            <w:noWrap/>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43</w:t>
            </w:r>
          </w:p>
        </w:tc>
        <w:tc>
          <w:tcPr>
            <w:tcW w:w="1611"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r w:rsidRPr="00FE4FE6">
              <w:rPr>
                <w:rFonts w:ascii="Arial" w:hAnsi="Arial" w:cs="Arial"/>
                <w:sz w:val="20"/>
                <w:szCs w:val="20"/>
              </w:rPr>
              <w:t>100.0%</w:t>
            </w:r>
          </w:p>
        </w:tc>
        <w:tc>
          <w:tcPr>
            <w:tcW w:w="1366"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p>
        </w:tc>
        <w:tc>
          <w:tcPr>
            <w:tcW w:w="1611" w:type="dxa"/>
            <w:tcBorders>
              <w:top w:val="single" w:sz="4" w:space="0" w:color="808080"/>
              <w:left w:val="nil"/>
              <w:bottom w:val="single" w:sz="4" w:space="0" w:color="993366"/>
              <w:right w:val="nil"/>
            </w:tcBorders>
            <w:vAlign w:val="center"/>
          </w:tcPr>
          <w:p w:rsidR="00B84942" w:rsidRPr="00FE4FE6" w:rsidRDefault="00B84942" w:rsidP="00506E38">
            <w:pPr>
              <w:jc w:val="center"/>
              <w:rPr>
                <w:rFonts w:ascii="Arial" w:hAnsi="Arial" w:cs="Arial"/>
                <w:sz w:val="20"/>
                <w:szCs w:val="20"/>
              </w:rPr>
            </w:pPr>
          </w:p>
        </w:tc>
        <w:tc>
          <w:tcPr>
            <w:tcW w:w="1348" w:type="dxa"/>
            <w:gridSpan w:val="2"/>
            <w:tcBorders>
              <w:top w:val="single" w:sz="4" w:space="0" w:color="808080"/>
              <w:left w:val="nil"/>
              <w:bottom w:val="single" w:sz="4" w:space="0" w:color="993366"/>
              <w:right w:val="single" w:sz="4" w:space="0" w:color="993366"/>
            </w:tcBorders>
            <w:vAlign w:val="center"/>
          </w:tcPr>
          <w:p w:rsidR="00B84942" w:rsidRPr="00FE4FE6" w:rsidRDefault="00B84942" w:rsidP="00506E38">
            <w:pPr>
              <w:jc w:val="center"/>
              <w:rPr>
                <w:rFonts w:ascii="Arial" w:hAnsi="Arial" w:cs="Arial"/>
                <w:sz w:val="20"/>
                <w:szCs w:val="20"/>
              </w:rPr>
            </w:pPr>
          </w:p>
        </w:tc>
      </w:tr>
    </w:tbl>
    <w:p w:rsidR="00B84942" w:rsidRPr="008C2E15" w:rsidRDefault="00B84942" w:rsidP="00B84942">
      <w:pPr>
        <w:pStyle w:val="Belmana4normal"/>
        <w:rPr>
          <w:sz w:val="18"/>
          <w:szCs w:val="16"/>
        </w:rPr>
      </w:pPr>
      <w:r w:rsidRPr="008C2E15">
        <w:rPr>
          <w:sz w:val="18"/>
          <w:szCs w:val="16"/>
        </w:rPr>
        <w:t xml:space="preserve">Source: </w:t>
      </w:r>
      <w:r>
        <w:rPr>
          <w:sz w:val="18"/>
          <w:szCs w:val="16"/>
        </w:rPr>
        <w:t>UKRPIF Co-Investment Profiles Rounds 1-5</w:t>
      </w:r>
    </w:p>
    <w:p w:rsidR="00B84942" w:rsidRPr="00513FAC" w:rsidRDefault="00B84942" w:rsidP="005721FF">
      <w:pPr>
        <w:pStyle w:val="Belmananormal"/>
      </w:pPr>
      <w:r w:rsidRPr="008C2E15">
        <w:t xml:space="preserve">The breakdown of UKRPIF </w:t>
      </w:r>
      <w:r w:rsidR="004E7ECF">
        <w:t xml:space="preserve">funding </w:t>
      </w:r>
      <w:r w:rsidRPr="008C2E15">
        <w:t>by capital investment categor</w:t>
      </w:r>
      <w:r w:rsidR="004E7ECF">
        <w:t>y</w:t>
      </w:r>
      <w:r w:rsidRPr="008C2E15">
        <w:t xml:space="preserve"> is shown in Table 4. Most funded projects are </w:t>
      </w:r>
      <w:r w:rsidR="00CA7805">
        <w:t>p</w:t>
      </w:r>
      <w:r w:rsidRPr="008C2E15">
        <w:t>urpose</w:t>
      </w:r>
      <w:r w:rsidR="00CA7805">
        <w:t>-b</w:t>
      </w:r>
      <w:r w:rsidRPr="008C2E15">
        <w:t xml:space="preserve">uilt </w:t>
      </w:r>
      <w:r w:rsidR="00CA7805">
        <w:t>b</w:t>
      </w:r>
      <w:r w:rsidRPr="008C2E15">
        <w:t>uildings (PBB</w:t>
      </w:r>
      <w:r w:rsidR="00CA7805">
        <w:t>s</w:t>
      </w:r>
      <w:r w:rsidRPr="008C2E15">
        <w:t>)</w:t>
      </w:r>
      <w:r w:rsidR="00CA7805">
        <w:t>,</w:t>
      </w:r>
      <w:r w:rsidRPr="008C2E15">
        <w:t xml:space="preserve"> accounting for just under two thirds of projects. Additionally, the total capital spend on PBB</w:t>
      </w:r>
      <w:r w:rsidR="00CA7805">
        <w:t>s</w:t>
      </w:r>
      <w:r w:rsidRPr="008C2E15">
        <w:t xml:space="preserve"> was significantly greater than the other categories, accounting for 66% of the total UKRPIF spend, compared with 5% for refurbishment only.</w:t>
      </w:r>
    </w:p>
    <w:p w:rsidR="00B84942" w:rsidRPr="008C2E15" w:rsidRDefault="00B84942" w:rsidP="00363228">
      <w:pPr>
        <w:pStyle w:val="Belmana2"/>
      </w:pPr>
      <w:bookmarkStart w:id="47" w:name="_Toc499548021"/>
      <w:bookmarkStart w:id="48" w:name="_Toc514831649"/>
      <w:r w:rsidRPr="008C2E15">
        <w:t>UKRPIF projects by region</w:t>
      </w:r>
      <w:bookmarkEnd w:id="47"/>
      <w:bookmarkEnd w:id="48"/>
    </w:p>
    <w:p w:rsidR="00B84942" w:rsidRPr="008C2E15" w:rsidRDefault="00B84942" w:rsidP="005721FF">
      <w:pPr>
        <w:pStyle w:val="Belmananormal"/>
      </w:pPr>
      <w:r w:rsidRPr="008C2E15">
        <w:t xml:space="preserve">Figure </w:t>
      </w:r>
      <w:r w:rsidR="005B1373">
        <w:t>4</w:t>
      </w:r>
      <w:r w:rsidRPr="008C2E15">
        <w:t xml:space="preserve"> disaggregates UKRPIF by region (</w:t>
      </w:r>
      <w:r w:rsidR="00CA7805">
        <w:t xml:space="preserve">with the </w:t>
      </w:r>
      <w:r w:rsidRPr="008C2E15">
        <w:t xml:space="preserve">number of projects within each region </w:t>
      </w:r>
      <w:r w:rsidR="00CA7805">
        <w:t xml:space="preserve">given </w:t>
      </w:r>
      <w:r w:rsidRPr="008C2E15">
        <w:t>in brackets). The spread of the UKRPIF is wide with many regions having a</w:t>
      </w:r>
      <w:r w:rsidR="00CA7805">
        <w:t>n</w:t>
      </w:r>
      <w:r w:rsidRPr="008C2E15">
        <w:t xml:space="preserve"> </w:t>
      </w:r>
      <w:r w:rsidR="00CA7805">
        <w:t>HEI</w:t>
      </w:r>
      <w:r w:rsidR="00CA7805" w:rsidRPr="008C2E15">
        <w:t xml:space="preserve"> </w:t>
      </w:r>
      <w:r w:rsidRPr="008C2E15">
        <w:t xml:space="preserve">benefitting from UKRPIF in the five rounds. One region (North East England) has not received funding in the five rounds. There is a notably higher level of co-investment in London. </w:t>
      </w:r>
    </w:p>
    <w:p w:rsidR="00B84942" w:rsidRPr="008C2E15" w:rsidRDefault="00B84942" w:rsidP="005721FF">
      <w:pPr>
        <w:pStyle w:val="Belmananormal"/>
      </w:pPr>
      <w:r w:rsidRPr="008C2E15">
        <w:t xml:space="preserve">Figure </w:t>
      </w:r>
      <w:r w:rsidR="005B1373">
        <w:t>5</w:t>
      </w:r>
      <w:r w:rsidRPr="008C2E15">
        <w:t xml:space="preserve"> aggregates </w:t>
      </w:r>
      <w:r w:rsidR="00CA7805">
        <w:t xml:space="preserve">the English </w:t>
      </w:r>
      <w:r w:rsidRPr="008C2E15">
        <w:t xml:space="preserve">regions </w:t>
      </w:r>
      <w:r w:rsidR="00CA7805">
        <w:t xml:space="preserve">to show </w:t>
      </w:r>
      <w:r w:rsidRPr="008C2E15">
        <w:t>allocations by country (</w:t>
      </w:r>
      <w:r w:rsidR="00CA7805">
        <w:t xml:space="preserve">with the </w:t>
      </w:r>
      <w:r w:rsidRPr="008C2E15">
        <w:t xml:space="preserve">number of projects within each country </w:t>
      </w:r>
      <w:r w:rsidR="00CA7805">
        <w:t xml:space="preserve">given </w:t>
      </w:r>
      <w:r w:rsidRPr="008C2E15">
        <w:t xml:space="preserve">in brackets). </w:t>
      </w:r>
    </w:p>
    <w:p w:rsidR="00B84942" w:rsidRDefault="00B84942" w:rsidP="005721FF">
      <w:pPr>
        <w:pStyle w:val="Belmananormal"/>
      </w:pPr>
      <w:r w:rsidRPr="008C2E15">
        <w:t xml:space="preserve">Figure </w:t>
      </w:r>
      <w:r w:rsidR="005B1373">
        <w:t>6</w:t>
      </w:r>
      <w:r w:rsidRPr="008C2E15">
        <w:t xml:space="preserve"> shows a map of UKRPIF</w:t>
      </w:r>
      <w:r w:rsidR="00CA7805">
        <w:t>-</w:t>
      </w:r>
      <w:r w:rsidRPr="008C2E15">
        <w:t>supported HEIs and the number in brackets denotes the count of projects per HEI. The map demonstrates that the selected case studies have good regional spread and one is from a devolved administration.</w:t>
      </w:r>
    </w:p>
    <w:p w:rsidR="00B84942" w:rsidRPr="007B5FBA" w:rsidRDefault="00B84942" w:rsidP="00D17F8B">
      <w:pPr>
        <w:pStyle w:val="BelmanaTableTitle"/>
      </w:pPr>
      <w:bookmarkStart w:id="49" w:name="_Toc499548082"/>
      <w:r w:rsidRPr="007B5FBA">
        <w:t xml:space="preserve">Figure </w:t>
      </w:r>
      <w:r w:rsidR="005B1373">
        <w:t>4</w:t>
      </w:r>
      <w:r w:rsidRPr="007B5FBA">
        <w:t xml:space="preserve">: UKRPIF </w:t>
      </w:r>
      <w:r w:rsidR="00CA7805">
        <w:t>a</w:t>
      </w:r>
      <w:r w:rsidRPr="007B5FBA">
        <w:t xml:space="preserve">llocation by </w:t>
      </w:r>
      <w:r w:rsidR="00CA7805">
        <w:t>r</w:t>
      </w:r>
      <w:r w:rsidRPr="007B5FBA">
        <w:t>egion</w:t>
      </w:r>
      <w:bookmarkEnd w:id="49"/>
      <w:r w:rsidR="00CA7805">
        <w:t xml:space="preserve"> </w:t>
      </w:r>
    </w:p>
    <w:p w:rsidR="00B84942" w:rsidRDefault="00C208BA" w:rsidP="00B84942">
      <w:pPr>
        <w:pStyle w:val="Belmana4normal"/>
        <w:keepNext/>
      </w:pPr>
      <w:r>
        <w:rPr>
          <w:noProof/>
          <w:lang w:eastAsia="en-GB"/>
        </w:rPr>
        <w:drawing>
          <wp:inline distT="0" distB="0" distL="0" distR="0" wp14:anchorId="1AB18372">
            <wp:extent cx="6132830" cy="3352800"/>
            <wp:effectExtent l="0" t="0" r="1270"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6132830" cy="3352800"/>
                    </a:xfrm>
                    <a:prstGeom prst="rect">
                      <a:avLst/>
                    </a:prstGeom>
                    <a:noFill/>
                  </pic:spPr>
                </pic:pic>
              </a:graphicData>
            </a:graphic>
          </wp:inline>
        </w:drawing>
      </w:r>
    </w:p>
    <w:p w:rsidR="00B84942" w:rsidRPr="007B5FBA" w:rsidRDefault="00B84942" w:rsidP="00D17F8B">
      <w:pPr>
        <w:pStyle w:val="BelmanaTableTitle"/>
      </w:pPr>
      <w:bookmarkStart w:id="50" w:name="_Toc499548083"/>
      <w:r w:rsidRPr="007B5FBA">
        <w:t>Figure</w:t>
      </w:r>
      <w:r w:rsidR="005B1373">
        <w:t xml:space="preserve"> 5</w:t>
      </w:r>
      <w:r w:rsidRPr="007B5FBA">
        <w:t xml:space="preserve">: UKRPIF </w:t>
      </w:r>
      <w:r w:rsidR="00CA7805">
        <w:t>a</w:t>
      </w:r>
      <w:r w:rsidRPr="007B5FBA">
        <w:t xml:space="preserve">llocation by </w:t>
      </w:r>
      <w:r w:rsidR="00CA7805">
        <w:t>c</w:t>
      </w:r>
      <w:r w:rsidRPr="007B5FBA">
        <w:t>ountry</w:t>
      </w:r>
      <w:bookmarkEnd w:id="50"/>
    </w:p>
    <w:p w:rsidR="00B84942" w:rsidRDefault="00C208BA" w:rsidP="00B84942">
      <w:pPr>
        <w:pStyle w:val="Belmana4normal"/>
        <w:pBdr>
          <w:bottom w:val="single" w:sz="4" w:space="1" w:color="993366"/>
        </w:pBdr>
      </w:pPr>
      <w:r>
        <w:rPr>
          <w:noProof/>
          <w:lang w:eastAsia="en-GB"/>
        </w:rPr>
        <w:drawing>
          <wp:inline distT="0" distB="0" distL="0" distR="0" wp14:anchorId="0FF498E2">
            <wp:extent cx="6132830" cy="3194685"/>
            <wp:effectExtent l="0" t="0" r="1270" b="5715"/>
            <wp:docPr id="31" name="Picture 3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6132830" cy="3194685"/>
                    </a:xfrm>
                    <a:prstGeom prst="rect">
                      <a:avLst/>
                    </a:prstGeom>
                    <a:noFill/>
                  </pic:spPr>
                </pic:pic>
              </a:graphicData>
            </a:graphic>
          </wp:inline>
        </w:drawing>
      </w:r>
    </w:p>
    <w:p w:rsidR="00B84942" w:rsidRPr="008C2E15" w:rsidRDefault="00B84942" w:rsidP="00B84942">
      <w:pPr>
        <w:pStyle w:val="Belmana4normal"/>
      </w:pPr>
    </w:p>
    <w:p w:rsidR="00B84942" w:rsidRPr="008C2E15" w:rsidRDefault="00B84942" w:rsidP="00B84942">
      <w:pPr>
        <w:rPr>
          <w:rFonts w:ascii="Arial" w:hAnsi="Arial" w:cs="Arial"/>
        </w:rPr>
        <w:sectPr w:rsidR="00B84942" w:rsidRPr="008C2E15" w:rsidSect="00885558">
          <w:headerReference w:type="even" r:id="rId19"/>
          <w:headerReference w:type="default" r:id="rId20"/>
          <w:footerReference w:type="default" r:id="rId21"/>
          <w:headerReference w:type="first" r:id="rId22"/>
          <w:footerReference w:type="first" r:id="rId23"/>
          <w:pgSz w:w="11906" w:h="16838"/>
          <w:pgMar w:top="1701" w:right="1134" w:bottom="1701" w:left="1134" w:header="709" w:footer="709" w:gutter="0"/>
          <w:cols w:space="708"/>
          <w:titlePg/>
          <w:docGrid w:linePitch="360"/>
        </w:sectPr>
      </w:pPr>
    </w:p>
    <w:tbl>
      <w:tblPr>
        <w:tblStyle w:val="TableGrid"/>
        <w:tblW w:w="10953" w:type="dxa"/>
        <w:tblInd w:w="-9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8106"/>
        <w:gridCol w:w="2834"/>
        <w:gridCol w:w="13"/>
      </w:tblGrid>
      <w:tr w:rsidR="00435BD1">
        <w:tc>
          <w:tcPr>
            <w:tcW w:w="10953" w:type="dxa"/>
            <w:gridSpan w:val="3"/>
          </w:tcPr>
          <w:p w:rsidR="00674BC0" w:rsidRDefault="00435BD1" w:rsidP="00CA5BC4">
            <w:bookmarkStart w:id="51" w:name="_Toc499548022"/>
            <w:r>
              <w:rPr>
                <w:rStyle w:val="BelmanaTableTitleChar"/>
              </w:rPr>
              <w:t>Fi</w:t>
            </w:r>
            <w:r w:rsidRPr="00D17F8B">
              <w:rPr>
                <w:rStyle w:val="BelmanaTableTitleChar"/>
              </w:rPr>
              <w:t>gure</w:t>
            </w:r>
            <w:r>
              <w:rPr>
                <w:rStyle w:val="BelmanaTableTitleChar"/>
              </w:rPr>
              <w:t xml:space="preserve"> 6</w:t>
            </w:r>
            <w:r w:rsidRPr="00D17F8B">
              <w:rPr>
                <w:rStyle w:val="BelmanaTableTitleChar"/>
              </w:rPr>
              <w:t xml:space="preserve">: Map of </w:t>
            </w:r>
            <w:r w:rsidR="00CA7805">
              <w:rPr>
                <w:rStyle w:val="BelmanaTableTitleChar"/>
              </w:rPr>
              <w:t xml:space="preserve">HEIs </w:t>
            </w:r>
            <w:r w:rsidRPr="00D17F8B">
              <w:rPr>
                <w:rStyle w:val="BelmanaTableTitleChar"/>
              </w:rPr>
              <w:t xml:space="preserve">receiving UKRPIF and </w:t>
            </w:r>
            <w:r w:rsidR="00CA7805">
              <w:rPr>
                <w:rStyle w:val="BelmanaTableTitleChar"/>
              </w:rPr>
              <w:t>c</w:t>
            </w:r>
            <w:r w:rsidRPr="00D17F8B">
              <w:rPr>
                <w:rStyle w:val="BelmanaTableTitleChar"/>
              </w:rPr>
              <w:t xml:space="preserve">ase </w:t>
            </w:r>
            <w:r w:rsidR="00CA7805">
              <w:rPr>
                <w:rStyle w:val="BelmanaTableTitleChar"/>
              </w:rPr>
              <w:t>s</w:t>
            </w:r>
            <w:r w:rsidRPr="00D17F8B">
              <w:rPr>
                <w:rStyle w:val="BelmanaTableTitleChar"/>
              </w:rPr>
              <w:t xml:space="preserve">tudy </w:t>
            </w:r>
            <w:r w:rsidR="00CA7805">
              <w:rPr>
                <w:rStyle w:val="BelmanaTableTitleChar"/>
              </w:rPr>
              <w:t>s</w:t>
            </w:r>
            <w:r w:rsidRPr="00D17F8B">
              <w:rPr>
                <w:rStyle w:val="BelmanaTableTitleChar"/>
              </w:rPr>
              <w:t>election</w:t>
            </w:r>
          </w:p>
        </w:tc>
      </w:tr>
      <w:tr w:rsidR="00435BD1">
        <w:trPr>
          <w:gridAfter w:val="1"/>
          <w:wAfter w:w="13" w:type="dxa"/>
        </w:trPr>
        <w:tc>
          <w:tcPr>
            <w:tcW w:w="8081" w:type="dxa"/>
            <w:vMerge w:val="restart"/>
            <w:vAlign w:val="center"/>
          </w:tcPr>
          <w:p w:rsidR="00435BD1" w:rsidRDefault="00DE07FD" w:rsidP="00435BD1">
            <w:pPr>
              <w:jc w:val="center"/>
            </w:pPr>
            <w:r w:rsidRPr="00562690">
              <w:object w:dxaOrig="7890" w:dyaOrig="11625">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394.5pt;height:581.25pt" o:ole="">
                  <v:imagedata r:id="rId24" o:title=""/>
                </v:shape>
                <o:OLEObject Type="Embed" ProgID="PBrush" ShapeID="_x0000_i1025" DrawAspect="Content" ObjectID="_1594459657" r:id="rId25"/>
              </w:object>
            </w:r>
          </w:p>
        </w:tc>
        <w:tc>
          <w:tcPr>
            <w:tcW w:w="2859" w:type="dxa"/>
          </w:tcPr>
          <w:p w:rsidR="00435BD1" w:rsidRPr="007154D8" w:rsidRDefault="00435BD1" w:rsidP="00435BD1">
            <w:pPr>
              <w:pStyle w:val="NormalWeb"/>
              <w:spacing w:before="0" w:beforeAutospacing="0" w:after="0" w:afterAutospacing="0"/>
              <w:jc w:val="both"/>
            </w:pPr>
            <w:r w:rsidRPr="007154D8">
              <w:rPr>
                <w:rFonts w:ascii="Arial" w:hAnsi="Arial" w:cs="Arial"/>
                <w:b/>
                <w:bCs/>
                <w:kern w:val="24"/>
                <w:sz w:val="16"/>
                <w:szCs w:val="16"/>
              </w:rPr>
              <w:t xml:space="preserve">Centre for Translational and Interdisciplinary Research: </w:t>
            </w:r>
            <w:r w:rsidRPr="007154D8">
              <w:rPr>
                <w:rFonts w:ascii="Arial" w:hAnsi="Arial" w:cs="Arial"/>
                <w:kern w:val="24"/>
                <w:sz w:val="16"/>
                <w:szCs w:val="16"/>
              </w:rPr>
              <w:t>The University of Dundee has a reputation for research in the Life Sciences</w:t>
            </w:r>
            <w:r w:rsidR="00CA7805">
              <w:rPr>
                <w:rFonts w:ascii="Arial" w:hAnsi="Arial" w:cs="Arial"/>
                <w:kern w:val="24"/>
                <w:sz w:val="16"/>
                <w:szCs w:val="16"/>
              </w:rPr>
              <w:t>, i</w:t>
            </w:r>
            <w:r w:rsidRPr="007154D8">
              <w:rPr>
                <w:rFonts w:ascii="Arial" w:hAnsi="Arial" w:cs="Arial"/>
                <w:kern w:val="24"/>
                <w:sz w:val="16"/>
                <w:szCs w:val="16"/>
              </w:rPr>
              <w:t xml:space="preserve">nterdisciplinary working and the translation of discoveries into healthcare solutions. The </w:t>
            </w:r>
            <w:r w:rsidR="00CA7805">
              <w:rPr>
                <w:rFonts w:ascii="Arial" w:hAnsi="Arial" w:cs="Arial"/>
                <w:kern w:val="24"/>
                <w:sz w:val="16"/>
                <w:szCs w:val="16"/>
              </w:rPr>
              <w:t>new c</w:t>
            </w:r>
            <w:r w:rsidRPr="007154D8">
              <w:rPr>
                <w:rFonts w:ascii="Arial" w:hAnsi="Arial" w:cs="Arial"/>
                <w:kern w:val="24"/>
                <w:sz w:val="16"/>
                <w:szCs w:val="16"/>
              </w:rPr>
              <w:t xml:space="preserve">entre combines multiple scientific disciplines to tackle system-level problems in biology, drug-discovery, medical informatics and healthcare. </w:t>
            </w:r>
            <w:r w:rsidRPr="007154D8">
              <w:rPr>
                <w:rFonts w:ascii="Arial" w:hAnsi="Arial" w:cs="Arial"/>
                <w:b/>
                <w:bCs/>
                <w:kern w:val="24"/>
                <w:sz w:val="16"/>
                <w:szCs w:val="16"/>
              </w:rPr>
              <w:t xml:space="preserve">UKRPIF: </w:t>
            </w:r>
            <w:r>
              <w:rPr>
                <w:rFonts w:ascii="Arial" w:hAnsi="Arial" w:cs="Arial"/>
                <w:kern w:val="24"/>
                <w:sz w:val="16"/>
                <w:szCs w:val="16"/>
              </w:rPr>
              <w:t>£11.6m</w:t>
            </w:r>
            <w:r w:rsidRPr="007154D8">
              <w:rPr>
                <w:rFonts w:ascii="Arial" w:hAnsi="Arial" w:cs="Arial"/>
                <w:kern w:val="24"/>
                <w:sz w:val="16"/>
                <w:szCs w:val="16"/>
              </w:rPr>
              <w:t xml:space="preserve">, </w:t>
            </w:r>
            <w:r w:rsidRPr="007154D8">
              <w:rPr>
                <w:rFonts w:ascii="Arial" w:hAnsi="Arial" w:cs="Arial"/>
                <w:b/>
                <w:bCs/>
                <w:kern w:val="24"/>
                <w:sz w:val="16"/>
                <w:szCs w:val="16"/>
              </w:rPr>
              <w:t xml:space="preserve">Match Funding: </w:t>
            </w:r>
            <w:r w:rsidR="007F455E">
              <w:rPr>
                <w:rFonts w:ascii="Arial" w:hAnsi="Arial" w:cs="Arial"/>
                <w:kern w:val="24"/>
                <w:sz w:val="16"/>
                <w:szCs w:val="16"/>
              </w:rPr>
              <w:t>£26m</w:t>
            </w:r>
          </w:p>
          <w:p w:rsidR="00435BD1" w:rsidRDefault="00435BD1" w:rsidP="00435BD1"/>
        </w:tc>
      </w:tr>
      <w:tr w:rsidR="00435BD1">
        <w:trPr>
          <w:gridAfter w:val="1"/>
          <w:wAfter w:w="13" w:type="dxa"/>
        </w:trPr>
        <w:tc>
          <w:tcPr>
            <w:tcW w:w="8081" w:type="dxa"/>
            <w:vMerge/>
          </w:tcPr>
          <w:p w:rsidR="00435BD1" w:rsidRDefault="00435BD1" w:rsidP="00435BD1"/>
        </w:tc>
        <w:tc>
          <w:tcPr>
            <w:tcW w:w="2859" w:type="dxa"/>
          </w:tcPr>
          <w:p w:rsidR="00435BD1" w:rsidRPr="007154D8" w:rsidRDefault="00435BD1" w:rsidP="00435BD1">
            <w:pPr>
              <w:pStyle w:val="NormalWeb"/>
              <w:spacing w:before="0" w:beforeAutospacing="0" w:after="0" w:afterAutospacing="0"/>
              <w:jc w:val="both"/>
            </w:pPr>
            <w:r w:rsidRPr="007154D8">
              <w:rPr>
                <w:rFonts w:ascii="Arial" w:hAnsi="Arial" w:cs="Arial"/>
                <w:b/>
                <w:bCs/>
                <w:kern w:val="24"/>
                <w:sz w:val="16"/>
                <w:szCs w:val="16"/>
              </w:rPr>
              <w:t xml:space="preserve">High Temperature Research Centre: </w:t>
            </w:r>
            <w:r w:rsidRPr="007154D8">
              <w:rPr>
                <w:rFonts w:ascii="Arial" w:hAnsi="Arial" w:cs="Arial"/>
                <w:kern w:val="24"/>
                <w:sz w:val="16"/>
                <w:szCs w:val="16"/>
              </w:rPr>
              <w:t xml:space="preserve">The HTRC is a unique world-class casting, design, simulation and manufacturing research facility established by the University of Birmingham </w:t>
            </w:r>
            <w:r w:rsidR="00CA7805" w:rsidRPr="007154D8">
              <w:rPr>
                <w:rFonts w:ascii="Arial" w:hAnsi="Arial" w:cs="Arial"/>
                <w:kern w:val="24"/>
                <w:sz w:val="16"/>
                <w:szCs w:val="16"/>
              </w:rPr>
              <w:t xml:space="preserve">in partnership </w:t>
            </w:r>
            <w:r w:rsidR="00CA7805">
              <w:rPr>
                <w:rFonts w:ascii="Arial" w:hAnsi="Arial" w:cs="Arial"/>
                <w:kern w:val="24"/>
                <w:sz w:val="16"/>
                <w:szCs w:val="16"/>
              </w:rPr>
              <w:t xml:space="preserve">with </w:t>
            </w:r>
            <w:r w:rsidRPr="007154D8">
              <w:rPr>
                <w:rFonts w:ascii="Arial" w:hAnsi="Arial" w:cs="Arial"/>
                <w:kern w:val="24"/>
                <w:sz w:val="16"/>
                <w:szCs w:val="16"/>
              </w:rPr>
              <w:t>Rolls</w:t>
            </w:r>
            <w:r w:rsidR="00B61285">
              <w:rPr>
                <w:rFonts w:ascii="Arial" w:hAnsi="Arial" w:cs="Arial"/>
                <w:kern w:val="24"/>
                <w:sz w:val="16"/>
                <w:szCs w:val="16"/>
              </w:rPr>
              <w:t>-</w:t>
            </w:r>
            <w:r w:rsidRPr="007154D8">
              <w:rPr>
                <w:rFonts w:ascii="Arial" w:hAnsi="Arial" w:cs="Arial"/>
                <w:kern w:val="24"/>
                <w:sz w:val="16"/>
                <w:szCs w:val="16"/>
              </w:rPr>
              <w:t xml:space="preserve">Royce. The </w:t>
            </w:r>
            <w:r w:rsidR="00CA7805">
              <w:rPr>
                <w:rFonts w:ascii="Arial" w:hAnsi="Arial" w:cs="Arial"/>
                <w:kern w:val="24"/>
                <w:sz w:val="16"/>
                <w:szCs w:val="16"/>
              </w:rPr>
              <w:t>c</w:t>
            </w:r>
            <w:r w:rsidRPr="007154D8">
              <w:rPr>
                <w:rFonts w:ascii="Arial" w:hAnsi="Arial" w:cs="Arial"/>
                <w:kern w:val="24"/>
                <w:sz w:val="16"/>
                <w:szCs w:val="16"/>
              </w:rPr>
              <w:t>entre aims to deliver world-class fundamental and applied research programmes focussed around underpinning materials research, radical process improvements and predictive processing modelling</w:t>
            </w:r>
            <w:r w:rsidRPr="000A5072">
              <w:rPr>
                <w:rFonts w:ascii="Arial" w:hAnsi="Arial" w:cs="Arial"/>
                <w:kern w:val="24"/>
                <w:sz w:val="16"/>
                <w:szCs w:val="16"/>
              </w:rPr>
              <w:t xml:space="preserve">. </w:t>
            </w:r>
            <w:r w:rsidRPr="00A53A40">
              <w:rPr>
                <w:rFonts w:ascii="Arial" w:hAnsi="Arial" w:cs="Arial"/>
                <w:b/>
                <w:bCs/>
                <w:kern w:val="24"/>
                <w:sz w:val="16"/>
                <w:szCs w:val="16"/>
              </w:rPr>
              <w:t xml:space="preserve">UKRPIF: </w:t>
            </w:r>
            <w:r w:rsidRPr="00A53A40">
              <w:rPr>
                <w:rFonts w:ascii="Arial" w:hAnsi="Arial" w:cs="Arial"/>
                <w:kern w:val="24"/>
                <w:sz w:val="16"/>
                <w:szCs w:val="16"/>
              </w:rPr>
              <w:t>£20.0m,</w:t>
            </w:r>
            <w:r w:rsidRPr="007154D8">
              <w:rPr>
                <w:rFonts w:ascii="Arial" w:hAnsi="Arial" w:cs="Arial"/>
                <w:kern w:val="24"/>
                <w:sz w:val="16"/>
                <w:szCs w:val="16"/>
              </w:rPr>
              <w:t xml:space="preserve"> </w:t>
            </w:r>
            <w:r w:rsidRPr="007154D8">
              <w:rPr>
                <w:rFonts w:ascii="Arial" w:hAnsi="Arial" w:cs="Arial"/>
                <w:b/>
                <w:bCs/>
                <w:kern w:val="24"/>
                <w:sz w:val="16"/>
                <w:szCs w:val="16"/>
              </w:rPr>
              <w:t xml:space="preserve">Match Funding: </w:t>
            </w:r>
            <w:r>
              <w:rPr>
                <w:rFonts w:ascii="Arial" w:hAnsi="Arial" w:cs="Arial"/>
                <w:kern w:val="24"/>
                <w:sz w:val="16"/>
                <w:szCs w:val="16"/>
              </w:rPr>
              <w:t>£40.3m</w:t>
            </w:r>
          </w:p>
          <w:p w:rsidR="00435BD1" w:rsidRDefault="00435BD1" w:rsidP="00435BD1"/>
        </w:tc>
      </w:tr>
      <w:tr w:rsidR="00435BD1">
        <w:trPr>
          <w:gridAfter w:val="1"/>
          <w:wAfter w:w="13" w:type="dxa"/>
        </w:trPr>
        <w:tc>
          <w:tcPr>
            <w:tcW w:w="8081" w:type="dxa"/>
            <w:vMerge/>
          </w:tcPr>
          <w:p w:rsidR="00435BD1" w:rsidRDefault="00435BD1" w:rsidP="00435BD1"/>
        </w:tc>
        <w:tc>
          <w:tcPr>
            <w:tcW w:w="2859" w:type="dxa"/>
          </w:tcPr>
          <w:p w:rsidR="00435BD1" w:rsidRPr="007154D8" w:rsidRDefault="00435BD1" w:rsidP="00435BD1">
            <w:pPr>
              <w:pStyle w:val="NormalWeb"/>
              <w:spacing w:before="0" w:beforeAutospacing="0" w:after="0" w:afterAutospacing="0"/>
              <w:jc w:val="both"/>
            </w:pPr>
            <w:r w:rsidRPr="007154D8">
              <w:rPr>
                <w:rFonts w:ascii="Arial" w:hAnsi="Arial" w:cs="Arial"/>
                <w:b/>
                <w:bCs/>
                <w:kern w:val="24"/>
                <w:sz w:val="16"/>
                <w:szCs w:val="16"/>
              </w:rPr>
              <w:t xml:space="preserve">Maxwell Centre: </w:t>
            </w:r>
            <w:r w:rsidRPr="007154D8">
              <w:rPr>
                <w:rFonts w:ascii="Arial" w:hAnsi="Arial" w:cs="Arial"/>
                <w:kern w:val="24"/>
                <w:sz w:val="16"/>
                <w:szCs w:val="16"/>
              </w:rPr>
              <w:t xml:space="preserve">The Maxwell Centre aims to be a focal point for collaboration between industry and the </w:t>
            </w:r>
            <w:r w:rsidR="00CA7805">
              <w:rPr>
                <w:rFonts w:ascii="Arial" w:hAnsi="Arial" w:cs="Arial"/>
                <w:kern w:val="24"/>
                <w:sz w:val="16"/>
                <w:szCs w:val="16"/>
              </w:rPr>
              <w:t>u</w:t>
            </w:r>
            <w:r w:rsidRPr="007154D8">
              <w:rPr>
                <w:rFonts w:ascii="Arial" w:hAnsi="Arial" w:cs="Arial"/>
                <w:kern w:val="24"/>
                <w:sz w:val="16"/>
                <w:szCs w:val="16"/>
              </w:rPr>
              <w:t xml:space="preserve">niversity’s research in the physical sciences. The building, located on the West Cambridge Science and Technology campus, aims to facilitate innovative research and allow research scientists from industry and the </w:t>
            </w:r>
            <w:r w:rsidR="00CA7805">
              <w:rPr>
                <w:rFonts w:ascii="Arial" w:hAnsi="Arial" w:cs="Arial"/>
                <w:kern w:val="24"/>
                <w:sz w:val="16"/>
                <w:szCs w:val="16"/>
              </w:rPr>
              <w:t>u</w:t>
            </w:r>
            <w:r w:rsidRPr="007154D8">
              <w:rPr>
                <w:rFonts w:ascii="Arial" w:hAnsi="Arial" w:cs="Arial"/>
                <w:kern w:val="24"/>
                <w:sz w:val="16"/>
                <w:szCs w:val="16"/>
              </w:rPr>
              <w:t xml:space="preserve">niversity to work alongside each other. </w:t>
            </w:r>
            <w:r w:rsidRPr="007154D8">
              <w:rPr>
                <w:rFonts w:ascii="Arial" w:hAnsi="Arial" w:cs="Arial"/>
                <w:b/>
                <w:bCs/>
                <w:kern w:val="24"/>
                <w:sz w:val="16"/>
                <w:szCs w:val="16"/>
              </w:rPr>
              <w:t xml:space="preserve">UKRPIF: </w:t>
            </w:r>
            <w:r w:rsidRPr="007154D8">
              <w:rPr>
                <w:rFonts w:ascii="Arial" w:hAnsi="Arial" w:cs="Arial"/>
                <w:kern w:val="24"/>
                <w:sz w:val="16"/>
                <w:szCs w:val="16"/>
              </w:rPr>
              <w:t>£21</w:t>
            </w:r>
            <w:r>
              <w:rPr>
                <w:rFonts w:ascii="Arial" w:hAnsi="Arial" w:cs="Arial"/>
                <w:kern w:val="24"/>
                <w:sz w:val="16"/>
                <w:szCs w:val="16"/>
              </w:rPr>
              <w:t>.0</w:t>
            </w:r>
            <w:r w:rsidRPr="007154D8">
              <w:rPr>
                <w:rFonts w:ascii="Arial" w:hAnsi="Arial" w:cs="Arial"/>
                <w:kern w:val="24"/>
                <w:sz w:val="16"/>
                <w:szCs w:val="16"/>
              </w:rPr>
              <w:t xml:space="preserve">m, </w:t>
            </w:r>
            <w:r w:rsidRPr="007154D8">
              <w:rPr>
                <w:rFonts w:ascii="Arial" w:hAnsi="Arial" w:cs="Arial"/>
                <w:b/>
                <w:bCs/>
                <w:kern w:val="24"/>
                <w:sz w:val="16"/>
                <w:szCs w:val="16"/>
              </w:rPr>
              <w:t xml:space="preserve">Match Funding: </w:t>
            </w:r>
            <w:r>
              <w:rPr>
                <w:rFonts w:ascii="Arial" w:hAnsi="Arial" w:cs="Arial"/>
                <w:kern w:val="24"/>
                <w:sz w:val="16"/>
                <w:szCs w:val="16"/>
              </w:rPr>
              <w:t>£42.1</w:t>
            </w:r>
            <w:r w:rsidRPr="007154D8">
              <w:rPr>
                <w:rFonts w:ascii="Arial" w:hAnsi="Arial" w:cs="Arial"/>
                <w:kern w:val="24"/>
                <w:sz w:val="16"/>
                <w:szCs w:val="16"/>
              </w:rPr>
              <w:t>m</w:t>
            </w:r>
          </w:p>
          <w:p w:rsidR="00435BD1" w:rsidRDefault="00435BD1" w:rsidP="00435BD1"/>
        </w:tc>
      </w:tr>
      <w:tr w:rsidR="00435BD1">
        <w:trPr>
          <w:gridAfter w:val="1"/>
          <w:wAfter w:w="13" w:type="dxa"/>
        </w:trPr>
        <w:tc>
          <w:tcPr>
            <w:tcW w:w="8081" w:type="dxa"/>
            <w:vMerge/>
          </w:tcPr>
          <w:p w:rsidR="00435BD1" w:rsidRDefault="00435BD1" w:rsidP="00435BD1"/>
        </w:tc>
        <w:tc>
          <w:tcPr>
            <w:tcW w:w="2859" w:type="dxa"/>
          </w:tcPr>
          <w:p w:rsidR="00435BD1" w:rsidRPr="003A709F" w:rsidRDefault="00435BD1" w:rsidP="00435BD1">
            <w:pPr>
              <w:pStyle w:val="NormalWeb"/>
              <w:spacing w:before="0" w:beforeAutospacing="0" w:after="0" w:afterAutospacing="0"/>
              <w:jc w:val="both"/>
            </w:pPr>
            <w:r w:rsidRPr="003A709F">
              <w:rPr>
                <w:rFonts w:ascii="Arial" w:hAnsi="Arial" w:cs="Arial"/>
                <w:b/>
                <w:bCs/>
                <w:kern w:val="24"/>
                <w:sz w:val="16"/>
                <w:szCs w:val="16"/>
              </w:rPr>
              <w:t xml:space="preserve">King’s College Cancer Centre: </w:t>
            </w:r>
            <w:r w:rsidRPr="003A709F">
              <w:rPr>
                <w:rFonts w:ascii="Arial" w:hAnsi="Arial" w:cs="Arial"/>
                <w:kern w:val="24"/>
                <w:sz w:val="16"/>
                <w:szCs w:val="16"/>
              </w:rPr>
              <w:t xml:space="preserve">The project forms part of the King’s Health Partners’ strategic plan, </w:t>
            </w:r>
            <w:r w:rsidR="00CA7805">
              <w:rPr>
                <w:rFonts w:ascii="Arial" w:hAnsi="Arial" w:cs="Arial"/>
                <w:kern w:val="24"/>
                <w:sz w:val="16"/>
                <w:szCs w:val="16"/>
              </w:rPr>
              <w:t>which</w:t>
            </w:r>
            <w:r w:rsidR="00CA7805" w:rsidRPr="003A709F">
              <w:rPr>
                <w:rFonts w:ascii="Arial" w:hAnsi="Arial" w:cs="Arial"/>
                <w:kern w:val="24"/>
                <w:sz w:val="16"/>
                <w:szCs w:val="16"/>
              </w:rPr>
              <w:t xml:space="preserve"> </w:t>
            </w:r>
            <w:r w:rsidRPr="003A709F">
              <w:rPr>
                <w:rFonts w:ascii="Arial" w:hAnsi="Arial" w:cs="Arial"/>
                <w:kern w:val="24"/>
                <w:sz w:val="16"/>
                <w:szCs w:val="16"/>
              </w:rPr>
              <w:t xml:space="preserve">identified the need for funding to establish the centre and hub by 2016. The </w:t>
            </w:r>
            <w:r w:rsidR="00CA7805">
              <w:rPr>
                <w:rFonts w:ascii="Arial" w:hAnsi="Arial" w:cs="Arial"/>
                <w:kern w:val="24"/>
                <w:sz w:val="16"/>
                <w:szCs w:val="16"/>
              </w:rPr>
              <w:t>c</w:t>
            </w:r>
            <w:r w:rsidRPr="003A709F">
              <w:rPr>
                <w:rFonts w:ascii="Arial" w:hAnsi="Arial" w:cs="Arial"/>
                <w:kern w:val="24"/>
                <w:sz w:val="16"/>
                <w:szCs w:val="16"/>
              </w:rPr>
              <w:t xml:space="preserve">entre is expected to benefit from other investments already made in the TSB Cell Therapy Catapult. </w:t>
            </w:r>
            <w:r w:rsidRPr="003A709F">
              <w:rPr>
                <w:rFonts w:ascii="Arial" w:hAnsi="Arial" w:cs="Arial"/>
                <w:b/>
                <w:bCs/>
                <w:kern w:val="24"/>
                <w:sz w:val="16"/>
                <w:szCs w:val="16"/>
              </w:rPr>
              <w:t xml:space="preserve">UKRPIF: </w:t>
            </w:r>
            <w:r w:rsidRPr="003A709F">
              <w:rPr>
                <w:rFonts w:ascii="Arial" w:hAnsi="Arial" w:cs="Arial"/>
                <w:kern w:val="24"/>
                <w:sz w:val="16"/>
                <w:szCs w:val="16"/>
              </w:rPr>
              <w:t>£15</w:t>
            </w:r>
            <w:r>
              <w:rPr>
                <w:rFonts w:ascii="Arial" w:hAnsi="Arial" w:cs="Arial"/>
                <w:kern w:val="24"/>
                <w:sz w:val="16"/>
                <w:szCs w:val="16"/>
              </w:rPr>
              <w:t>.0</w:t>
            </w:r>
            <w:r w:rsidRPr="003A709F">
              <w:rPr>
                <w:rFonts w:ascii="Arial" w:hAnsi="Arial" w:cs="Arial"/>
                <w:kern w:val="24"/>
                <w:sz w:val="16"/>
                <w:szCs w:val="16"/>
              </w:rPr>
              <w:t xml:space="preserve">m, </w:t>
            </w:r>
            <w:r w:rsidRPr="003A709F">
              <w:rPr>
                <w:rFonts w:ascii="Arial" w:hAnsi="Arial" w:cs="Arial"/>
                <w:b/>
                <w:bCs/>
                <w:kern w:val="24"/>
                <w:sz w:val="16"/>
                <w:szCs w:val="16"/>
              </w:rPr>
              <w:t xml:space="preserve">Match Funding: </w:t>
            </w:r>
            <w:r>
              <w:rPr>
                <w:rFonts w:ascii="Arial" w:hAnsi="Arial" w:cs="Arial"/>
                <w:kern w:val="24"/>
                <w:sz w:val="16"/>
                <w:szCs w:val="16"/>
              </w:rPr>
              <w:t>£32.6</w:t>
            </w:r>
            <w:r w:rsidRPr="003A709F">
              <w:rPr>
                <w:rFonts w:ascii="Arial" w:hAnsi="Arial" w:cs="Arial"/>
                <w:kern w:val="24"/>
                <w:sz w:val="16"/>
                <w:szCs w:val="16"/>
              </w:rPr>
              <w:t>m</w:t>
            </w:r>
          </w:p>
          <w:p w:rsidR="00435BD1" w:rsidRDefault="00435BD1" w:rsidP="00435BD1"/>
        </w:tc>
      </w:tr>
      <w:tr w:rsidR="00435BD1">
        <w:trPr>
          <w:gridAfter w:val="1"/>
          <w:wAfter w:w="13" w:type="dxa"/>
        </w:trPr>
        <w:tc>
          <w:tcPr>
            <w:tcW w:w="8081" w:type="dxa"/>
            <w:vMerge/>
          </w:tcPr>
          <w:p w:rsidR="00435BD1" w:rsidRDefault="00435BD1" w:rsidP="00435BD1"/>
        </w:tc>
        <w:tc>
          <w:tcPr>
            <w:tcW w:w="2859" w:type="dxa"/>
          </w:tcPr>
          <w:p w:rsidR="00435BD1" w:rsidRPr="003A709F" w:rsidRDefault="00435BD1" w:rsidP="00435BD1">
            <w:pPr>
              <w:pStyle w:val="NormalWeb"/>
              <w:spacing w:before="0" w:beforeAutospacing="0" w:after="0" w:afterAutospacing="0"/>
              <w:jc w:val="both"/>
            </w:pPr>
            <w:r w:rsidRPr="003A709F">
              <w:rPr>
                <w:rFonts w:ascii="Arial" w:hAnsi="Arial" w:cs="Arial"/>
                <w:b/>
                <w:bCs/>
                <w:kern w:val="24"/>
                <w:sz w:val="16"/>
                <w:szCs w:val="16"/>
              </w:rPr>
              <w:t xml:space="preserve">5G Innovation Centre: </w:t>
            </w:r>
            <w:r w:rsidRPr="003A709F">
              <w:rPr>
                <w:rFonts w:ascii="Arial" w:hAnsi="Arial" w:cs="Arial"/>
                <w:kern w:val="24"/>
                <w:sz w:val="16"/>
                <w:szCs w:val="16"/>
              </w:rPr>
              <w:t>The University of Surrey, working with industrial partners</w:t>
            </w:r>
            <w:r w:rsidR="00CA7805">
              <w:rPr>
                <w:rFonts w:ascii="Arial" w:hAnsi="Arial" w:cs="Arial"/>
                <w:kern w:val="24"/>
                <w:sz w:val="16"/>
                <w:szCs w:val="16"/>
              </w:rPr>
              <w:t>,</w:t>
            </w:r>
            <w:r w:rsidRPr="003A709F">
              <w:rPr>
                <w:rFonts w:ascii="Arial" w:hAnsi="Arial" w:cs="Arial"/>
                <w:kern w:val="24"/>
                <w:sz w:val="16"/>
                <w:szCs w:val="16"/>
              </w:rPr>
              <w:t xml:space="preserve"> ha</w:t>
            </w:r>
            <w:r w:rsidR="00CA7805">
              <w:rPr>
                <w:rFonts w:ascii="Arial" w:hAnsi="Arial" w:cs="Arial"/>
                <w:kern w:val="24"/>
                <w:sz w:val="16"/>
                <w:szCs w:val="16"/>
              </w:rPr>
              <w:t>s</w:t>
            </w:r>
            <w:r w:rsidRPr="003A709F">
              <w:rPr>
                <w:rFonts w:ascii="Arial" w:hAnsi="Arial" w:cs="Arial"/>
                <w:kern w:val="24"/>
                <w:sz w:val="16"/>
                <w:szCs w:val="16"/>
              </w:rPr>
              <w:t xml:space="preserve"> built an international centre for future generational mobile broadband, internet and communications research.</w:t>
            </w:r>
            <w:r w:rsidRPr="003A709F">
              <w:rPr>
                <w:rFonts w:ascii="Arial" w:hAnsi="Arial" w:cs="Arial"/>
                <w:b/>
                <w:bCs/>
                <w:kern w:val="24"/>
                <w:sz w:val="16"/>
                <w:szCs w:val="16"/>
              </w:rPr>
              <w:t xml:space="preserve"> UKRPIF: </w:t>
            </w:r>
            <w:r>
              <w:rPr>
                <w:rFonts w:ascii="Arial" w:hAnsi="Arial" w:cs="Arial"/>
                <w:kern w:val="24"/>
                <w:sz w:val="16"/>
                <w:szCs w:val="16"/>
              </w:rPr>
              <w:t>£11.6</w:t>
            </w:r>
            <w:r w:rsidRPr="003A709F">
              <w:rPr>
                <w:rFonts w:ascii="Arial" w:hAnsi="Arial" w:cs="Arial"/>
                <w:kern w:val="24"/>
                <w:sz w:val="16"/>
                <w:szCs w:val="16"/>
              </w:rPr>
              <w:t xml:space="preserve">m, </w:t>
            </w:r>
            <w:r w:rsidRPr="003A709F">
              <w:rPr>
                <w:rFonts w:ascii="Arial" w:hAnsi="Arial" w:cs="Arial"/>
                <w:b/>
                <w:bCs/>
                <w:kern w:val="24"/>
                <w:sz w:val="16"/>
                <w:szCs w:val="16"/>
              </w:rPr>
              <w:t>Match Funding: £</w:t>
            </w:r>
            <w:r>
              <w:rPr>
                <w:rFonts w:ascii="Arial" w:hAnsi="Arial" w:cs="Arial"/>
                <w:kern w:val="24"/>
                <w:sz w:val="16"/>
                <w:szCs w:val="16"/>
              </w:rPr>
              <w:t>23.3</w:t>
            </w:r>
            <w:r w:rsidRPr="003A709F">
              <w:rPr>
                <w:rFonts w:ascii="Arial" w:hAnsi="Arial" w:cs="Arial"/>
                <w:kern w:val="24"/>
                <w:sz w:val="16"/>
                <w:szCs w:val="16"/>
              </w:rPr>
              <w:t>m</w:t>
            </w:r>
          </w:p>
          <w:p w:rsidR="00435BD1" w:rsidRDefault="00435BD1" w:rsidP="00435BD1"/>
        </w:tc>
      </w:tr>
    </w:tbl>
    <w:p w:rsidR="00435BD1" w:rsidRDefault="00435BD1">
      <w:pPr>
        <w:rPr>
          <w:rFonts w:ascii="Arial" w:eastAsiaTheme="majorEastAsia" w:hAnsi="Arial" w:cs="Arial"/>
          <w:b/>
          <w:bCs/>
          <w:color w:val="CE665F"/>
          <w:sz w:val="28"/>
          <w:szCs w:val="40"/>
          <w:lang w:val="en-US"/>
        </w:rPr>
      </w:pPr>
      <w:r>
        <w:br w:type="page"/>
      </w:r>
    </w:p>
    <w:p w:rsidR="00B84942" w:rsidRPr="008C2E15" w:rsidRDefault="0048245C" w:rsidP="001254D8">
      <w:pPr>
        <w:pStyle w:val="Belmana2"/>
      </w:pPr>
      <w:bookmarkStart w:id="52" w:name="_Toc514831650"/>
      <w:r>
        <w:t>Co-investment matching the UKRPIF funding</w:t>
      </w:r>
      <w:bookmarkEnd w:id="51"/>
      <w:bookmarkEnd w:id="52"/>
    </w:p>
    <w:p w:rsidR="00B84942" w:rsidRDefault="00B84942" w:rsidP="005721FF">
      <w:pPr>
        <w:pStyle w:val="Belmananormal"/>
      </w:pPr>
      <w:r w:rsidRPr="008C2E15">
        <w:t>The monitoring data allows some analysis</w:t>
      </w:r>
      <w:r w:rsidR="007F455E">
        <w:t xml:space="preserve"> by type of co-investment.</w:t>
      </w:r>
      <w:r w:rsidRPr="008C2E15">
        <w:t xml:space="preserve"> A key measure is the ratio of co-investment to UKRPIF funding. </w:t>
      </w:r>
      <w:r>
        <w:t>This shows that</w:t>
      </w:r>
      <w:r w:rsidRPr="008C2E15">
        <w:t xml:space="preserve"> for every £1 of UKRPIF </w:t>
      </w:r>
      <w:r w:rsidR="00F34E37">
        <w:t>funding</w:t>
      </w:r>
      <w:r w:rsidRPr="008C2E15">
        <w:t>, a further £2.</w:t>
      </w:r>
      <w:r>
        <w:t>4</w:t>
      </w:r>
      <w:r w:rsidRPr="008C2E15">
        <w:t>5 is leveraged from co-investment partners. This does not include additional co-investment leverage</w:t>
      </w:r>
      <w:r w:rsidR="0048245C">
        <w:t>d during the post-award period.</w:t>
      </w:r>
    </w:p>
    <w:p w:rsidR="00B84942" w:rsidRPr="008C2E15" w:rsidRDefault="00B84942" w:rsidP="005721FF">
      <w:pPr>
        <w:pStyle w:val="Belmananormal"/>
      </w:pPr>
      <w:r w:rsidRPr="008C2E15">
        <w:t xml:space="preserve">Table </w:t>
      </w:r>
      <w:r w:rsidR="00735EA0">
        <w:t>5</w:t>
      </w:r>
      <w:r w:rsidRPr="008C2E15">
        <w:t xml:space="preserve"> summarises co-invest</w:t>
      </w:r>
      <w:r>
        <w:t>ment</w:t>
      </w:r>
      <w:r w:rsidRPr="008C2E15">
        <w:t xml:space="preserve"> by main source of funding. Projects where the main funding was derived from industrial partners had the largest amount </w:t>
      </w:r>
      <w:r>
        <w:t xml:space="preserve">of </w:t>
      </w:r>
      <w:r w:rsidRPr="008C2E15">
        <w:t>co-</w:t>
      </w:r>
      <w:r>
        <w:t>invest</w:t>
      </w:r>
      <w:r w:rsidRPr="008C2E15">
        <w:t>ment with £</w:t>
      </w:r>
      <w:r w:rsidR="007F455E">
        <w:t>982</w:t>
      </w:r>
      <w:r>
        <w:t>m</w:t>
      </w:r>
      <w:r w:rsidRPr="008C2E15">
        <w:t xml:space="preserve"> committed from private</w:t>
      </w:r>
      <w:r>
        <w:t xml:space="preserve"> industry</w:t>
      </w:r>
      <w:r w:rsidRPr="008C2E15">
        <w:t xml:space="preserve"> sources</w:t>
      </w:r>
      <w:r>
        <w:t>.</w:t>
      </w:r>
    </w:p>
    <w:p w:rsidR="00B84942" w:rsidRPr="008C2E15" w:rsidRDefault="00B84942" w:rsidP="005721FF">
      <w:pPr>
        <w:pStyle w:val="Belmananormal"/>
      </w:pPr>
      <w:r>
        <w:t xml:space="preserve">Charitable funding is a broad category, and it is useful to be able to identify mission-led co-investment from </w:t>
      </w:r>
      <w:r w:rsidR="004056B5">
        <w:t>philanthropic</w:t>
      </w:r>
      <w:r>
        <w:t xml:space="preserve"> support for research. </w:t>
      </w:r>
      <w:r w:rsidR="00027164">
        <w:t xml:space="preserve">Therefore, </w:t>
      </w:r>
      <w:r w:rsidR="000A217B">
        <w:t>Table 5</w:t>
      </w:r>
      <w:r>
        <w:t xml:space="preserve"> splits charitable funding</w:t>
      </w:r>
      <w:r w:rsidRPr="008C2E15">
        <w:t xml:space="preserve"> between “</w:t>
      </w:r>
      <w:proofErr w:type="gramStart"/>
      <w:r w:rsidRPr="008C2E15">
        <w:t>Charity</w:t>
      </w:r>
      <w:proofErr w:type="gramEnd"/>
      <w:r w:rsidRPr="008C2E15">
        <w:t xml:space="preserve">” and </w:t>
      </w:r>
      <w:r>
        <w:t xml:space="preserve">funding models </w:t>
      </w:r>
      <w:r w:rsidRPr="008C2E15">
        <w:t xml:space="preserve">where co-investment </w:t>
      </w:r>
      <w:r>
        <w:t xml:space="preserve">came </w:t>
      </w:r>
      <w:r w:rsidRPr="008C2E15">
        <w:t>from a philanthropist, usually with a strong, longer-term mission associated with the individual</w:t>
      </w:r>
      <w:r>
        <w:t xml:space="preserve"> </w:t>
      </w:r>
      <w:r w:rsidR="00D17F8B">
        <w:t>“</w:t>
      </w:r>
      <w:r w:rsidRPr="008C2E15">
        <w:t>Philanthropy”</w:t>
      </w:r>
      <w:r>
        <w:t>. Philanthropy</w:t>
      </w:r>
      <w:r w:rsidR="004056B5">
        <w:t xml:space="preserve"> also</w:t>
      </w:r>
      <w:r>
        <w:t xml:space="preserve"> includes endowments</w:t>
      </w:r>
      <w:r w:rsidRPr="008C2E15">
        <w:t>.</w:t>
      </w:r>
    </w:p>
    <w:tbl>
      <w:tblPr>
        <w:tblpPr w:leftFromText="180" w:rightFromText="180" w:vertAnchor="text" w:horzAnchor="margin" w:tblpXSpec="center" w:tblpY="68"/>
        <w:tblW w:w="9639" w:type="dxa"/>
        <w:tblLayout w:type="fixed"/>
        <w:tblLook w:val="04A0" w:firstRow="1" w:lastRow="0" w:firstColumn="1" w:lastColumn="0" w:noHBand="0" w:noVBand="1"/>
      </w:tblPr>
      <w:tblGrid>
        <w:gridCol w:w="1560"/>
        <w:gridCol w:w="1570"/>
        <w:gridCol w:w="1611"/>
        <w:gridCol w:w="1426"/>
        <w:gridCol w:w="1611"/>
        <w:gridCol w:w="1861"/>
      </w:tblGrid>
      <w:tr w:rsidR="00B84942" w:rsidRPr="003E74FB">
        <w:trPr>
          <w:trHeight w:val="80"/>
        </w:trPr>
        <w:tc>
          <w:tcPr>
            <w:tcW w:w="9639" w:type="dxa"/>
            <w:gridSpan w:val="6"/>
            <w:vAlign w:val="center"/>
          </w:tcPr>
          <w:p w:rsidR="00B84942" w:rsidRPr="003E74FB" w:rsidRDefault="00B84942" w:rsidP="00874033">
            <w:pPr>
              <w:pStyle w:val="BelmanaTableTitle"/>
              <w:rPr>
                <w:lang w:eastAsia="en-GB"/>
              </w:rPr>
            </w:pPr>
            <w:bookmarkStart w:id="53" w:name="_Toc499548090"/>
            <w:r w:rsidRPr="003E74FB">
              <w:t xml:space="preserve">Table </w:t>
            </w:r>
            <w:r w:rsidR="00735EA0">
              <w:t>5</w:t>
            </w:r>
            <w:r w:rsidRPr="003E74FB">
              <w:rPr>
                <w:lang w:eastAsia="en-GB"/>
              </w:rPr>
              <w:t>: Funding by Co-Investor Type</w:t>
            </w:r>
            <w:bookmarkEnd w:id="53"/>
          </w:p>
        </w:tc>
      </w:tr>
      <w:tr w:rsidR="00B84942" w:rsidRPr="003E74FB">
        <w:trPr>
          <w:trHeight w:val="80"/>
        </w:trPr>
        <w:tc>
          <w:tcPr>
            <w:tcW w:w="1560" w:type="dxa"/>
            <w:tcBorders>
              <w:left w:val="single" w:sz="4" w:space="0" w:color="993366"/>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Co-investor Type</w:t>
            </w:r>
          </w:p>
        </w:tc>
        <w:tc>
          <w:tcPr>
            <w:tcW w:w="1570"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UKRPIF (£m)</w:t>
            </w:r>
          </w:p>
        </w:tc>
        <w:tc>
          <w:tcPr>
            <w:tcW w:w="1611"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Co-investment (£m)</w:t>
            </w:r>
          </w:p>
        </w:tc>
        <w:tc>
          <w:tcPr>
            <w:tcW w:w="1426"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Total</w:t>
            </w:r>
          </w:p>
        </w:tc>
        <w:tc>
          <w:tcPr>
            <w:tcW w:w="1611" w:type="dxa"/>
            <w:tcBorders>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UKRPIF </w:t>
            </w:r>
            <w:r w:rsidR="000A217B">
              <w:rPr>
                <w:rFonts w:ascii="Arial" w:eastAsia="Times New Roman" w:hAnsi="Arial" w:cs="Arial"/>
                <w:b/>
                <w:color w:val="FFFFFF" w:themeColor="background1"/>
                <w:szCs w:val="24"/>
                <w:lang w:eastAsia="en-GB"/>
              </w:rPr>
              <w:t>F</w:t>
            </w:r>
            <w:r w:rsidRPr="00513FAC">
              <w:rPr>
                <w:rFonts w:ascii="Arial" w:eastAsia="Times New Roman" w:hAnsi="Arial" w:cs="Arial"/>
                <w:b/>
                <w:color w:val="FFFFFF" w:themeColor="background1"/>
                <w:szCs w:val="24"/>
                <w:lang w:eastAsia="en-GB"/>
              </w:rPr>
              <w:t>unding</w:t>
            </w:r>
            <w:r w:rsidR="005B1373">
              <w:rPr>
                <w:rFonts w:ascii="Arial" w:eastAsia="Times New Roman" w:hAnsi="Arial" w:cs="Arial"/>
                <w:b/>
                <w:color w:val="FFFFFF" w:themeColor="background1"/>
                <w:szCs w:val="24"/>
                <w:lang w:eastAsia="en-GB"/>
              </w:rPr>
              <w:t xml:space="preserve"> (%)</w:t>
            </w:r>
          </w:p>
        </w:tc>
        <w:tc>
          <w:tcPr>
            <w:tcW w:w="1861" w:type="dxa"/>
            <w:tcBorders>
              <w:left w:val="single" w:sz="4" w:space="0" w:color="FFFFFF" w:themeColor="background1"/>
              <w:bottom w:val="single" w:sz="4" w:space="0" w:color="993365"/>
              <w:right w:val="single" w:sz="4" w:space="0" w:color="993366"/>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Co-investment </w:t>
            </w:r>
            <w:r w:rsidR="000A217B">
              <w:rPr>
                <w:rFonts w:ascii="Arial" w:eastAsia="Times New Roman" w:hAnsi="Arial" w:cs="Arial"/>
                <w:b/>
                <w:color w:val="FFFFFF" w:themeColor="background1"/>
                <w:szCs w:val="24"/>
                <w:lang w:eastAsia="en-GB"/>
              </w:rPr>
              <w:t>F</w:t>
            </w:r>
            <w:r w:rsidRPr="00513FAC">
              <w:rPr>
                <w:rFonts w:ascii="Arial" w:eastAsia="Times New Roman" w:hAnsi="Arial" w:cs="Arial"/>
                <w:b/>
                <w:color w:val="FFFFFF" w:themeColor="background1"/>
                <w:szCs w:val="24"/>
                <w:lang w:eastAsia="en-GB"/>
              </w:rPr>
              <w:t>unding</w:t>
            </w:r>
            <w:r w:rsidR="005B1373">
              <w:rPr>
                <w:rFonts w:ascii="Arial" w:eastAsia="Times New Roman" w:hAnsi="Arial" w:cs="Arial"/>
                <w:b/>
                <w:color w:val="FFFFFF" w:themeColor="background1"/>
                <w:szCs w:val="24"/>
                <w:lang w:eastAsia="en-GB"/>
              </w:rPr>
              <w:t xml:space="preserve"> (%)</w:t>
            </w:r>
          </w:p>
        </w:tc>
      </w:tr>
      <w:tr w:rsidR="00B84942" w:rsidRPr="003E74FB">
        <w:trPr>
          <w:trHeight w:val="360"/>
        </w:trPr>
        <w:tc>
          <w:tcPr>
            <w:tcW w:w="1560" w:type="dxa"/>
            <w:tcBorders>
              <w:top w:val="single" w:sz="4" w:space="0" w:color="993365"/>
              <w:left w:val="single" w:sz="4" w:space="0" w:color="993366"/>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hAnsi="Arial" w:cs="Arial"/>
                <w:sz w:val="20"/>
                <w:szCs w:val="20"/>
              </w:rPr>
              <w:t>Philanthropy</w:t>
            </w:r>
          </w:p>
        </w:tc>
        <w:tc>
          <w:tcPr>
            <w:tcW w:w="1570" w:type="dxa"/>
            <w:tcBorders>
              <w:top w:val="single" w:sz="4" w:space="0" w:color="993365"/>
              <w:left w:val="nil"/>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176.3</w:t>
            </w:r>
          </w:p>
        </w:tc>
        <w:tc>
          <w:tcPr>
            <w:tcW w:w="1611" w:type="dxa"/>
            <w:tcBorders>
              <w:top w:val="single" w:sz="4" w:space="0" w:color="993365"/>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41</w:t>
            </w:r>
            <w:r>
              <w:rPr>
                <w:rFonts w:ascii="Arial" w:eastAsia="Times New Roman" w:hAnsi="Arial" w:cs="Arial"/>
                <w:color w:val="000000"/>
                <w:sz w:val="20"/>
                <w:szCs w:val="20"/>
                <w:lang w:eastAsia="en-GB"/>
              </w:rPr>
              <w:t>5</w:t>
            </w:r>
            <w:r w:rsidRPr="003E74FB">
              <w:rPr>
                <w:rFonts w:ascii="Arial" w:eastAsia="Times New Roman" w:hAnsi="Arial" w:cs="Arial"/>
                <w:color w:val="000000"/>
                <w:sz w:val="20"/>
                <w:szCs w:val="20"/>
                <w:lang w:eastAsia="en-GB"/>
              </w:rPr>
              <w:t>.8</w:t>
            </w:r>
          </w:p>
        </w:tc>
        <w:tc>
          <w:tcPr>
            <w:tcW w:w="1426" w:type="dxa"/>
            <w:tcBorders>
              <w:top w:val="single" w:sz="4" w:space="0" w:color="993365"/>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£5</w:t>
            </w:r>
            <w:r>
              <w:rPr>
                <w:rFonts w:ascii="Arial" w:eastAsia="Times New Roman" w:hAnsi="Arial" w:cs="Arial"/>
                <w:color w:val="000000"/>
                <w:sz w:val="20"/>
                <w:szCs w:val="20"/>
                <w:lang w:eastAsia="en-GB"/>
              </w:rPr>
              <w:t>92</w:t>
            </w:r>
            <w:r w:rsidRPr="003E74FB">
              <w:rPr>
                <w:rFonts w:ascii="Arial" w:eastAsia="Times New Roman" w:hAnsi="Arial" w:cs="Arial"/>
                <w:color w:val="000000"/>
                <w:sz w:val="20"/>
                <w:szCs w:val="20"/>
                <w:lang w:eastAsia="en-GB"/>
              </w:rPr>
              <w:t>.1</w:t>
            </w:r>
          </w:p>
        </w:tc>
        <w:tc>
          <w:tcPr>
            <w:tcW w:w="1611" w:type="dxa"/>
            <w:tcBorders>
              <w:top w:val="single" w:sz="4" w:space="0" w:color="993365"/>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30%</w:t>
            </w:r>
          </w:p>
        </w:tc>
        <w:tc>
          <w:tcPr>
            <w:tcW w:w="1861" w:type="dxa"/>
            <w:tcBorders>
              <w:top w:val="single" w:sz="4" w:space="0" w:color="993365"/>
              <w:left w:val="nil"/>
              <w:right w:val="single" w:sz="4" w:space="0" w:color="993366"/>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70%</w:t>
            </w:r>
          </w:p>
        </w:tc>
      </w:tr>
      <w:tr w:rsidR="00B84942" w:rsidRPr="003E74FB">
        <w:trPr>
          <w:trHeight w:val="360"/>
        </w:trPr>
        <w:tc>
          <w:tcPr>
            <w:tcW w:w="1560" w:type="dxa"/>
            <w:tcBorders>
              <w:top w:val="nil"/>
              <w:left w:val="single" w:sz="4" w:space="0" w:color="993366"/>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hAnsi="Arial" w:cs="Arial"/>
                <w:sz w:val="20"/>
                <w:szCs w:val="20"/>
              </w:rPr>
              <w:t>Industry</w:t>
            </w:r>
          </w:p>
        </w:tc>
        <w:tc>
          <w:tcPr>
            <w:tcW w:w="1570" w:type="dxa"/>
            <w:tcBorders>
              <w:top w:val="nil"/>
              <w:left w:val="nil"/>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372.5</w:t>
            </w:r>
          </w:p>
        </w:tc>
        <w:tc>
          <w:tcPr>
            <w:tcW w:w="1611" w:type="dxa"/>
            <w:tcBorders>
              <w:top w:val="nil"/>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9</w:t>
            </w:r>
            <w:r>
              <w:rPr>
                <w:rFonts w:ascii="Arial" w:eastAsia="Times New Roman" w:hAnsi="Arial" w:cs="Arial"/>
                <w:color w:val="000000"/>
                <w:sz w:val="20"/>
                <w:szCs w:val="20"/>
                <w:lang w:eastAsia="en-GB"/>
              </w:rPr>
              <w:t>81</w:t>
            </w:r>
            <w:r w:rsidRPr="003E74F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8</w:t>
            </w:r>
          </w:p>
        </w:tc>
        <w:tc>
          <w:tcPr>
            <w:tcW w:w="1426" w:type="dxa"/>
            <w:tcBorders>
              <w:top w:val="nil"/>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£1,3</w:t>
            </w:r>
            <w:r>
              <w:rPr>
                <w:rFonts w:ascii="Arial" w:eastAsia="Times New Roman" w:hAnsi="Arial" w:cs="Arial"/>
                <w:color w:val="000000"/>
                <w:sz w:val="20"/>
                <w:szCs w:val="20"/>
                <w:lang w:eastAsia="en-GB"/>
              </w:rPr>
              <w:t>54</w:t>
            </w:r>
            <w:r w:rsidRPr="003E74F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3</w:t>
            </w:r>
          </w:p>
        </w:tc>
        <w:tc>
          <w:tcPr>
            <w:tcW w:w="1611" w:type="dxa"/>
            <w:tcBorders>
              <w:top w:val="nil"/>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28%</w:t>
            </w:r>
          </w:p>
        </w:tc>
        <w:tc>
          <w:tcPr>
            <w:tcW w:w="1861" w:type="dxa"/>
            <w:tcBorders>
              <w:top w:val="nil"/>
              <w:left w:val="nil"/>
              <w:right w:val="single" w:sz="4" w:space="0" w:color="993366"/>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72%</w:t>
            </w:r>
          </w:p>
        </w:tc>
      </w:tr>
      <w:tr w:rsidR="00B84942" w:rsidRPr="003E74FB">
        <w:trPr>
          <w:trHeight w:val="360"/>
        </w:trPr>
        <w:tc>
          <w:tcPr>
            <w:tcW w:w="1560" w:type="dxa"/>
            <w:tcBorders>
              <w:top w:val="nil"/>
              <w:left w:val="single" w:sz="4" w:space="0" w:color="993366"/>
              <w:right w:val="nil"/>
            </w:tcBorders>
            <w:noWrap/>
            <w:vAlign w:val="center"/>
          </w:tcPr>
          <w:p w:rsidR="00B84942" w:rsidRPr="003E74FB" w:rsidRDefault="00B84942" w:rsidP="00506E38">
            <w:pPr>
              <w:ind w:left="37"/>
              <w:jc w:val="center"/>
              <w:rPr>
                <w:rFonts w:ascii="Arial" w:eastAsia="Times New Roman" w:hAnsi="Arial" w:cs="Arial"/>
                <w:color w:val="000000"/>
                <w:sz w:val="20"/>
                <w:szCs w:val="20"/>
                <w:lang w:eastAsia="en-GB"/>
              </w:rPr>
            </w:pPr>
            <w:r w:rsidRPr="003E74FB">
              <w:rPr>
                <w:rFonts w:ascii="Arial" w:hAnsi="Arial" w:cs="Arial"/>
                <w:sz w:val="20"/>
                <w:szCs w:val="20"/>
              </w:rPr>
              <w:t>Charity</w:t>
            </w:r>
          </w:p>
        </w:tc>
        <w:tc>
          <w:tcPr>
            <w:tcW w:w="1570" w:type="dxa"/>
            <w:tcBorders>
              <w:top w:val="nil"/>
              <w:left w:val="nil"/>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132.4</w:t>
            </w:r>
          </w:p>
        </w:tc>
        <w:tc>
          <w:tcPr>
            <w:tcW w:w="1611" w:type="dxa"/>
            <w:tcBorders>
              <w:top w:val="nil"/>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32</w:t>
            </w:r>
            <w:r>
              <w:rPr>
                <w:rFonts w:ascii="Arial" w:eastAsia="Times New Roman" w:hAnsi="Arial" w:cs="Arial"/>
                <w:color w:val="000000"/>
                <w:sz w:val="20"/>
                <w:szCs w:val="20"/>
                <w:lang w:eastAsia="en-GB"/>
              </w:rPr>
              <w:t>8</w:t>
            </w:r>
            <w:r w:rsidRPr="003E74F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6</w:t>
            </w:r>
          </w:p>
        </w:tc>
        <w:tc>
          <w:tcPr>
            <w:tcW w:w="1426" w:type="dxa"/>
            <w:tcBorders>
              <w:top w:val="nil"/>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61</w:t>
            </w:r>
            <w:r w:rsidRPr="003E74F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0</w:t>
            </w:r>
          </w:p>
        </w:tc>
        <w:tc>
          <w:tcPr>
            <w:tcW w:w="1611" w:type="dxa"/>
            <w:tcBorders>
              <w:top w:val="nil"/>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29%</w:t>
            </w:r>
          </w:p>
        </w:tc>
        <w:tc>
          <w:tcPr>
            <w:tcW w:w="1861" w:type="dxa"/>
            <w:tcBorders>
              <w:top w:val="nil"/>
              <w:left w:val="nil"/>
              <w:right w:val="single" w:sz="4" w:space="0" w:color="993366"/>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71%</w:t>
            </w:r>
          </w:p>
        </w:tc>
      </w:tr>
      <w:tr w:rsidR="00B84942" w:rsidRPr="003E74FB">
        <w:trPr>
          <w:trHeight w:val="360"/>
        </w:trPr>
        <w:tc>
          <w:tcPr>
            <w:tcW w:w="1560" w:type="dxa"/>
            <w:tcBorders>
              <w:top w:val="single" w:sz="4" w:space="0" w:color="808080" w:themeColor="background1" w:themeShade="80"/>
              <w:left w:val="single" w:sz="4" w:space="0" w:color="993366"/>
              <w:bottom w:val="single" w:sz="4" w:space="0" w:color="993365"/>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hAnsi="Arial" w:cs="Arial"/>
                <w:sz w:val="20"/>
                <w:szCs w:val="20"/>
              </w:rPr>
              <w:t>Total</w:t>
            </w:r>
          </w:p>
        </w:tc>
        <w:tc>
          <w:tcPr>
            <w:tcW w:w="1570" w:type="dxa"/>
            <w:tcBorders>
              <w:top w:val="single" w:sz="4" w:space="0" w:color="808080" w:themeColor="background1" w:themeShade="80"/>
              <w:left w:val="nil"/>
              <w:bottom w:val="single" w:sz="4" w:space="0" w:color="993365"/>
              <w:right w:val="nil"/>
            </w:tcBorders>
            <w:noWrap/>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681</w:t>
            </w:r>
          </w:p>
        </w:tc>
        <w:tc>
          <w:tcPr>
            <w:tcW w:w="1611" w:type="dxa"/>
            <w:tcBorders>
              <w:top w:val="single" w:sz="4" w:space="0" w:color="808080" w:themeColor="background1" w:themeShade="80"/>
              <w:left w:val="nil"/>
              <w:bottom w:val="single" w:sz="4" w:space="0" w:color="993365"/>
              <w:right w:val="nil"/>
            </w:tcBorders>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1</w:t>
            </w:r>
            <w:r>
              <w:rPr>
                <w:rFonts w:ascii="Arial" w:hAnsi="Arial" w:cs="Arial"/>
                <w:sz w:val="20"/>
                <w:szCs w:val="20"/>
              </w:rPr>
              <w:t>,726.2</w:t>
            </w:r>
          </w:p>
        </w:tc>
        <w:tc>
          <w:tcPr>
            <w:tcW w:w="1426" w:type="dxa"/>
            <w:tcBorders>
              <w:top w:val="single" w:sz="4" w:space="0" w:color="808080" w:themeColor="background1" w:themeShade="80"/>
              <w:left w:val="nil"/>
              <w:bottom w:val="single" w:sz="4" w:space="0" w:color="993365"/>
              <w:right w:val="single" w:sz="4" w:space="0" w:color="FFFFFF" w:themeColor="background1"/>
            </w:tcBorders>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2</w:t>
            </w:r>
            <w:r>
              <w:rPr>
                <w:rFonts w:ascii="Arial" w:hAnsi="Arial" w:cs="Arial"/>
                <w:sz w:val="20"/>
                <w:szCs w:val="20"/>
              </w:rPr>
              <w:t>,407.4</w:t>
            </w:r>
          </w:p>
        </w:tc>
        <w:tc>
          <w:tcPr>
            <w:tcW w:w="1611" w:type="dxa"/>
            <w:tcBorders>
              <w:top w:val="single" w:sz="4" w:space="0" w:color="808080" w:themeColor="background1" w:themeShade="80"/>
              <w:left w:val="single" w:sz="4" w:space="0" w:color="FFFFFF" w:themeColor="background1"/>
              <w:bottom w:val="single" w:sz="4" w:space="0" w:color="993365"/>
              <w:right w:val="nil"/>
            </w:tcBorders>
            <w:vAlign w:val="center"/>
          </w:tcPr>
          <w:p w:rsidR="00B84942" w:rsidRPr="003E74FB" w:rsidRDefault="00B84942" w:rsidP="00506E38">
            <w:pPr>
              <w:jc w:val="center"/>
              <w:rPr>
                <w:rFonts w:ascii="Arial" w:hAnsi="Arial" w:cs="Arial"/>
                <w:sz w:val="20"/>
                <w:szCs w:val="20"/>
              </w:rPr>
            </w:pPr>
          </w:p>
        </w:tc>
        <w:tc>
          <w:tcPr>
            <w:tcW w:w="1861" w:type="dxa"/>
            <w:tcBorders>
              <w:top w:val="single" w:sz="4" w:space="0" w:color="808080" w:themeColor="background1" w:themeShade="80"/>
              <w:left w:val="nil"/>
              <w:bottom w:val="single" w:sz="4" w:space="0" w:color="993365"/>
              <w:right w:val="single" w:sz="4" w:space="0" w:color="993366"/>
            </w:tcBorders>
            <w:vAlign w:val="center"/>
          </w:tcPr>
          <w:p w:rsidR="00B84942" w:rsidRPr="003E74FB" w:rsidRDefault="00B84942" w:rsidP="00506E38">
            <w:pPr>
              <w:jc w:val="center"/>
              <w:rPr>
                <w:rFonts w:ascii="Arial" w:hAnsi="Arial" w:cs="Arial"/>
                <w:sz w:val="20"/>
                <w:szCs w:val="20"/>
              </w:rPr>
            </w:pPr>
          </w:p>
        </w:tc>
      </w:tr>
      <w:tr w:rsidR="00B84942" w:rsidRPr="003E74FB">
        <w:trPr>
          <w:trHeight w:val="67"/>
        </w:trPr>
        <w:tc>
          <w:tcPr>
            <w:tcW w:w="1560" w:type="dxa"/>
            <w:tcBorders>
              <w:top w:val="single" w:sz="4" w:space="0" w:color="993365"/>
              <w:left w:val="single" w:sz="4" w:space="0" w:color="993366"/>
              <w:bottom w:val="single" w:sz="4" w:space="0" w:color="993365"/>
              <w:right w:val="single" w:sz="4" w:space="0" w:color="FFFFFF" w:themeColor="background1"/>
            </w:tcBorders>
            <w:shd w:val="clear" w:color="auto" w:fill="993365"/>
            <w:noWrap/>
            <w:vAlign w:val="center"/>
          </w:tcPr>
          <w:p w:rsidR="00B84942" w:rsidRPr="00513FAC" w:rsidRDefault="00B84942" w:rsidP="00506E38">
            <w:pPr>
              <w:jc w:val="center"/>
              <w:rPr>
                <w:rFonts w:ascii="Arial" w:hAnsi="Arial" w:cs="Arial"/>
                <w:b/>
                <w:color w:val="FFFFFF" w:themeColor="background1"/>
                <w:szCs w:val="24"/>
              </w:rPr>
            </w:pPr>
          </w:p>
        </w:tc>
        <w:tc>
          <w:tcPr>
            <w:tcW w:w="1570"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noWrap/>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 xml:space="preserve">Count of </w:t>
            </w:r>
            <w:r w:rsidR="000A217B">
              <w:rPr>
                <w:rFonts w:ascii="Arial" w:hAnsi="Arial" w:cs="Arial"/>
                <w:b/>
                <w:color w:val="FFFFFF" w:themeColor="background1"/>
                <w:szCs w:val="24"/>
              </w:rPr>
              <w:t>P</w:t>
            </w:r>
            <w:r w:rsidRPr="00513FAC">
              <w:rPr>
                <w:rFonts w:ascii="Arial" w:hAnsi="Arial" w:cs="Arial"/>
                <w:b/>
                <w:color w:val="FFFFFF" w:themeColor="background1"/>
                <w:szCs w:val="24"/>
              </w:rPr>
              <w:t>rojects</w:t>
            </w:r>
          </w:p>
        </w:tc>
        <w:tc>
          <w:tcPr>
            <w:tcW w:w="1611"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Count Share</w:t>
            </w:r>
          </w:p>
        </w:tc>
        <w:tc>
          <w:tcPr>
            <w:tcW w:w="1426"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hAnsi="Arial" w:cs="Arial"/>
                <w:b/>
                <w:color w:val="FFFFFF" w:themeColor="background1"/>
                <w:szCs w:val="24"/>
              </w:rPr>
            </w:pPr>
            <w:r w:rsidRPr="00513FAC">
              <w:rPr>
                <w:rFonts w:ascii="Arial" w:hAnsi="Arial" w:cs="Arial"/>
                <w:b/>
                <w:color w:val="FFFFFF" w:themeColor="background1"/>
                <w:szCs w:val="24"/>
              </w:rPr>
              <w:t>UKRPIF Mean Value (£m)</w:t>
            </w:r>
          </w:p>
        </w:tc>
        <w:tc>
          <w:tcPr>
            <w:tcW w:w="1611"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 xml:space="preserve">Co-investment Mean </w:t>
            </w:r>
            <w:r w:rsidR="000A217B">
              <w:rPr>
                <w:rFonts w:ascii="Arial" w:eastAsia="Times New Roman" w:hAnsi="Arial" w:cs="Arial"/>
                <w:b/>
                <w:color w:val="FFFFFF" w:themeColor="background1"/>
                <w:szCs w:val="24"/>
                <w:lang w:eastAsia="en-GB"/>
              </w:rPr>
              <w:t>V</w:t>
            </w:r>
            <w:r w:rsidRPr="00513FAC">
              <w:rPr>
                <w:rFonts w:ascii="Arial" w:eastAsia="Times New Roman" w:hAnsi="Arial" w:cs="Arial"/>
                <w:b/>
                <w:color w:val="FFFFFF" w:themeColor="background1"/>
                <w:szCs w:val="24"/>
                <w:lang w:eastAsia="en-GB"/>
              </w:rPr>
              <w:t>alue (£m)</w:t>
            </w:r>
          </w:p>
        </w:tc>
        <w:tc>
          <w:tcPr>
            <w:tcW w:w="1861" w:type="dxa"/>
            <w:tcBorders>
              <w:top w:val="single" w:sz="4" w:space="0" w:color="993365"/>
              <w:left w:val="single" w:sz="4" w:space="0" w:color="FFFFFF" w:themeColor="background1"/>
              <w:bottom w:val="single" w:sz="4" w:space="0" w:color="993365"/>
              <w:right w:val="single" w:sz="4" w:space="0" w:color="993366"/>
            </w:tcBorders>
            <w:shd w:val="clear" w:color="auto" w:fill="993365"/>
            <w:vAlign w:val="center"/>
          </w:tcPr>
          <w:p w:rsidR="00B84942" w:rsidRPr="00513FAC" w:rsidRDefault="00B84942" w:rsidP="00506E38">
            <w:pPr>
              <w:jc w:val="center"/>
              <w:rPr>
                <w:rFonts w:ascii="Arial" w:eastAsia="Times New Roman" w:hAnsi="Arial" w:cs="Arial"/>
                <w:b/>
                <w:color w:val="FFFFFF" w:themeColor="background1"/>
                <w:szCs w:val="24"/>
                <w:lang w:eastAsia="en-GB"/>
              </w:rPr>
            </w:pPr>
            <w:r w:rsidRPr="00513FAC">
              <w:rPr>
                <w:rFonts w:ascii="Arial" w:eastAsia="Times New Roman" w:hAnsi="Arial" w:cs="Arial"/>
                <w:b/>
                <w:color w:val="FFFFFF" w:themeColor="background1"/>
                <w:szCs w:val="24"/>
                <w:lang w:eastAsia="en-GB"/>
              </w:rPr>
              <w:t>Co-investment to UKRPIF Ratio Mean</w:t>
            </w:r>
          </w:p>
        </w:tc>
      </w:tr>
      <w:tr w:rsidR="00B84942" w:rsidRPr="003E74FB">
        <w:trPr>
          <w:trHeight w:val="360"/>
        </w:trPr>
        <w:tc>
          <w:tcPr>
            <w:tcW w:w="1560" w:type="dxa"/>
            <w:tcBorders>
              <w:top w:val="single" w:sz="4" w:space="0" w:color="993365"/>
              <w:left w:val="single" w:sz="4" w:space="0" w:color="993366"/>
              <w:right w:val="nil"/>
            </w:tcBorders>
            <w:noWrap/>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Philanthropy</w:t>
            </w:r>
          </w:p>
        </w:tc>
        <w:tc>
          <w:tcPr>
            <w:tcW w:w="1570" w:type="dxa"/>
            <w:tcBorders>
              <w:top w:val="single" w:sz="4" w:space="0" w:color="993365"/>
              <w:left w:val="nil"/>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11</w:t>
            </w:r>
          </w:p>
        </w:tc>
        <w:tc>
          <w:tcPr>
            <w:tcW w:w="1611" w:type="dxa"/>
            <w:tcBorders>
              <w:top w:val="single" w:sz="4" w:space="0" w:color="993365"/>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26%</w:t>
            </w:r>
          </w:p>
        </w:tc>
        <w:tc>
          <w:tcPr>
            <w:tcW w:w="1426" w:type="dxa"/>
            <w:tcBorders>
              <w:top w:val="single" w:sz="4" w:space="0" w:color="993365"/>
              <w:left w:val="nil"/>
              <w:right w:val="single" w:sz="4" w:space="0" w:color="FFFFFF" w:themeColor="background1"/>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16.0</w:t>
            </w:r>
          </w:p>
        </w:tc>
        <w:tc>
          <w:tcPr>
            <w:tcW w:w="1611" w:type="dxa"/>
            <w:tcBorders>
              <w:top w:val="single" w:sz="4" w:space="0" w:color="993365"/>
              <w:left w:val="single" w:sz="4" w:space="0" w:color="FFFFFF" w:themeColor="background1"/>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37.5</w:t>
            </w:r>
          </w:p>
        </w:tc>
        <w:tc>
          <w:tcPr>
            <w:tcW w:w="1861" w:type="dxa"/>
            <w:tcBorders>
              <w:top w:val="single" w:sz="4" w:space="0" w:color="993365"/>
              <w:left w:val="nil"/>
              <w:right w:val="single" w:sz="4" w:space="0" w:color="993366"/>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2.4</w:t>
            </w:r>
            <w:r>
              <w:rPr>
                <w:rFonts w:ascii="Arial" w:eastAsia="Times New Roman" w:hAnsi="Arial" w:cs="Arial"/>
                <w:color w:val="000000"/>
                <w:sz w:val="20"/>
                <w:szCs w:val="20"/>
                <w:lang w:eastAsia="en-GB"/>
              </w:rPr>
              <w:t>1</w:t>
            </w:r>
          </w:p>
        </w:tc>
      </w:tr>
      <w:tr w:rsidR="00B84942" w:rsidRPr="003E74FB">
        <w:trPr>
          <w:trHeight w:val="360"/>
        </w:trPr>
        <w:tc>
          <w:tcPr>
            <w:tcW w:w="1560" w:type="dxa"/>
            <w:tcBorders>
              <w:left w:val="single" w:sz="4" w:space="0" w:color="993366"/>
              <w:right w:val="nil"/>
            </w:tcBorders>
            <w:noWrap/>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Industry</w:t>
            </w:r>
          </w:p>
        </w:tc>
        <w:tc>
          <w:tcPr>
            <w:tcW w:w="1570" w:type="dxa"/>
            <w:tcBorders>
              <w:left w:val="nil"/>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24</w:t>
            </w:r>
          </w:p>
        </w:tc>
        <w:tc>
          <w:tcPr>
            <w:tcW w:w="1611" w:type="dxa"/>
            <w:tcBorders>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56%</w:t>
            </w:r>
          </w:p>
        </w:tc>
        <w:tc>
          <w:tcPr>
            <w:tcW w:w="1426" w:type="dxa"/>
            <w:tcBorders>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15.5</w:t>
            </w:r>
          </w:p>
        </w:tc>
        <w:tc>
          <w:tcPr>
            <w:tcW w:w="1611" w:type="dxa"/>
            <w:tcBorders>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Pr>
                <w:rFonts w:ascii="Arial" w:eastAsia="Times New Roman" w:hAnsi="Arial" w:cs="Arial"/>
                <w:color w:val="000000"/>
                <w:sz w:val="20"/>
                <w:szCs w:val="20"/>
                <w:lang w:eastAsia="en-GB"/>
              </w:rPr>
              <w:t>40</w:t>
            </w:r>
            <w:r w:rsidRPr="003E74F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9</w:t>
            </w:r>
          </w:p>
        </w:tc>
        <w:tc>
          <w:tcPr>
            <w:tcW w:w="1861" w:type="dxa"/>
            <w:tcBorders>
              <w:left w:val="nil"/>
              <w:right w:val="single" w:sz="4" w:space="0" w:color="993366"/>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2.</w:t>
            </w:r>
            <w:r>
              <w:rPr>
                <w:rFonts w:ascii="Arial" w:eastAsia="Times New Roman" w:hAnsi="Arial" w:cs="Arial"/>
                <w:color w:val="000000"/>
                <w:sz w:val="20"/>
                <w:szCs w:val="20"/>
                <w:lang w:eastAsia="en-GB"/>
              </w:rPr>
              <w:t>73</w:t>
            </w:r>
          </w:p>
        </w:tc>
      </w:tr>
      <w:tr w:rsidR="00B84942" w:rsidRPr="003E74FB">
        <w:trPr>
          <w:trHeight w:val="360"/>
        </w:trPr>
        <w:tc>
          <w:tcPr>
            <w:tcW w:w="1560" w:type="dxa"/>
            <w:tcBorders>
              <w:left w:val="single" w:sz="4" w:space="0" w:color="993366"/>
              <w:right w:val="nil"/>
            </w:tcBorders>
            <w:noWrap/>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Charity</w:t>
            </w:r>
          </w:p>
        </w:tc>
        <w:tc>
          <w:tcPr>
            <w:tcW w:w="1570" w:type="dxa"/>
            <w:tcBorders>
              <w:left w:val="nil"/>
              <w:right w:val="nil"/>
            </w:tcBorders>
            <w:noWrap/>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8</w:t>
            </w:r>
          </w:p>
        </w:tc>
        <w:tc>
          <w:tcPr>
            <w:tcW w:w="1611" w:type="dxa"/>
            <w:tcBorders>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19%</w:t>
            </w:r>
          </w:p>
        </w:tc>
        <w:tc>
          <w:tcPr>
            <w:tcW w:w="1426" w:type="dxa"/>
            <w:tcBorders>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16.5</w:t>
            </w:r>
          </w:p>
        </w:tc>
        <w:tc>
          <w:tcPr>
            <w:tcW w:w="1611" w:type="dxa"/>
            <w:tcBorders>
              <w:left w:val="nil"/>
              <w:right w:val="nil"/>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4</w:t>
            </w:r>
            <w:r>
              <w:rPr>
                <w:rFonts w:ascii="Arial" w:eastAsia="Times New Roman" w:hAnsi="Arial" w:cs="Arial"/>
                <w:color w:val="000000"/>
                <w:sz w:val="20"/>
                <w:szCs w:val="20"/>
                <w:lang w:eastAsia="en-GB"/>
              </w:rPr>
              <w:t>1</w:t>
            </w:r>
            <w:r w:rsidRPr="003E74FB">
              <w:rPr>
                <w:rFonts w:ascii="Arial" w:eastAsia="Times New Roman" w:hAnsi="Arial" w:cs="Arial"/>
                <w:color w:val="000000"/>
                <w:sz w:val="20"/>
                <w:szCs w:val="20"/>
                <w:lang w:eastAsia="en-GB"/>
              </w:rPr>
              <w:t>.</w:t>
            </w:r>
            <w:r>
              <w:rPr>
                <w:rFonts w:ascii="Arial" w:eastAsia="Times New Roman" w:hAnsi="Arial" w:cs="Arial"/>
                <w:color w:val="000000"/>
                <w:sz w:val="20"/>
                <w:szCs w:val="20"/>
                <w:lang w:eastAsia="en-GB"/>
              </w:rPr>
              <w:t>1</w:t>
            </w:r>
          </w:p>
        </w:tc>
        <w:tc>
          <w:tcPr>
            <w:tcW w:w="1861" w:type="dxa"/>
            <w:tcBorders>
              <w:left w:val="nil"/>
              <w:right w:val="single" w:sz="4" w:space="0" w:color="993366"/>
            </w:tcBorders>
            <w:vAlign w:val="center"/>
          </w:tcPr>
          <w:p w:rsidR="00B84942" w:rsidRPr="003E74FB" w:rsidRDefault="00B84942" w:rsidP="00506E38">
            <w:pPr>
              <w:jc w:val="center"/>
              <w:rPr>
                <w:rFonts w:ascii="Arial" w:eastAsia="Times New Roman" w:hAnsi="Arial" w:cs="Arial"/>
                <w:color w:val="000000"/>
                <w:sz w:val="20"/>
                <w:szCs w:val="20"/>
                <w:lang w:eastAsia="en-GB"/>
              </w:rPr>
            </w:pPr>
            <w:r w:rsidRPr="003E74FB">
              <w:rPr>
                <w:rFonts w:ascii="Arial" w:eastAsia="Times New Roman" w:hAnsi="Arial" w:cs="Arial"/>
                <w:color w:val="000000"/>
                <w:sz w:val="20"/>
                <w:szCs w:val="20"/>
                <w:lang w:eastAsia="en-GB"/>
              </w:rPr>
              <w:t>2.7</w:t>
            </w:r>
            <w:r>
              <w:rPr>
                <w:rFonts w:ascii="Arial" w:eastAsia="Times New Roman" w:hAnsi="Arial" w:cs="Arial"/>
                <w:color w:val="000000"/>
                <w:sz w:val="20"/>
                <w:szCs w:val="20"/>
                <w:lang w:eastAsia="en-GB"/>
              </w:rPr>
              <w:t>8</w:t>
            </w:r>
          </w:p>
        </w:tc>
      </w:tr>
      <w:tr w:rsidR="00B84942" w:rsidRPr="003E74FB">
        <w:trPr>
          <w:trHeight w:val="360"/>
        </w:trPr>
        <w:tc>
          <w:tcPr>
            <w:tcW w:w="1560" w:type="dxa"/>
            <w:tcBorders>
              <w:top w:val="single" w:sz="4" w:space="0" w:color="808080"/>
              <w:left w:val="single" w:sz="4" w:space="0" w:color="993366"/>
              <w:bottom w:val="single" w:sz="4" w:space="0" w:color="993366"/>
              <w:right w:val="nil"/>
            </w:tcBorders>
            <w:noWrap/>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Total</w:t>
            </w:r>
          </w:p>
        </w:tc>
        <w:tc>
          <w:tcPr>
            <w:tcW w:w="1570" w:type="dxa"/>
            <w:tcBorders>
              <w:top w:val="single" w:sz="4" w:space="0" w:color="808080"/>
              <w:left w:val="nil"/>
              <w:bottom w:val="single" w:sz="4" w:space="0" w:color="993366"/>
              <w:right w:val="nil"/>
            </w:tcBorders>
            <w:noWrap/>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43</w:t>
            </w:r>
          </w:p>
        </w:tc>
        <w:tc>
          <w:tcPr>
            <w:tcW w:w="1611" w:type="dxa"/>
            <w:tcBorders>
              <w:top w:val="single" w:sz="4" w:space="0" w:color="808080"/>
              <w:left w:val="nil"/>
              <w:bottom w:val="single" w:sz="4" w:space="0" w:color="993366"/>
              <w:right w:val="nil"/>
            </w:tcBorders>
            <w:vAlign w:val="center"/>
          </w:tcPr>
          <w:p w:rsidR="00B84942" w:rsidRPr="003E74FB" w:rsidRDefault="00B84942" w:rsidP="00506E38">
            <w:pPr>
              <w:jc w:val="center"/>
              <w:rPr>
                <w:rFonts w:ascii="Arial" w:hAnsi="Arial" w:cs="Arial"/>
                <w:sz w:val="20"/>
                <w:szCs w:val="20"/>
              </w:rPr>
            </w:pPr>
            <w:r w:rsidRPr="003E74FB">
              <w:rPr>
                <w:rFonts w:ascii="Arial" w:hAnsi="Arial" w:cs="Arial"/>
                <w:sz w:val="20"/>
                <w:szCs w:val="20"/>
              </w:rPr>
              <w:t>100.0%</w:t>
            </w:r>
          </w:p>
        </w:tc>
        <w:tc>
          <w:tcPr>
            <w:tcW w:w="1426" w:type="dxa"/>
            <w:tcBorders>
              <w:top w:val="single" w:sz="4" w:space="0" w:color="808080"/>
              <w:left w:val="nil"/>
              <w:bottom w:val="single" w:sz="4" w:space="0" w:color="993366"/>
              <w:right w:val="nil"/>
            </w:tcBorders>
            <w:vAlign w:val="center"/>
          </w:tcPr>
          <w:p w:rsidR="00B84942" w:rsidRPr="003E74FB" w:rsidRDefault="00B84942" w:rsidP="00506E38">
            <w:pPr>
              <w:jc w:val="center"/>
              <w:rPr>
                <w:rFonts w:ascii="Arial" w:hAnsi="Arial" w:cs="Arial"/>
                <w:sz w:val="20"/>
                <w:szCs w:val="20"/>
              </w:rPr>
            </w:pPr>
          </w:p>
        </w:tc>
        <w:tc>
          <w:tcPr>
            <w:tcW w:w="1611" w:type="dxa"/>
            <w:tcBorders>
              <w:top w:val="single" w:sz="4" w:space="0" w:color="808080"/>
              <w:left w:val="nil"/>
              <w:bottom w:val="single" w:sz="4" w:space="0" w:color="993366"/>
              <w:right w:val="nil"/>
            </w:tcBorders>
            <w:vAlign w:val="center"/>
          </w:tcPr>
          <w:p w:rsidR="00B84942" w:rsidRPr="003E74FB" w:rsidRDefault="00B84942" w:rsidP="00506E38">
            <w:pPr>
              <w:jc w:val="center"/>
              <w:rPr>
                <w:rFonts w:ascii="Arial" w:hAnsi="Arial" w:cs="Arial"/>
                <w:sz w:val="20"/>
                <w:szCs w:val="20"/>
              </w:rPr>
            </w:pPr>
          </w:p>
        </w:tc>
        <w:tc>
          <w:tcPr>
            <w:tcW w:w="1861" w:type="dxa"/>
            <w:tcBorders>
              <w:top w:val="single" w:sz="4" w:space="0" w:color="808080"/>
              <w:left w:val="nil"/>
              <w:bottom w:val="single" w:sz="4" w:space="0" w:color="993366"/>
              <w:right w:val="single" w:sz="4" w:space="0" w:color="993366"/>
            </w:tcBorders>
            <w:vAlign w:val="center"/>
          </w:tcPr>
          <w:p w:rsidR="00B84942" w:rsidRPr="003E74FB" w:rsidRDefault="00B84942" w:rsidP="00506E38">
            <w:pPr>
              <w:jc w:val="center"/>
              <w:rPr>
                <w:rFonts w:ascii="Arial" w:hAnsi="Arial" w:cs="Arial"/>
                <w:sz w:val="20"/>
                <w:szCs w:val="20"/>
              </w:rPr>
            </w:pPr>
          </w:p>
        </w:tc>
      </w:tr>
    </w:tbl>
    <w:p w:rsidR="00B84942" w:rsidRPr="008C2E15" w:rsidRDefault="00B84942" w:rsidP="00B84942">
      <w:pPr>
        <w:pStyle w:val="Belmana4normal"/>
        <w:rPr>
          <w:sz w:val="18"/>
          <w:szCs w:val="16"/>
        </w:rPr>
      </w:pPr>
      <w:r w:rsidRPr="008C2E15">
        <w:rPr>
          <w:sz w:val="18"/>
          <w:szCs w:val="16"/>
        </w:rPr>
        <w:t xml:space="preserve">Source: </w:t>
      </w:r>
      <w:r>
        <w:rPr>
          <w:sz w:val="18"/>
          <w:szCs w:val="16"/>
        </w:rPr>
        <w:t>UKRPIF Co-Investment Profiles Rounds 1-5</w:t>
      </w:r>
    </w:p>
    <w:p w:rsidR="00B84942" w:rsidRDefault="00B84942" w:rsidP="005721FF">
      <w:pPr>
        <w:pStyle w:val="Belmananormal"/>
      </w:pPr>
      <w:r w:rsidRPr="008C2E15">
        <w:t>Analysis of the co-investment so far has referred to funding committed to the projects as per the original bid documentation (and any subsequent revisions communicated to HEFCE). However due to the collaborative nature of UKRPIF projects, additional co-investment from third party sources is often received during the life-cycle of the project. Improvements to research facilities also lead to addition</w:t>
      </w:r>
      <w:r w:rsidR="00BB5167">
        <w:t>al</w:t>
      </w:r>
      <w:r w:rsidRPr="008C2E15">
        <w:t xml:space="preserve"> R&amp;D awards and income from other public funding streams. So far twelve projects </w:t>
      </w:r>
      <w:r>
        <w:t xml:space="preserve">(out of the 43) </w:t>
      </w:r>
      <w:r w:rsidRPr="008C2E15">
        <w:t xml:space="preserve">have </w:t>
      </w:r>
      <w:r>
        <w:t xml:space="preserve">already </w:t>
      </w:r>
      <w:r w:rsidRPr="008C2E15">
        <w:t xml:space="preserve">met their double-match funding </w:t>
      </w:r>
      <w:r w:rsidR="000A217B">
        <w:t xml:space="preserve">requirement </w:t>
      </w:r>
      <w:r w:rsidRPr="008C2E15">
        <w:t>of the UKRPIF programme, with all twelve projects leveraging additional co-investment from a) co-investors who had already previously committed funding to the project or b) new sources of investment.</w:t>
      </w:r>
    </w:p>
    <w:p w:rsidR="00735EA0" w:rsidRDefault="00735EA0">
      <w:pPr>
        <w:rPr>
          <w:rFonts w:ascii="Arial" w:hAnsi="Arial" w:cs="Arial"/>
        </w:rPr>
      </w:pPr>
      <w:r>
        <w:br w:type="page"/>
      </w:r>
    </w:p>
    <w:p w:rsidR="005F4A25" w:rsidRDefault="005F4A25" w:rsidP="00DA060C">
      <w:pPr>
        <w:pStyle w:val="BelmanaHeadNumbered"/>
      </w:pPr>
      <w:bookmarkStart w:id="54" w:name="_Toc514831651"/>
      <w:bookmarkStart w:id="55" w:name="_Toc499548024"/>
      <w:r>
        <w:t>Evaluating research infrastructure investment</w:t>
      </w:r>
      <w:bookmarkEnd w:id="54"/>
    </w:p>
    <w:p w:rsidR="005F4A25" w:rsidRPr="00A92448" w:rsidRDefault="005F4A25" w:rsidP="00DA060C">
      <w:pPr>
        <w:pStyle w:val="Belmananormal"/>
        <w:numPr>
          <w:ilvl w:val="0"/>
          <w:numId w:val="31"/>
        </w:numPr>
      </w:pPr>
      <w:r w:rsidRPr="00A92448">
        <w:t>The activities supported by UKRPIF can be categori</w:t>
      </w:r>
      <w:r>
        <w:t>sed into two phases following</w:t>
      </w:r>
      <w:r w:rsidRPr="00A92448">
        <w:t xml:space="preserve"> </w:t>
      </w:r>
      <w:r>
        <w:t>OECD work (Griniece, 2015)</w:t>
      </w:r>
      <w:r w:rsidRPr="00A92448">
        <w:t xml:space="preserve">. The first is the “Construction Phase”, including the building, equipping, and/or refurbishment of research facilities. Then, there will be the “Operational Phase” when research </w:t>
      </w:r>
      <w:r w:rsidR="000A217B">
        <w:t xml:space="preserve">is </w:t>
      </w:r>
      <w:r w:rsidRPr="00A92448">
        <w:t>underway. Th</w:t>
      </w:r>
      <w:r>
        <w:t>is phased structure supports methods to evaluate investment impacts.</w:t>
      </w:r>
    </w:p>
    <w:p w:rsidR="005F4A25" w:rsidRDefault="005F4A25" w:rsidP="005F4A25">
      <w:pPr>
        <w:pStyle w:val="Belmananormal"/>
      </w:pPr>
      <w:r w:rsidRPr="008C2E15">
        <w:t>The direct and indirect benefits are categorised separately for these two phases. The</w:t>
      </w:r>
      <w:r>
        <w:t xml:space="preserve"> direct</w:t>
      </w:r>
      <w:r w:rsidRPr="008C2E15">
        <w:t xml:space="preserve"> impacts from the construction phase are</w:t>
      </w:r>
      <w:r>
        <w:t>, firstly, considered to be the</w:t>
      </w:r>
      <w:r w:rsidRPr="008C2E15">
        <w:t xml:space="preserve"> technical and scientif</w:t>
      </w:r>
      <w:r>
        <w:t xml:space="preserve">ic knowledge </w:t>
      </w:r>
      <w:r w:rsidRPr="008C2E15">
        <w:t xml:space="preserve">applied </w:t>
      </w:r>
      <w:r w:rsidR="00765BEA">
        <w:t>d</w:t>
      </w:r>
      <w:r w:rsidR="00765BEA" w:rsidRPr="008C2E15">
        <w:t xml:space="preserve">uring design and construction </w:t>
      </w:r>
      <w:r w:rsidRPr="008C2E15">
        <w:t xml:space="preserve">to finalising the new research facility. The construction may involve local companies, which leads to employment opportunities temporarily. </w:t>
      </w:r>
      <w:r>
        <w:t xml:space="preserve">Upskilling of administrative personnel managing the grants and project delivery can also occur. </w:t>
      </w:r>
    </w:p>
    <w:p w:rsidR="005F4A25" w:rsidRDefault="005F4A25" w:rsidP="005F4A25">
      <w:pPr>
        <w:pStyle w:val="Belmananormal"/>
      </w:pPr>
      <w:r w:rsidRPr="008C2E15">
        <w:t xml:space="preserve">The activities during the construction phase may lead to further indirect economic impacts as there can be a significant multiplier effect on the local economy. Direct suppliers of the newly created research facilities will stimulate more economic activity further down the supply chain by intra-industry purchases. These, in turn, may create jobs in other industries as their workers spend money in different areas of the economy. </w:t>
      </w:r>
      <w:r>
        <w:t xml:space="preserve">In cases such as the Surrey 5G </w:t>
      </w:r>
      <w:r w:rsidR="00AA3A1D">
        <w:t>I</w:t>
      </w:r>
      <w:r>
        <w:t xml:space="preserve">nnovation </w:t>
      </w:r>
      <w:r w:rsidR="00AA3A1D">
        <w:t>C</w:t>
      </w:r>
      <w:r>
        <w:t xml:space="preserve">entre the infrastructure provided offered opportunities for smaller companies to benefit from integrated supply chains and a demand for the services and technologies they could offer. </w:t>
      </w:r>
    </w:p>
    <w:p w:rsidR="005F4A25" w:rsidRDefault="005F4A25" w:rsidP="005F4A25">
      <w:pPr>
        <w:pStyle w:val="Belmananormal"/>
      </w:pPr>
      <w:r>
        <w:t>Finally, t</w:t>
      </w:r>
      <w:r w:rsidRPr="008C2E15">
        <w:t xml:space="preserve">o construct new research facilities, novel and innovative design, building and equipment solutions are required as part of the criteria for funding. Local companies can benefit from accumulated know-how and complementary skills that expand their competitive advantage in other markets (e.g. enable winning international procurements of similar research facilities). </w:t>
      </w:r>
    </w:p>
    <w:p w:rsidR="009E29CE" w:rsidRPr="00DA060C" w:rsidRDefault="009E29CE" w:rsidP="009E29CE">
      <w:pPr>
        <w:pStyle w:val="Belmana2"/>
      </w:pPr>
      <w:bookmarkStart w:id="56" w:name="_Toc514831652"/>
      <w:r w:rsidRPr="00DA060C">
        <w:t xml:space="preserve">Creating a </w:t>
      </w:r>
      <w:r w:rsidR="00AF3FEB">
        <w:t>l</w:t>
      </w:r>
      <w:r w:rsidRPr="00DA060C">
        <w:t xml:space="preserve">ogic </w:t>
      </w:r>
      <w:r w:rsidR="00AF3FEB">
        <w:t>m</w:t>
      </w:r>
      <w:r w:rsidRPr="00DA060C">
        <w:t>odel for the UKRPIF</w:t>
      </w:r>
      <w:bookmarkEnd w:id="56"/>
    </w:p>
    <w:p w:rsidR="00DE5A99" w:rsidRDefault="00DE5A99" w:rsidP="00DE5A99">
      <w:pPr>
        <w:pStyle w:val="Belmananormal"/>
      </w:pPr>
      <w:r>
        <w:t xml:space="preserve">Figure </w:t>
      </w:r>
      <w:r w:rsidR="00001554">
        <w:t>7</w:t>
      </w:r>
      <w:r>
        <w:t xml:space="preserve"> presents a logic model for the UKRPIF. A logic model indicates how overall outcomes – at the right of the figure – follow a causal chain from inputs to outputs. The usefulness of the logic model is that it can then be used to understand potential metrics</w:t>
      </w:r>
      <w:r w:rsidR="00C46FEF" w:rsidRPr="00C46FEF">
        <w:t xml:space="preserve"> </w:t>
      </w:r>
      <w:r w:rsidR="00C46FEF">
        <w:t>at different stages in a project. Some metrics are</w:t>
      </w:r>
      <w:r>
        <w:t xml:space="preserve"> tabulated in Table </w:t>
      </w:r>
      <w:r w:rsidR="00765BEA">
        <w:t>6.</w:t>
      </w:r>
    </w:p>
    <w:p w:rsidR="008F7447" w:rsidRPr="008C2E15" w:rsidRDefault="008F7447" w:rsidP="008F7447">
      <w:pPr>
        <w:pStyle w:val="Belmananormal"/>
        <w:spacing w:after="60"/>
      </w:pPr>
      <w:r>
        <w:t>The evaluation built on the research of Griniece et al (2015) to draw up an initial model that split the lifecycle impacts expected into construction and operati</w:t>
      </w:r>
      <w:r w:rsidR="00765BEA">
        <w:t>onal</w:t>
      </w:r>
      <w:r>
        <w:t xml:space="preserve"> phase</w:t>
      </w:r>
      <w:r w:rsidR="00765BEA">
        <w:t>s</w:t>
      </w:r>
      <w:r>
        <w:t>, noting that t</w:t>
      </w:r>
      <w:r w:rsidRPr="008C2E15">
        <w:t xml:space="preserve">he benefits </w:t>
      </w:r>
      <w:r w:rsidR="00765BEA">
        <w:t xml:space="preserve">of </w:t>
      </w:r>
      <w:r w:rsidRPr="008C2E15">
        <w:t>the operational phase are more nu</w:t>
      </w:r>
      <w:r>
        <w:t xml:space="preserve">merous and complex than </w:t>
      </w:r>
      <w:r w:rsidR="00765BEA">
        <w:t xml:space="preserve">those of </w:t>
      </w:r>
      <w:r>
        <w:t>the construction</w:t>
      </w:r>
      <w:r w:rsidRPr="008C2E15">
        <w:t xml:space="preserve"> phase. </w:t>
      </w:r>
      <w:r w:rsidR="00CE370B">
        <w:t>I</w:t>
      </w:r>
      <w:r w:rsidRPr="008C2E15">
        <w:t>mpacts associated with the operational phase may start to appear during the construction phase</w:t>
      </w:r>
      <w:r w:rsidR="00CE370B">
        <w:t xml:space="preserve"> and t</w:t>
      </w:r>
      <w:r w:rsidRPr="008C2E15">
        <w:t>here is not always a clear split that aligns with delivery of the project. But conceptually, the benefits from the second phase can be categorised into the following:</w:t>
      </w:r>
    </w:p>
    <w:p w:rsidR="008F7447" w:rsidRDefault="008F7447" w:rsidP="008F7447">
      <w:pPr>
        <w:pStyle w:val="Belmana4normal"/>
        <w:numPr>
          <w:ilvl w:val="0"/>
          <w:numId w:val="29"/>
        </w:numPr>
        <w:spacing w:after="60"/>
      </w:pPr>
      <w:r w:rsidRPr="00215A3D">
        <w:rPr>
          <w:i/>
        </w:rPr>
        <w:t xml:space="preserve">Direct </w:t>
      </w:r>
      <w:r w:rsidR="00765BEA">
        <w:rPr>
          <w:i/>
        </w:rPr>
        <w:t>e</w:t>
      </w:r>
      <w:r w:rsidRPr="00215A3D">
        <w:rPr>
          <w:i/>
        </w:rPr>
        <w:t>conomic impacts:</w:t>
      </w:r>
      <w:r w:rsidRPr="008C2E15">
        <w:t xml:space="preserve"> Benefits from the capital investment operation derive from the performance of the infrastructure, the services provided and </w:t>
      </w:r>
      <w:r w:rsidR="00765BEA">
        <w:t xml:space="preserve">how </w:t>
      </w:r>
      <w:r w:rsidRPr="008C2E15">
        <w:t>optimal</w:t>
      </w:r>
      <w:r w:rsidR="00765BEA">
        <w:t>ly</w:t>
      </w:r>
      <w:r w:rsidRPr="008C2E15">
        <w:t xml:space="preserve"> </w:t>
      </w:r>
      <w:r w:rsidR="00765BEA">
        <w:t xml:space="preserve">the </w:t>
      </w:r>
      <w:r w:rsidRPr="008C2E15">
        <w:t>equipment</w:t>
      </w:r>
      <w:r w:rsidR="00765BEA">
        <w:t xml:space="preserve"> is used</w:t>
      </w:r>
      <w:r w:rsidRPr="008C2E15">
        <w:t xml:space="preserve">. The maintenance and operation of a research facility </w:t>
      </w:r>
      <w:r w:rsidR="00765BEA">
        <w:t xml:space="preserve">has </w:t>
      </w:r>
      <w:r w:rsidRPr="008C2E15">
        <w:t xml:space="preserve">longer-term effects on employment in HEIs and companies, such as additional jobs for scientists, technicians, </w:t>
      </w:r>
      <w:r w:rsidR="00765BEA">
        <w:t xml:space="preserve">and </w:t>
      </w:r>
      <w:r w:rsidRPr="008C2E15">
        <w:t>administrative and support personnel. The increase in staff and student recruitment is a major benefit of a capital investment for a research facility. Modern and/or innovative research facilities can attract and retain the best talent. This includes both local and international researchers, technicians and students.</w:t>
      </w:r>
    </w:p>
    <w:p w:rsidR="008F7447" w:rsidRDefault="008F7447" w:rsidP="008F7447">
      <w:pPr>
        <w:pStyle w:val="Belmana4normal"/>
        <w:numPr>
          <w:ilvl w:val="0"/>
          <w:numId w:val="29"/>
        </w:numPr>
        <w:spacing w:after="60"/>
      </w:pPr>
      <w:r w:rsidRPr="00215A3D">
        <w:rPr>
          <w:i/>
        </w:rPr>
        <w:t xml:space="preserve">Indirect </w:t>
      </w:r>
      <w:r w:rsidR="00765BEA">
        <w:rPr>
          <w:i/>
        </w:rPr>
        <w:t>e</w:t>
      </w:r>
      <w:r w:rsidRPr="00215A3D">
        <w:rPr>
          <w:i/>
        </w:rPr>
        <w:t xml:space="preserve">conomic </w:t>
      </w:r>
      <w:r w:rsidR="00765BEA">
        <w:rPr>
          <w:i/>
        </w:rPr>
        <w:t>i</w:t>
      </w:r>
      <w:r w:rsidRPr="00215A3D">
        <w:rPr>
          <w:i/>
        </w:rPr>
        <w:t>mpacts:</w:t>
      </w:r>
      <w:r w:rsidRPr="008C2E15">
        <w:t xml:space="preserve"> These activities have a multiplier effect on the local economy and relevant supply chains. However, </w:t>
      </w:r>
      <w:r w:rsidR="00765BEA">
        <w:t xml:space="preserve">the </w:t>
      </w:r>
      <w:r w:rsidRPr="008C2E15">
        <w:t xml:space="preserve">multiplier effect may reflect displacement </w:t>
      </w:r>
      <w:r w:rsidR="00765BEA">
        <w:t xml:space="preserve">spending </w:t>
      </w:r>
      <w:r w:rsidRPr="008C2E15">
        <w:t>i.e. increased spending in one HEI research facility due to one-part UKRPIF funding in research facilities will simply displace spending (or reduce it) in another HEI which does not receive any support.</w:t>
      </w:r>
    </w:p>
    <w:p w:rsidR="008F7447" w:rsidRDefault="008F7447" w:rsidP="008F7447">
      <w:pPr>
        <w:pStyle w:val="Belmana4normal"/>
        <w:numPr>
          <w:ilvl w:val="0"/>
          <w:numId w:val="29"/>
        </w:numPr>
        <w:spacing w:after="60"/>
      </w:pPr>
      <w:r w:rsidRPr="00215A3D">
        <w:rPr>
          <w:i/>
        </w:rPr>
        <w:t>Research impacts:</w:t>
      </w:r>
      <w:r w:rsidRPr="008C2E15">
        <w:t xml:space="preserve"> The new </w:t>
      </w:r>
      <w:r>
        <w:t>research infrastructure</w:t>
      </w:r>
      <w:r w:rsidRPr="008C2E15">
        <w:t xml:space="preserve"> facilitate</w:t>
      </w:r>
      <w:r w:rsidR="00765BEA">
        <w:t>s</w:t>
      </w:r>
      <w:r w:rsidRPr="008C2E15">
        <w:t xml:space="preserve"> research, building on the co-investment from industry and non-industry partners. The partners would seek to use the research in delivering new products/services or improving products and services. There may be additional co-investment or research involving those beyond immediate partners, with research shaping industry approaches or standards.</w:t>
      </w:r>
      <w:r>
        <w:t xml:space="preserve"> Beyond impacts on industry and production, the research would also be expected to enable wider community benefit by informing government policy and areas of practice such as health. </w:t>
      </w:r>
    </w:p>
    <w:p w:rsidR="008F7447" w:rsidRDefault="008F7447" w:rsidP="008F7447">
      <w:pPr>
        <w:pStyle w:val="Belmana4normal"/>
        <w:numPr>
          <w:ilvl w:val="0"/>
          <w:numId w:val="29"/>
        </w:numPr>
        <w:spacing w:after="60"/>
      </w:pPr>
      <w:r w:rsidRPr="00215A3D">
        <w:rPr>
          <w:i/>
        </w:rPr>
        <w:t>Innovation impacts:</w:t>
      </w:r>
      <w:r w:rsidRPr="008C2E15">
        <w:t xml:space="preserve"> Investment into science infrastructure may create spin</w:t>
      </w:r>
      <w:r w:rsidR="00765BEA">
        <w:t>-</w:t>
      </w:r>
      <w:r w:rsidRPr="008C2E15">
        <w:t>out companies, start-ups, new patents and R&amp;D leading to increased levels of technical absorption from industry. However, if the local academic and industrial environment does not lead to sufficient levels of absorption capacity from the newly developed skills, then there is no increase in human capital from the programme.</w:t>
      </w:r>
    </w:p>
    <w:p w:rsidR="008F7447" w:rsidRDefault="008F7447" w:rsidP="008F7447">
      <w:pPr>
        <w:pStyle w:val="Belmana4normal"/>
        <w:numPr>
          <w:ilvl w:val="0"/>
          <w:numId w:val="29"/>
        </w:numPr>
        <w:spacing w:after="60"/>
      </w:pPr>
      <w:r w:rsidRPr="00215A3D">
        <w:rPr>
          <w:i/>
        </w:rPr>
        <w:t xml:space="preserve">Impact on </w:t>
      </w:r>
      <w:r w:rsidR="00765BEA">
        <w:rPr>
          <w:i/>
        </w:rPr>
        <w:t>r</w:t>
      </w:r>
      <w:r w:rsidRPr="00215A3D">
        <w:rPr>
          <w:i/>
        </w:rPr>
        <w:t xml:space="preserve">esearch </w:t>
      </w:r>
      <w:r w:rsidR="00765BEA">
        <w:rPr>
          <w:i/>
        </w:rPr>
        <w:t>e</w:t>
      </w:r>
      <w:r w:rsidRPr="00215A3D">
        <w:rPr>
          <w:i/>
        </w:rPr>
        <w:t xml:space="preserve">xcellence and </w:t>
      </w:r>
      <w:r w:rsidR="00765BEA">
        <w:rPr>
          <w:i/>
        </w:rPr>
        <w:t>s</w:t>
      </w:r>
      <w:r w:rsidRPr="00215A3D">
        <w:rPr>
          <w:i/>
        </w:rPr>
        <w:t xml:space="preserve">ocial </w:t>
      </w:r>
      <w:r w:rsidR="00765BEA">
        <w:rPr>
          <w:i/>
        </w:rPr>
        <w:t>c</w:t>
      </w:r>
      <w:r w:rsidRPr="00215A3D">
        <w:rPr>
          <w:i/>
        </w:rPr>
        <w:t>apital:</w:t>
      </w:r>
      <w:r w:rsidRPr="00215A3D">
        <w:rPr>
          <w:b/>
        </w:rPr>
        <w:t xml:space="preserve"> </w:t>
      </w:r>
      <w:r w:rsidRPr="008C2E15">
        <w:t xml:space="preserve">Accumulation of new knowledge, publications in internationally renowned journals, and the UK being recognised as a centre of </w:t>
      </w:r>
      <w:r w:rsidR="00765BEA">
        <w:t>r</w:t>
      </w:r>
      <w:r w:rsidRPr="008C2E15">
        <w:t xml:space="preserve">esearch </w:t>
      </w:r>
      <w:r w:rsidR="00765BEA">
        <w:t>e</w:t>
      </w:r>
      <w:r w:rsidRPr="008C2E15">
        <w:t xml:space="preserve">xcellence are potential impacts from the capital and recurrent funding. An important aspect is the development of research collaborations and collaborations with users of research to support innovation and growth. As a result, formal and informal social networks are nurtured thereby increasing knowledge sharing. In sum, the newly formed human capital requires social capital to be effective and build on existing research excellence. </w:t>
      </w:r>
    </w:p>
    <w:p w:rsidR="008F7447" w:rsidRPr="008C2E15" w:rsidRDefault="008F7447" w:rsidP="008F7447">
      <w:pPr>
        <w:pStyle w:val="Belmana4normal"/>
        <w:numPr>
          <w:ilvl w:val="0"/>
          <w:numId w:val="29"/>
        </w:numPr>
      </w:pPr>
      <w:r w:rsidRPr="00215A3D">
        <w:rPr>
          <w:i/>
        </w:rPr>
        <w:t xml:space="preserve">Other </w:t>
      </w:r>
      <w:r w:rsidR="00765BEA">
        <w:rPr>
          <w:i/>
        </w:rPr>
        <w:t>n</w:t>
      </w:r>
      <w:r w:rsidRPr="00215A3D">
        <w:rPr>
          <w:i/>
        </w:rPr>
        <w:t>on-market impacts:</w:t>
      </w:r>
      <w:r w:rsidRPr="00215A3D">
        <w:rPr>
          <w:b/>
        </w:rPr>
        <w:t xml:space="preserve"> </w:t>
      </w:r>
      <w:r w:rsidRPr="008C2E15">
        <w:t xml:space="preserve">The non-market impacts of investment in </w:t>
      </w:r>
      <w:r>
        <w:t>research infrastructure</w:t>
      </w:r>
      <w:r w:rsidRPr="008C2E15">
        <w:t xml:space="preserve"> are externalities which affect wider society without this being reflected in the value of the capital investment. The newly funded </w:t>
      </w:r>
      <w:r>
        <w:t>infrastructure</w:t>
      </w:r>
      <w:r w:rsidRPr="008C2E15">
        <w:t xml:space="preserve"> can impact the health and well-being of third parties living close to the development or further afield, for example, from increased congestion, noise, air pollution, or from the development of medicines and vaccines. Additionally, the new </w:t>
      </w:r>
      <w:r>
        <w:t>facilities</w:t>
      </w:r>
      <w:r w:rsidRPr="008C2E15">
        <w:t xml:space="preserve"> can impact the availability of natural resources, energy and water use and waste generation, habitats, biodiversity and ecosystems.</w:t>
      </w:r>
    </w:p>
    <w:p w:rsidR="00DE5A99" w:rsidRDefault="005F4A25" w:rsidP="005F4A25">
      <w:pPr>
        <w:pStyle w:val="Belmananormal"/>
      </w:pPr>
      <w:r w:rsidRPr="008C2E15">
        <w:t xml:space="preserve">When assessing the emerging outputs, the indicators can be both quantitative and qualitative. </w:t>
      </w:r>
      <w:r>
        <w:t>By the time of this study,</w:t>
      </w:r>
      <w:r w:rsidRPr="008C2E15">
        <w:t xml:space="preserve"> 21 of the</w:t>
      </w:r>
      <w:r>
        <w:t xml:space="preserve"> 43 UKRPIF</w:t>
      </w:r>
      <w:r w:rsidR="00BB0B9C">
        <w:t>-</w:t>
      </w:r>
      <w:r>
        <w:t>funded projects had reported completion</w:t>
      </w:r>
      <w:r w:rsidR="00765BEA">
        <w:t>.</w:t>
      </w:r>
      <w:r>
        <w:t xml:space="preserve"> </w:t>
      </w:r>
      <w:r w:rsidR="00765BEA">
        <w:t>T</w:t>
      </w:r>
      <w:r>
        <w:t xml:space="preserve">herefore, while operational phase </w:t>
      </w:r>
      <w:r w:rsidRPr="008C2E15">
        <w:t>outputs</w:t>
      </w:r>
      <w:r>
        <w:t xml:space="preserve"> were still </w:t>
      </w:r>
      <w:r w:rsidRPr="008C2E15">
        <w:t>emerging</w:t>
      </w:r>
      <w:r>
        <w:t>, some of the construction phase ones could be discerned</w:t>
      </w:r>
      <w:r w:rsidRPr="008C2E15">
        <w:t xml:space="preserve">. </w:t>
      </w:r>
      <w:r>
        <w:t xml:space="preserve">To some extent, the focus of OECD work on very large </w:t>
      </w:r>
      <w:r w:rsidR="00765BEA">
        <w:t xml:space="preserve">international </w:t>
      </w:r>
      <w:r>
        <w:t>scientific facilities means evaluation</w:t>
      </w:r>
      <w:r w:rsidR="00E22D99">
        <w:t>s</w:t>
      </w:r>
      <w:r>
        <w:t xml:space="preserve"> </w:t>
      </w:r>
      <w:r w:rsidR="00E22D99">
        <w:t>emphasis</w:t>
      </w:r>
      <w:r w:rsidR="00765BEA">
        <w:t>e</w:t>
      </w:r>
      <w:r>
        <w:t xml:space="preserve"> the construction phase. UKRPIF investments are innovative, but their smaller scale means the departures from best practice in construction </w:t>
      </w:r>
      <w:r w:rsidR="00765BEA">
        <w:t xml:space="preserve">are </w:t>
      </w:r>
      <w:r>
        <w:t>more modest. Most projects reported</w:t>
      </w:r>
      <w:r w:rsidR="00765BEA">
        <w:t xml:space="preserve"> that</w:t>
      </w:r>
      <w:r>
        <w:t xml:space="preserve">, rather than the buildings and equipment they procured being innovative in themselves, it was the setting up and optimising of the different parts that was highly innovative. </w:t>
      </w:r>
    </w:p>
    <w:p w:rsidR="005F4A25" w:rsidRDefault="00DE5A99" w:rsidP="005F4A25">
      <w:pPr>
        <w:pStyle w:val="Belmananormal"/>
      </w:pPr>
      <w:r>
        <w:t xml:space="preserve">This motivates </w:t>
      </w:r>
      <w:r w:rsidR="008F7447">
        <w:t>a key</w:t>
      </w:r>
      <w:r>
        <w:t xml:space="preserve"> </w:t>
      </w:r>
      <w:r w:rsidR="004A6DED">
        <w:t>feature of</w:t>
      </w:r>
      <w:r>
        <w:t xml:space="preserve"> the logic model</w:t>
      </w:r>
      <w:r w:rsidR="00C46FEF">
        <w:t xml:space="preserve"> for UKRPIF, departing from Griniece</w:t>
      </w:r>
      <w:r w:rsidR="00E22D99">
        <w:t xml:space="preserve"> et al</w:t>
      </w:r>
      <w:r w:rsidR="00C46FEF">
        <w:t xml:space="preserve"> (</w:t>
      </w:r>
      <w:r w:rsidR="00E22D99">
        <w:t>2015)</w:t>
      </w:r>
      <w:r w:rsidR="004A6DED">
        <w:t>: the potential outcomes due to changes in</w:t>
      </w:r>
      <w:r>
        <w:t xml:space="preserve"> how research facilities operate</w:t>
      </w:r>
      <w:r w:rsidR="00765BEA">
        <w:t>,</w:t>
      </w:r>
      <w:r w:rsidR="004A6DED">
        <w:t xml:space="preserve"> as the significant investments allow redesign</w:t>
      </w:r>
      <w:r>
        <w:t xml:space="preserve">. </w:t>
      </w:r>
      <w:r w:rsidR="00947508">
        <w:t xml:space="preserve">UKRPIF projects have often viewed the investments as an opportunity to enable collaboration across disciplines and with industry, or to optimise their buildings and equipment to </w:t>
      </w:r>
      <w:r w:rsidR="00CF6214">
        <w:t>conduct research at scale. Investments have enabled research to replicate facilities seen in industry, or to locate research nearer</w:t>
      </w:r>
      <w:r w:rsidR="00E22D99">
        <w:t xml:space="preserve"> to</w:t>
      </w:r>
      <w:r w:rsidR="00CF6214">
        <w:t xml:space="preserve"> delivery, or to create environments that ease the translation of research excellence into commercial or societal outcomes.</w:t>
      </w:r>
    </w:p>
    <w:p w:rsidR="008F7447" w:rsidRDefault="008F7447">
      <w:pPr>
        <w:pStyle w:val="Belmananormal"/>
        <w:keepNext/>
        <w:numPr>
          <w:ilvl w:val="0"/>
          <w:numId w:val="0"/>
        </w:numPr>
      </w:pPr>
    </w:p>
    <w:p w:rsidR="00001554" w:rsidRPr="007B5FBA" w:rsidRDefault="00001554" w:rsidP="00001554">
      <w:pPr>
        <w:pStyle w:val="BelmanaTableTitle"/>
      </w:pPr>
      <w:r w:rsidRPr="007B5FBA">
        <w:t>Figure</w:t>
      </w:r>
      <w:r>
        <w:t xml:space="preserve"> 7</w:t>
      </w:r>
      <w:r w:rsidRPr="007B5FBA">
        <w:t xml:space="preserve">: </w:t>
      </w:r>
      <w:r>
        <w:t>Logic of the UKRPIF</w:t>
      </w:r>
    </w:p>
    <w:p w:rsidR="00001554" w:rsidRDefault="00001554" w:rsidP="00001554">
      <w:pPr>
        <w:pStyle w:val="Belmana4normal"/>
        <w:pBdr>
          <w:bottom w:val="single" w:sz="4" w:space="1" w:color="993366"/>
        </w:pBdr>
      </w:pPr>
      <w:r>
        <w:rPr>
          <w:noProof/>
          <w:lang w:eastAsia="en-GB"/>
        </w:rPr>
        <w:drawing>
          <wp:inline distT="0" distB="0" distL="0" distR="0">
            <wp:extent cx="5731510" cy="3438906"/>
            <wp:effectExtent l="0" t="0" r="0" b="9525"/>
            <wp:docPr id="151" name="Diagram 151"/>
            <wp:cNvGraphicFramePr/>
            <a:graphic xmlns:a="http://schemas.openxmlformats.org/drawingml/2006/main">
              <a:graphicData uri="http://schemas.openxmlformats.org/drawingml/2006/diagram">
                <dgm:relIds xmlns:dgm="http://schemas.openxmlformats.org/drawingml/2006/diagram" xmlns:r="http://schemas.openxmlformats.org/officeDocument/2006/relationships" r:dm="rId26" r:lo="rId27" r:qs="rId28" r:cs="rId29"/>
              </a:graphicData>
            </a:graphic>
          </wp:inline>
        </w:drawing>
      </w:r>
    </w:p>
    <w:p w:rsidR="00001554" w:rsidRDefault="00001554" w:rsidP="009A2542">
      <w:pPr>
        <w:pStyle w:val="Belmananormal"/>
        <w:keepNext/>
        <w:numPr>
          <w:ilvl w:val="0"/>
          <w:numId w:val="0"/>
        </w:numPr>
      </w:pPr>
    </w:p>
    <w:p w:rsidR="00227321" w:rsidRDefault="00227321" w:rsidP="00D146CA">
      <w:pPr>
        <w:pStyle w:val="Belmananormal"/>
        <w:sectPr w:rsidR="00227321" w:rsidSect="00885558">
          <w:headerReference w:type="default" r:id="rId31"/>
          <w:pgSz w:w="11906" w:h="16838"/>
          <w:pgMar w:top="1440" w:right="1440" w:bottom="1440" w:left="1440" w:header="708" w:footer="708" w:gutter="0"/>
          <w:cols w:space="708"/>
          <w:titlePg/>
          <w:docGrid w:linePitch="360"/>
        </w:sectPr>
      </w:pPr>
    </w:p>
    <w:p w:rsidR="005F4A25" w:rsidRPr="00735EA0" w:rsidRDefault="005F4A25" w:rsidP="005F4A25">
      <w:pPr>
        <w:pStyle w:val="BelmanaTableTitle"/>
      </w:pPr>
      <w:r w:rsidRPr="00735EA0">
        <w:t xml:space="preserve">Table </w:t>
      </w:r>
      <w:r w:rsidR="00620B55">
        <w:t>6</w:t>
      </w:r>
      <w:r w:rsidRPr="00735EA0">
        <w:t xml:space="preserve">: Suggested KPIs and </w:t>
      </w:r>
      <w:r w:rsidR="00765BEA">
        <w:t>m</w:t>
      </w:r>
      <w:r w:rsidRPr="00735EA0">
        <w:t xml:space="preserve">etrics for </w:t>
      </w:r>
      <w:r w:rsidR="00765BEA">
        <w:t>e</w:t>
      </w:r>
      <w:r w:rsidRPr="00735EA0">
        <w:t>valuation</w:t>
      </w:r>
    </w:p>
    <w:tbl>
      <w:tblPr>
        <w:tblW w:w="13598" w:type="dxa"/>
        <w:tblCellMar>
          <w:left w:w="0" w:type="dxa"/>
          <w:right w:w="0" w:type="dxa"/>
        </w:tblCellMar>
        <w:tblLook w:val="0420" w:firstRow="1" w:lastRow="0" w:firstColumn="0" w:lastColumn="0" w:noHBand="0" w:noVBand="1"/>
      </w:tblPr>
      <w:tblGrid>
        <w:gridCol w:w="2078"/>
        <w:gridCol w:w="3866"/>
        <w:gridCol w:w="7654"/>
      </w:tblGrid>
      <w:tr w:rsidR="005F4A25" w:rsidRPr="00700F48">
        <w:trPr>
          <w:trHeight w:val="272"/>
        </w:trPr>
        <w:tc>
          <w:tcPr>
            <w:tcW w:w="2078" w:type="dxa"/>
            <w:tcBorders>
              <w:top w:val="single" w:sz="8" w:space="0" w:color="FFFFFF"/>
              <w:left w:val="single" w:sz="8" w:space="0" w:color="FFFFFF"/>
              <w:bottom w:val="single" w:sz="24" w:space="0" w:color="FFFFFF"/>
              <w:right w:val="single" w:sz="8" w:space="0" w:color="FFFFFF"/>
            </w:tcBorders>
            <w:shd w:val="clear" w:color="auto" w:fill="993366"/>
            <w:tcMar>
              <w:top w:w="72" w:type="dxa"/>
              <w:left w:w="144" w:type="dxa"/>
              <w:bottom w:w="72" w:type="dxa"/>
              <w:right w:w="144" w:type="dxa"/>
            </w:tcMar>
          </w:tcPr>
          <w:p w:rsidR="005F4A25" w:rsidRPr="007B5FBA" w:rsidRDefault="005F4A25" w:rsidP="00D146CA">
            <w:pPr>
              <w:pStyle w:val="Belmana4normal"/>
              <w:rPr>
                <w:color w:val="FFFFFF" w:themeColor="background1"/>
                <w:sz w:val="20"/>
                <w:szCs w:val="20"/>
              </w:rPr>
            </w:pPr>
            <w:r>
              <w:rPr>
                <w:b/>
                <w:bCs/>
                <w:color w:val="FFFFFF" w:themeColor="background1"/>
                <w:sz w:val="20"/>
                <w:szCs w:val="20"/>
              </w:rPr>
              <w:t xml:space="preserve">Evaluation </w:t>
            </w:r>
            <w:r w:rsidRPr="007B5FBA">
              <w:rPr>
                <w:b/>
                <w:bCs/>
                <w:color w:val="FFFFFF" w:themeColor="background1"/>
                <w:sz w:val="20"/>
                <w:szCs w:val="20"/>
              </w:rPr>
              <w:t>Area</w:t>
            </w:r>
          </w:p>
        </w:tc>
        <w:tc>
          <w:tcPr>
            <w:tcW w:w="3866" w:type="dxa"/>
            <w:tcBorders>
              <w:top w:val="single" w:sz="8" w:space="0" w:color="FFFFFF"/>
              <w:left w:val="single" w:sz="8" w:space="0" w:color="FFFFFF"/>
              <w:bottom w:val="single" w:sz="24" w:space="0" w:color="FFFFFF"/>
              <w:right w:val="single" w:sz="8" w:space="0" w:color="FFFFFF"/>
            </w:tcBorders>
            <w:shd w:val="clear" w:color="auto" w:fill="993366"/>
            <w:tcMar>
              <w:top w:w="72" w:type="dxa"/>
              <w:left w:w="144" w:type="dxa"/>
              <w:bottom w:w="72" w:type="dxa"/>
              <w:right w:w="144" w:type="dxa"/>
            </w:tcMar>
          </w:tcPr>
          <w:p w:rsidR="005F4A25" w:rsidRPr="007B5FBA" w:rsidRDefault="005F4A25" w:rsidP="00D146CA">
            <w:pPr>
              <w:pStyle w:val="Belmana4normal"/>
              <w:rPr>
                <w:color w:val="FFFFFF" w:themeColor="background1"/>
                <w:sz w:val="20"/>
                <w:szCs w:val="20"/>
              </w:rPr>
            </w:pPr>
            <w:r w:rsidRPr="007B5FBA">
              <w:rPr>
                <w:b/>
                <w:bCs/>
                <w:color w:val="FFFFFF" w:themeColor="background1"/>
                <w:sz w:val="20"/>
                <w:szCs w:val="20"/>
              </w:rPr>
              <w:t>K</w:t>
            </w:r>
            <w:r>
              <w:rPr>
                <w:b/>
                <w:bCs/>
                <w:color w:val="FFFFFF" w:themeColor="background1"/>
                <w:sz w:val="20"/>
                <w:szCs w:val="20"/>
              </w:rPr>
              <w:t>ey Performance Indicators</w:t>
            </w:r>
          </w:p>
        </w:tc>
        <w:tc>
          <w:tcPr>
            <w:tcW w:w="7654" w:type="dxa"/>
            <w:tcBorders>
              <w:top w:val="single" w:sz="8" w:space="0" w:color="FFFFFF"/>
              <w:left w:val="single" w:sz="8" w:space="0" w:color="FFFFFF"/>
              <w:bottom w:val="single" w:sz="24" w:space="0" w:color="FFFFFF"/>
              <w:right w:val="single" w:sz="8" w:space="0" w:color="FFFFFF"/>
            </w:tcBorders>
            <w:shd w:val="clear" w:color="auto" w:fill="993366"/>
            <w:tcMar>
              <w:top w:w="72" w:type="dxa"/>
              <w:left w:w="144" w:type="dxa"/>
              <w:bottom w:w="72" w:type="dxa"/>
              <w:right w:w="144" w:type="dxa"/>
            </w:tcMar>
          </w:tcPr>
          <w:p w:rsidR="005F4A25" w:rsidRPr="007B5FBA" w:rsidRDefault="005F4A25" w:rsidP="00D146CA">
            <w:pPr>
              <w:pStyle w:val="Belmana4normal"/>
              <w:rPr>
                <w:color w:val="FFFFFF" w:themeColor="background1"/>
                <w:sz w:val="20"/>
                <w:szCs w:val="20"/>
              </w:rPr>
            </w:pPr>
            <w:r>
              <w:rPr>
                <w:b/>
                <w:bCs/>
                <w:color w:val="FFFFFF" w:themeColor="background1"/>
                <w:sz w:val="20"/>
                <w:szCs w:val="20"/>
              </w:rPr>
              <w:t>Collection and Measurement</w:t>
            </w:r>
          </w:p>
        </w:tc>
      </w:tr>
      <w:tr w:rsidR="005F4A25" w:rsidRPr="00700F48">
        <w:trPr>
          <w:trHeight w:val="595"/>
        </w:trPr>
        <w:tc>
          <w:tcPr>
            <w:tcW w:w="2078" w:type="dxa"/>
            <w:tcBorders>
              <w:top w:val="single" w:sz="24"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jc w:val="left"/>
              <w:rPr>
                <w:sz w:val="20"/>
                <w:szCs w:val="20"/>
              </w:rPr>
            </w:pPr>
            <w:r w:rsidRPr="007B5FBA">
              <w:rPr>
                <w:b/>
                <w:bCs/>
                <w:sz w:val="20"/>
                <w:szCs w:val="20"/>
              </w:rPr>
              <w:t>Research Outputs</w:t>
            </w:r>
          </w:p>
        </w:tc>
        <w:tc>
          <w:tcPr>
            <w:tcW w:w="3866" w:type="dxa"/>
            <w:tcBorders>
              <w:top w:val="single" w:sz="24"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spacing w:after="60" w:line="240" w:lineRule="auto"/>
              <w:jc w:val="left"/>
              <w:rPr>
                <w:sz w:val="20"/>
                <w:szCs w:val="20"/>
              </w:rPr>
            </w:pPr>
            <w:r w:rsidRPr="007B5FBA">
              <w:rPr>
                <w:sz w:val="20"/>
                <w:szCs w:val="20"/>
              </w:rPr>
              <w:t>Standard measurements of research outputs and excell</w:t>
            </w:r>
            <w:r>
              <w:rPr>
                <w:sz w:val="20"/>
                <w:szCs w:val="20"/>
              </w:rPr>
              <w:t xml:space="preserve">ence, e.g. publication volumes, quality, </w:t>
            </w:r>
            <w:r w:rsidRPr="007B5FBA">
              <w:rPr>
                <w:sz w:val="20"/>
                <w:szCs w:val="20"/>
              </w:rPr>
              <w:t xml:space="preserve">citations. </w:t>
            </w:r>
          </w:p>
        </w:tc>
        <w:tc>
          <w:tcPr>
            <w:tcW w:w="7654" w:type="dxa"/>
            <w:tcBorders>
              <w:top w:val="single" w:sz="24"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Default="005F4A25" w:rsidP="00D146CA">
            <w:pPr>
              <w:pStyle w:val="Belmana4normal"/>
              <w:spacing w:after="60" w:line="240" w:lineRule="auto"/>
              <w:jc w:val="left"/>
              <w:rPr>
                <w:sz w:val="20"/>
                <w:szCs w:val="20"/>
              </w:rPr>
            </w:pPr>
            <w:r w:rsidRPr="007B5FBA">
              <w:rPr>
                <w:sz w:val="20"/>
                <w:szCs w:val="20"/>
              </w:rPr>
              <w:t>Relevant data generally collected as part of standard reporting</w:t>
            </w:r>
            <w:r w:rsidR="00B83354">
              <w:rPr>
                <w:sz w:val="20"/>
                <w:szCs w:val="20"/>
              </w:rPr>
              <w:t xml:space="preserve"> and submissions for Research Excellence Framework (REF)</w:t>
            </w:r>
          </w:p>
          <w:p w:rsidR="005F4A25" w:rsidRPr="00624763" w:rsidRDefault="005F4A25" w:rsidP="00D146CA">
            <w:pPr>
              <w:pStyle w:val="Belmana4normal"/>
              <w:spacing w:after="60" w:line="240" w:lineRule="auto"/>
              <w:jc w:val="left"/>
              <w:rPr>
                <w:sz w:val="20"/>
                <w:szCs w:val="20"/>
              </w:rPr>
            </w:pPr>
            <w:r>
              <w:rPr>
                <w:b/>
                <w:sz w:val="20"/>
                <w:szCs w:val="20"/>
              </w:rPr>
              <w:t xml:space="preserve">Source: </w:t>
            </w:r>
            <w:r>
              <w:rPr>
                <w:sz w:val="20"/>
                <w:szCs w:val="20"/>
              </w:rPr>
              <w:t>Institutional monitoring systems</w:t>
            </w:r>
          </w:p>
        </w:tc>
      </w:tr>
      <w:tr w:rsidR="005F4A25" w:rsidRPr="00700F48">
        <w:trPr>
          <w:trHeight w:val="732"/>
        </w:trPr>
        <w:tc>
          <w:tcPr>
            <w:tcW w:w="207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jc w:val="left"/>
              <w:rPr>
                <w:sz w:val="20"/>
                <w:szCs w:val="20"/>
              </w:rPr>
            </w:pPr>
            <w:r w:rsidRPr="007B5FBA">
              <w:rPr>
                <w:b/>
                <w:bCs/>
                <w:sz w:val="20"/>
                <w:szCs w:val="20"/>
              </w:rPr>
              <w:t>Operating Model</w:t>
            </w:r>
          </w:p>
        </w:tc>
        <w:tc>
          <w:tcPr>
            <w:tcW w:w="386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Default="005F4A25" w:rsidP="00D146CA">
            <w:pPr>
              <w:pStyle w:val="Belmana4normal"/>
              <w:spacing w:after="60" w:line="240" w:lineRule="auto"/>
              <w:jc w:val="left"/>
              <w:rPr>
                <w:sz w:val="20"/>
                <w:szCs w:val="20"/>
              </w:rPr>
            </w:pPr>
            <w:r w:rsidRPr="007B5FBA">
              <w:rPr>
                <w:sz w:val="20"/>
                <w:szCs w:val="20"/>
              </w:rPr>
              <w:t>Co-</w:t>
            </w:r>
            <w:r>
              <w:rPr>
                <w:sz w:val="20"/>
                <w:szCs w:val="20"/>
              </w:rPr>
              <w:t>l</w:t>
            </w:r>
            <w:r w:rsidRPr="007B5FBA">
              <w:rPr>
                <w:sz w:val="20"/>
                <w:szCs w:val="20"/>
              </w:rPr>
              <w:t xml:space="preserve">ocation of </w:t>
            </w:r>
            <w:r>
              <w:rPr>
                <w:sz w:val="20"/>
                <w:szCs w:val="20"/>
              </w:rPr>
              <w:t>r</w:t>
            </w:r>
            <w:r w:rsidRPr="007B5FBA">
              <w:rPr>
                <w:sz w:val="20"/>
                <w:szCs w:val="20"/>
              </w:rPr>
              <w:t>esearchers</w:t>
            </w:r>
            <w:r>
              <w:rPr>
                <w:sz w:val="20"/>
                <w:szCs w:val="20"/>
              </w:rPr>
              <w:t xml:space="preserve"> with i</w:t>
            </w:r>
            <w:r w:rsidRPr="007B5FBA">
              <w:rPr>
                <w:sz w:val="20"/>
                <w:szCs w:val="20"/>
              </w:rPr>
              <w:t>nter-</w:t>
            </w:r>
            <w:r>
              <w:rPr>
                <w:sz w:val="20"/>
                <w:szCs w:val="20"/>
              </w:rPr>
              <w:t>d</w:t>
            </w:r>
            <w:r w:rsidRPr="007B5FBA">
              <w:rPr>
                <w:sz w:val="20"/>
                <w:szCs w:val="20"/>
              </w:rPr>
              <w:t xml:space="preserve">isciplinary </w:t>
            </w:r>
            <w:r>
              <w:rPr>
                <w:sz w:val="20"/>
                <w:szCs w:val="20"/>
              </w:rPr>
              <w:t>focus</w:t>
            </w:r>
          </w:p>
          <w:p w:rsidR="005F4A25" w:rsidRPr="007B5FBA" w:rsidRDefault="005F4A25" w:rsidP="00D146CA">
            <w:pPr>
              <w:pStyle w:val="Belmana4normal"/>
              <w:spacing w:after="60" w:line="240" w:lineRule="auto"/>
              <w:jc w:val="left"/>
              <w:rPr>
                <w:sz w:val="20"/>
                <w:szCs w:val="20"/>
              </w:rPr>
            </w:pPr>
            <w:r>
              <w:rPr>
                <w:sz w:val="20"/>
                <w:szCs w:val="20"/>
              </w:rPr>
              <w:t>Translating research outputs into industry/delivery due to co-funding</w:t>
            </w:r>
          </w:p>
        </w:tc>
        <w:tc>
          <w:tcPr>
            <w:tcW w:w="765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Default="005F4A25" w:rsidP="00D146CA">
            <w:pPr>
              <w:pStyle w:val="Belmana4normal"/>
              <w:spacing w:after="60" w:line="240" w:lineRule="auto"/>
              <w:jc w:val="left"/>
              <w:rPr>
                <w:sz w:val="20"/>
                <w:szCs w:val="20"/>
              </w:rPr>
            </w:pPr>
            <w:r w:rsidRPr="007B5FBA">
              <w:rPr>
                <w:sz w:val="20"/>
                <w:szCs w:val="20"/>
              </w:rPr>
              <w:t xml:space="preserve">Core factor, </w:t>
            </w:r>
            <w:r>
              <w:rPr>
                <w:sz w:val="20"/>
                <w:szCs w:val="20"/>
              </w:rPr>
              <w:t>and can be project specific. Since it is a ‘</w:t>
            </w:r>
            <w:r w:rsidRPr="007B5FBA">
              <w:rPr>
                <w:sz w:val="20"/>
                <w:szCs w:val="20"/>
              </w:rPr>
              <w:t>softer</w:t>
            </w:r>
            <w:r>
              <w:rPr>
                <w:sz w:val="20"/>
                <w:szCs w:val="20"/>
              </w:rPr>
              <w:t>’</w:t>
            </w:r>
            <w:r w:rsidRPr="007B5FBA">
              <w:rPr>
                <w:sz w:val="20"/>
                <w:szCs w:val="20"/>
              </w:rPr>
              <w:t xml:space="preserve"> and</w:t>
            </w:r>
            <w:r>
              <w:rPr>
                <w:sz w:val="20"/>
                <w:szCs w:val="20"/>
              </w:rPr>
              <w:t xml:space="preserve"> often qualitative measurement it will need to be covered by interviews and consultations. </w:t>
            </w:r>
          </w:p>
          <w:p w:rsidR="005F4A25" w:rsidRPr="007B5FBA" w:rsidRDefault="005F4A25" w:rsidP="00D146CA">
            <w:pPr>
              <w:pStyle w:val="Belmana4normal"/>
              <w:spacing w:after="60" w:line="240" w:lineRule="auto"/>
              <w:jc w:val="left"/>
              <w:rPr>
                <w:sz w:val="20"/>
                <w:szCs w:val="20"/>
              </w:rPr>
            </w:pPr>
            <w:r>
              <w:rPr>
                <w:b/>
                <w:sz w:val="20"/>
                <w:szCs w:val="20"/>
              </w:rPr>
              <w:t xml:space="preserve">Source: </w:t>
            </w:r>
            <w:r>
              <w:rPr>
                <w:sz w:val="20"/>
                <w:szCs w:val="20"/>
              </w:rPr>
              <w:t>Qualitative insights from departments</w:t>
            </w:r>
          </w:p>
        </w:tc>
      </w:tr>
      <w:tr w:rsidR="005F4A25" w:rsidRPr="00700F48">
        <w:trPr>
          <w:trHeight w:val="1068"/>
        </w:trPr>
        <w:tc>
          <w:tcPr>
            <w:tcW w:w="207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jc w:val="left"/>
              <w:rPr>
                <w:sz w:val="20"/>
                <w:szCs w:val="20"/>
              </w:rPr>
            </w:pPr>
            <w:r w:rsidRPr="007B5FBA">
              <w:rPr>
                <w:b/>
                <w:bCs/>
                <w:sz w:val="20"/>
                <w:szCs w:val="20"/>
              </w:rPr>
              <w:t>Collaborative Space</w:t>
            </w:r>
          </w:p>
        </w:tc>
        <w:tc>
          <w:tcPr>
            <w:tcW w:w="386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spacing w:after="60" w:line="240" w:lineRule="auto"/>
              <w:jc w:val="left"/>
              <w:rPr>
                <w:sz w:val="20"/>
                <w:szCs w:val="20"/>
              </w:rPr>
            </w:pPr>
            <w:r w:rsidRPr="007B5FBA">
              <w:rPr>
                <w:sz w:val="20"/>
                <w:szCs w:val="20"/>
              </w:rPr>
              <w:t xml:space="preserve">Networking </w:t>
            </w:r>
            <w:r w:rsidR="00A60166">
              <w:rPr>
                <w:sz w:val="20"/>
                <w:szCs w:val="20"/>
              </w:rPr>
              <w:t>e</w:t>
            </w:r>
            <w:r w:rsidRPr="007B5FBA">
              <w:rPr>
                <w:sz w:val="20"/>
                <w:szCs w:val="20"/>
              </w:rPr>
              <w:t>vents: Footfall</w:t>
            </w:r>
          </w:p>
          <w:p w:rsidR="005F4A25" w:rsidRPr="007B5FBA" w:rsidRDefault="005F4A25" w:rsidP="00D146CA">
            <w:pPr>
              <w:pStyle w:val="Belmana4normal"/>
              <w:spacing w:after="60" w:line="240" w:lineRule="auto"/>
              <w:jc w:val="left"/>
              <w:rPr>
                <w:sz w:val="20"/>
                <w:szCs w:val="20"/>
              </w:rPr>
            </w:pPr>
            <w:r w:rsidRPr="007B5FBA">
              <w:rPr>
                <w:sz w:val="20"/>
                <w:szCs w:val="20"/>
              </w:rPr>
              <w:t xml:space="preserve">Networking </w:t>
            </w:r>
            <w:r w:rsidR="00A60166">
              <w:rPr>
                <w:sz w:val="20"/>
                <w:szCs w:val="20"/>
              </w:rPr>
              <w:t>e</w:t>
            </w:r>
            <w:r w:rsidRPr="007B5FBA">
              <w:rPr>
                <w:sz w:val="20"/>
                <w:szCs w:val="20"/>
              </w:rPr>
              <w:t xml:space="preserve">vents: Industry </w:t>
            </w:r>
            <w:r w:rsidR="00A60166">
              <w:rPr>
                <w:sz w:val="20"/>
                <w:szCs w:val="20"/>
              </w:rPr>
              <w:t>p</w:t>
            </w:r>
            <w:r w:rsidRPr="007B5FBA">
              <w:rPr>
                <w:sz w:val="20"/>
                <w:szCs w:val="20"/>
              </w:rPr>
              <w:t>artners</w:t>
            </w:r>
          </w:p>
          <w:p w:rsidR="005F4A25" w:rsidRPr="007B5FBA" w:rsidRDefault="005F4A25" w:rsidP="00D146CA">
            <w:pPr>
              <w:pStyle w:val="Belmana4normal"/>
              <w:spacing w:after="60" w:line="240" w:lineRule="auto"/>
              <w:jc w:val="left"/>
              <w:rPr>
                <w:sz w:val="20"/>
                <w:szCs w:val="20"/>
              </w:rPr>
            </w:pPr>
            <w:r w:rsidRPr="007B5FBA">
              <w:rPr>
                <w:sz w:val="20"/>
                <w:szCs w:val="20"/>
              </w:rPr>
              <w:t>Hot-desking and use of space by partners</w:t>
            </w:r>
          </w:p>
        </w:tc>
        <w:tc>
          <w:tcPr>
            <w:tcW w:w="765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Default="005F4A25" w:rsidP="00D146CA">
            <w:pPr>
              <w:pStyle w:val="Belmana4normal"/>
              <w:spacing w:after="60" w:line="240" w:lineRule="auto"/>
              <w:jc w:val="left"/>
              <w:rPr>
                <w:sz w:val="20"/>
                <w:szCs w:val="20"/>
              </w:rPr>
            </w:pPr>
            <w:r w:rsidRPr="007B5FBA">
              <w:rPr>
                <w:sz w:val="20"/>
                <w:szCs w:val="20"/>
              </w:rPr>
              <w:t>Relevant data generally collected as part of standard reporting</w:t>
            </w:r>
            <w:r>
              <w:rPr>
                <w:sz w:val="20"/>
                <w:szCs w:val="20"/>
              </w:rPr>
              <w:t>. It is noted that there may be no counterfactual, as the events started with the investments.</w:t>
            </w:r>
          </w:p>
          <w:p w:rsidR="005F4A25" w:rsidRPr="007B5FBA" w:rsidRDefault="005F4A25" w:rsidP="00D146CA">
            <w:pPr>
              <w:pStyle w:val="Belmana4normal"/>
              <w:spacing w:after="60" w:line="240" w:lineRule="auto"/>
              <w:jc w:val="left"/>
              <w:rPr>
                <w:sz w:val="20"/>
                <w:szCs w:val="20"/>
              </w:rPr>
            </w:pPr>
            <w:r>
              <w:rPr>
                <w:b/>
                <w:sz w:val="20"/>
                <w:szCs w:val="20"/>
              </w:rPr>
              <w:t xml:space="preserve">Source: </w:t>
            </w:r>
            <w:r>
              <w:rPr>
                <w:sz w:val="20"/>
                <w:szCs w:val="20"/>
              </w:rPr>
              <w:t>Institutional monitoring systems</w:t>
            </w:r>
          </w:p>
        </w:tc>
      </w:tr>
      <w:tr w:rsidR="005F4A25" w:rsidRPr="00700F48">
        <w:trPr>
          <w:trHeight w:val="1270"/>
        </w:trPr>
        <w:tc>
          <w:tcPr>
            <w:tcW w:w="207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jc w:val="left"/>
              <w:rPr>
                <w:sz w:val="20"/>
                <w:szCs w:val="20"/>
              </w:rPr>
            </w:pPr>
            <w:r w:rsidRPr="007B5FBA">
              <w:rPr>
                <w:b/>
                <w:bCs/>
                <w:sz w:val="20"/>
                <w:szCs w:val="20"/>
              </w:rPr>
              <w:t>Equipment &amp; Facilities</w:t>
            </w:r>
          </w:p>
        </w:tc>
        <w:tc>
          <w:tcPr>
            <w:tcW w:w="386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spacing w:after="60" w:line="240" w:lineRule="auto"/>
              <w:jc w:val="left"/>
              <w:rPr>
                <w:sz w:val="20"/>
                <w:szCs w:val="20"/>
              </w:rPr>
            </w:pPr>
            <w:r w:rsidRPr="007B5FBA">
              <w:rPr>
                <w:sz w:val="20"/>
                <w:szCs w:val="20"/>
              </w:rPr>
              <w:t>Uptake of equipment &amp; facilities by internal researchers</w:t>
            </w:r>
            <w:r>
              <w:rPr>
                <w:sz w:val="20"/>
                <w:szCs w:val="20"/>
              </w:rPr>
              <w:t xml:space="preserve">, </w:t>
            </w:r>
            <w:r w:rsidRPr="007B5FBA">
              <w:rPr>
                <w:sz w:val="20"/>
                <w:szCs w:val="20"/>
              </w:rPr>
              <w:t>external researchers</w:t>
            </w:r>
            <w:r>
              <w:rPr>
                <w:sz w:val="20"/>
                <w:szCs w:val="20"/>
              </w:rPr>
              <w:t xml:space="preserve"> and/or </w:t>
            </w:r>
            <w:r w:rsidRPr="007B5FBA">
              <w:rPr>
                <w:sz w:val="20"/>
                <w:szCs w:val="20"/>
              </w:rPr>
              <w:t>by industry</w:t>
            </w:r>
          </w:p>
        </w:tc>
        <w:tc>
          <w:tcPr>
            <w:tcW w:w="765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Default="005F4A25" w:rsidP="00D146CA">
            <w:pPr>
              <w:pStyle w:val="Belmana4normal"/>
              <w:spacing w:after="60" w:line="240" w:lineRule="auto"/>
              <w:jc w:val="left"/>
              <w:rPr>
                <w:sz w:val="20"/>
                <w:szCs w:val="20"/>
              </w:rPr>
            </w:pPr>
            <w:r>
              <w:rPr>
                <w:sz w:val="20"/>
                <w:szCs w:val="20"/>
              </w:rPr>
              <w:t xml:space="preserve">Facilities management systems could provide facilities usage data. This then needs some analysis of quality, and benchmarking relative to comparable international centres may be used. Quality may be determined by evidence of </w:t>
            </w:r>
            <w:r w:rsidRPr="007B5FBA">
              <w:rPr>
                <w:sz w:val="20"/>
                <w:szCs w:val="20"/>
              </w:rPr>
              <w:t xml:space="preserve">innovation in the equipment </w:t>
            </w:r>
            <w:r>
              <w:rPr>
                <w:sz w:val="20"/>
                <w:szCs w:val="20"/>
              </w:rPr>
              <w:t xml:space="preserve">set-up, which could create </w:t>
            </w:r>
            <w:r w:rsidR="00F70AD9">
              <w:rPr>
                <w:sz w:val="20"/>
                <w:szCs w:val="20"/>
              </w:rPr>
              <w:t>intellectual property (</w:t>
            </w:r>
            <w:r>
              <w:rPr>
                <w:sz w:val="20"/>
                <w:szCs w:val="20"/>
              </w:rPr>
              <w:t>IP</w:t>
            </w:r>
            <w:r w:rsidR="00F70AD9">
              <w:rPr>
                <w:sz w:val="20"/>
                <w:szCs w:val="20"/>
              </w:rPr>
              <w:t>)</w:t>
            </w:r>
            <w:r>
              <w:rPr>
                <w:sz w:val="20"/>
                <w:szCs w:val="20"/>
              </w:rPr>
              <w:t>. Social science projects are less likely to be using such a model since the</w:t>
            </w:r>
            <w:r w:rsidR="00F70AD9">
              <w:rPr>
                <w:sz w:val="20"/>
                <w:szCs w:val="20"/>
              </w:rPr>
              <w:t>y</w:t>
            </w:r>
            <w:r>
              <w:rPr>
                <w:sz w:val="20"/>
                <w:szCs w:val="20"/>
              </w:rPr>
              <w:t xml:space="preserve"> may be more focused on ‘co-creation’.</w:t>
            </w:r>
          </w:p>
          <w:p w:rsidR="005F4A25" w:rsidRPr="007B5FBA" w:rsidRDefault="005F4A25" w:rsidP="00D146CA">
            <w:pPr>
              <w:pStyle w:val="Belmana4normal"/>
              <w:spacing w:after="60" w:line="240" w:lineRule="auto"/>
              <w:jc w:val="left"/>
              <w:rPr>
                <w:sz w:val="20"/>
                <w:szCs w:val="20"/>
              </w:rPr>
            </w:pPr>
            <w:r>
              <w:rPr>
                <w:b/>
                <w:sz w:val="20"/>
                <w:szCs w:val="20"/>
              </w:rPr>
              <w:t xml:space="preserve">Source: </w:t>
            </w:r>
            <w:r>
              <w:rPr>
                <w:sz w:val="20"/>
                <w:szCs w:val="20"/>
              </w:rPr>
              <w:t>Institutional monitoring systems</w:t>
            </w:r>
          </w:p>
        </w:tc>
      </w:tr>
      <w:tr w:rsidR="005F4A25" w:rsidRPr="00700F48">
        <w:trPr>
          <w:trHeight w:val="1138"/>
        </w:trPr>
        <w:tc>
          <w:tcPr>
            <w:tcW w:w="2078"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jc w:val="left"/>
              <w:rPr>
                <w:sz w:val="20"/>
                <w:szCs w:val="20"/>
              </w:rPr>
            </w:pPr>
            <w:r w:rsidRPr="007B5FBA">
              <w:rPr>
                <w:b/>
                <w:bCs/>
                <w:sz w:val="20"/>
                <w:szCs w:val="20"/>
              </w:rPr>
              <w:t>Commercialisation and Spin-Outs</w:t>
            </w:r>
          </w:p>
        </w:tc>
        <w:tc>
          <w:tcPr>
            <w:tcW w:w="3866"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spacing w:after="60" w:line="240" w:lineRule="auto"/>
              <w:jc w:val="left"/>
              <w:rPr>
                <w:sz w:val="20"/>
                <w:szCs w:val="20"/>
              </w:rPr>
            </w:pPr>
            <w:r w:rsidRPr="007B5FBA">
              <w:rPr>
                <w:sz w:val="20"/>
                <w:szCs w:val="20"/>
              </w:rPr>
              <w:t>Marketable products rolled out</w:t>
            </w:r>
          </w:p>
          <w:p w:rsidR="005F4A25" w:rsidRPr="007B5FBA" w:rsidRDefault="005F4A25" w:rsidP="00D146CA">
            <w:pPr>
              <w:pStyle w:val="Belmana4normal"/>
              <w:spacing w:after="60" w:line="240" w:lineRule="auto"/>
              <w:jc w:val="left"/>
              <w:rPr>
                <w:sz w:val="20"/>
                <w:szCs w:val="20"/>
              </w:rPr>
            </w:pPr>
            <w:r w:rsidRPr="007B5FBA">
              <w:rPr>
                <w:sz w:val="20"/>
                <w:szCs w:val="20"/>
              </w:rPr>
              <w:t>Patent applications</w:t>
            </w:r>
          </w:p>
          <w:p w:rsidR="005F4A25" w:rsidRDefault="005F4A25" w:rsidP="00D146CA">
            <w:pPr>
              <w:pStyle w:val="Belmana4normal"/>
              <w:spacing w:after="60" w:line="240" w:lineRule="auto"/>
              <w:jc w:val="left"/>
              <w:rPr>
                <w:sz w:val="20"/>
                <w:szCs w:val="20"/>
              </w:rPr>
            </w:pPr>
            <w:r>
              <w:rPr>
                <w:sz w:val="20"/>
                <w:szCs w:val="20"/>
              </w:rPr>
              <w:t xml:space="preserve">Time-scale </w:t>
            </w:r>
            <w:r w:rsidRPr="007B5FBA">
              <w:rPr>
                <w:sz w:val="20"/>
                <w:szCs w:val="20"/>
              </w:rPr>
              <w:t>to market</w:t>
            </w:r>
          </w:p>
          <w:p w:rsidR="005F4A25" w:rsidRPr="007B5FBA" w:rsidRDefault="005F4A25" w:rsidP="00D146CA">
            <w:pPr>
              <w:pStyle w:val="Belmana4normal"/>
              <w:spacing w:after="60" w:line="240" w:lineRule="auto"/>
              <w:jc w:val="left"/>
              <w:rPr>
                <w:sz w:val="20"/>
                <w:szCs w:val="20"/>
              </w:rPr>
            </w:pPr>
            <w:r>
              <w:rPr>
                <w:sz w:val="20"/>
                <w:szCs w:val="20"/>
              </w:rPr>
              <w:t>Revenues from IP</w:t>
            </w:r>
          </w:p>
        </w:tc>
        <w:tc>
          <w:tcPr>
            <w:tcW w:w="7654" w:type="dxa"/>
            <w:tcBorders>
              <w:top w:val="single" w:sz="8" w:space="0" w:color="FFFFFF"/>
              <w:left w:val="single" w:sz="8" w:space="0" w:color="FFFFFF"/>
              <w:bottom w:val="single" w:sz="8" w:space="0" w:color="FFFFFF"/>
              <w:right w:val="single" w:sz="8" w:space="0" w:color="FFFFFF"/>
            </w:tcBorders>
            <w:shd w:val="clear" w:color="auto" w:fill="auto"/>
            <w:tcMar>
              <w:top w:w="72" w:type="dxa"/>
              <w:left w:w="144" w:type="dxa"/>
              <w:bottom w:w="72" w:type="dxa"/>
              <w:right w:w="144" w:type="dxa"/>
            </w:tcMar>
          </w:tcPr>
          <w:p w:rsidR="005F4A25" w:rsidRDefault="005F4A25" w:rsidP="00D146CA">
            <w:pPr>
              <w:pStyle w:val="Belmana4normal"/>
              <w:spacing w:after="60" w:line="240" w:lineRule="auto"/>
              <w:jc w:val="left"/>
              <w:rPr>
                <w:sz w:val="20"/>
                <w:szCs w:val="20"/>
              </w:rPr>
            </w:pPr>
            <w:r w:rsidRPr="007B5FBA">
              <w:rPr>
                <w:sz w:val="20"/>
                <w:szCs w:val="20"/>
              </w:rPr>
              <w:t>Enginee</w:t>
            </w:r>
            <w:r>
              <w:rPr>
                <w:sz w:val="20"/>
                <w:szCs w:val="20"/>
              </w:rPr>
              <w:t xml:space="preserve">ring-focused projects use </w:t>
            </w:r>
            <w:r w:rsidR="002E1DCB" w:rsidRPr="002E1DCB">
              <w:rPr>
                <w:sz w:val="20"/>
                <w:szCs w:val="20"/>
              </w:rPr>
              <w:t xml:space="preserve">technological readiness levels </w:t>
            </w:r>
            <w:r w:rsidR="002E1DCB">
              <w:rPr>
                <w:sz w:val="20"/>
                <w:szCs w:val="20"/>
              </w:rPr>
              <w:t>(</w:t>
            </w:r>
            <w:r>
              <w:rPr>
                <w:sz w:val="20"/>
                <w:szCs w:val="20"/>
              </w:rPr>
              <w:t>TRLs</w:t>
            </w:r>
            <w:r w:rsidR="002E1DCB">
              <w:rPr>
                <w:sz w:val="20"/>
                <w:szCs w:val="20"/>
              </w:rPr>
              <w:t xml:space="preserve">) </w:t>
            </w:r>
            <w:r>
              <w:rPr>
                <w:sz w:val="20"/>
                <w:szCs w:val="20"/>
              </w:rPr>
              <w:t xml:space="preserve">and similar manufacturing measures; </w:t>
            </w:r>
            <w:r w:rsidRPr="007B5FBA">
              <w:rPr>
                <w:sz w:val="20"/>
                <w:szCs w:val="20"/>
              </w:rPr>
              <w:t>clinical</w:t>
            </w:r>
            <w:r>
              <w:rPr>
                <w:sz w:val="20"/>
                <w:szCs w:val="20"/>
              </w:rPr>
              <w:t xml:space="preserve"> researchers report on progress in</w:t>
            </w:r>
            <w:r w:rsidRPr="007B5FBA">
              <w:rPr>
                <w:sz w:val="20"/>
                <w:szCs w:val="20"/>
              </w:rPr>
              <w:t xml:space="preserve"> terms of </w:t>
            </w:r>
            <w:r>
              <w:rPr>
                <w:sz w:val="20"/>
                <w:szCs w:val="20"/>
              </w:rPr>
              <w:t>progress to trials</w:t>
            </w:r>
            <w:r w:rsidRPr="007B5FBA">
              <w:rPr>
                <w:sz w:val="20"/>
                <w:szCs w:val="20"/>
              </w:rPr>
              <w:t>.</w:t>
            </w:r>
            <w:r>
              <w:rPr>
                <w:sz w:val="20"/>
                <w:szCs w:val="20"/>
              </w:rPr>
              <w:t xml:space="preserve"> </w:t>
            </w:r>
            <w:r w:rsidRPr="007B5FBA">
              <w:rPr>
                <w:sz w:val="20"/>
                <w:szCs w:val="20"/>
              </w:rPr>
              <w:t xml:space="preserve">Marketable products and patenting </w:t>
            </w:r>
            <w:r w:rsidR="00F70AD9">
              <w:rPr>
                <w:sz w:val="20"/>
                <w:szCs w:val="20"/>
              </w:rPr>
              <w:t xml:space="preserve">are </w:t>
            </w:r>
            <w:r w:rsidRPr="007B5FBA">
              <w:rPr>
                <w:sz w:val="20"/>
                <w:szCs w:val="20"/>
              </w:rPr>
              <w:t>less likely to be relevant for social science projects.</w:t>
            </w:r>
          </w:p>
          <w:p w:rsidR="005F4A25" w:rsidRPr="007B5FBA" w:rsidRDefault="005F4A25" w:rsidP="00D146CA">
            <w:pPr>
              <w:pStyle w:val="Belmana4normal"/>
              <w:spacing w:after="60" w:line="240" w:lineRule="auto"/>
              <w:jc w:val="left"/>
              <w:rPr>
                <w:sz w:val="20"/>
                <w:szCs w:val="20"/>
              </w:rPr>
            </w:pPr>
            <w:r>
              <w:rPr>
                <w:b/>
                <w:sz w:val="20"/>
                <w:szCs w:val="20"/>
              </w:rPr>
              <w:t xml:space="preserve">Source: </w:t>
            </w:r>
            <w:r>
              <w:rPr>
                <w:sz w:val="20"/>
                <w:szCs w:val="20"/>
              </w:rPr>
              <w:t>Institutional monitoring systems</w:t>
            </w:r>
          </w:p>
        </w:tc>
      </w:tr>
      <w:tr w:rsidR="005F4A25" w:rsidRPr="00700F48">
        <w:trPr>
          <w:trHeight w:val="857"/>
        </w:trPr>
        <w:tc>
          <w:tcPr>
            <w:tcW w:w="2078"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jc w:val="left"/>
              <w:rPr>
                <w:sz w:val="20"/>
                <w:szCs w:val="20"/>
              </w:rPr>
            </w:pPr>
            <w:r w:rsidRPr="007B5FBA">
              <w:rPr>
                <w:b/>
                <w:bCs/>
                <w:sz w:val="20"/>
                <w:szCs w:val="20"/>
              </w:rPr>
              <w:t>Capacity Building and Staffing</w:t>
            </w:r>
          </w:p>
        </w:tc>
        <w:tc>
          <w:tcPr>
            <w:tcW w:w="3866"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rsidR="005F4A25" w:rsidRPr="007B5FBA" w:rsidRDefault="005F4A25" w:rsidP="00D146CA">
            <w:pPr>
              <w:pStyle w:val="Belmana4normal"/>
              <w:spacing w:after="60" w:line="240" w:lineRule="auto"/>
              <w:jc w:val="left"/>
              <w:rPr>
                <w:sz w:val="20"/>
                <w:szCs w:val="20"/>
              </w:rPr>
            </w:pPr>
            <w:r w:rsidRPr="007B5FBA">
              <w:rPr>
                <w:sz w:val="20"/>
                <w:szCs w:val="20"/>
              </w:rPr>
              <w:t xml:space="preserve">PhD </w:t>
            </w:r>
            <w:r w:rsidR="00F70AD9">
              <w:rPr>
                <w:sz w:val="20"/>
                <w:szCs w:val="20"/>
              </w:rPr>
              <w:t>s</w:t>
            </w:r>
            <w:r w:rsidRPr="007B5FBA">
              <w:rPr>
                <w:sz w:val="20"/>
                <w:szCs w:val="20"/>
              </w:rPr>
              <w:t>tudents recruited</w:t>
            </w:r>
            <w:r>
              <w:rPr>
                <w:sz w:val="20"/>
                <w:szCs w:val="20"/>
              </w:rPr>
              <w:t>, other staffing</w:t>
            </w:r>
          </w:p>
          <w:p w:rsidR="005F4A25" w:rsidRPr="007B5FBA" w:rsidRDefault="005F4A25" w:rsidP="00D146CA">
            <w:pPr>
              <w:pStyle w:val="Belmana4normal"/>
              <w:spacing w:after="60" w:line="240" w:lineRule="auto"/>
              <w:jc w:val="left"/>
              <w:rPr>
                <w:sz w:val="20"/>
                <w:szCs w:val="20"/>
              </w:rPr>
            </w:pPr>
            <w:r w:rsidRPr="007B5FBA">
              <w:rPr>
                <w:sz w:val="20"/>
                <w:szCs w:val="20"/>
              </w:rPr>
              <w:t>Staff seconded from academic/public partners</w:t>
            </w:r>
            <w:r>
              <w:rPr>
                <w:sz w:val="20"/>
                <w:szCs w:val="20"/>
              </w:rPr>
              <w:t xml:space="preserve">, </w:t>
            </w:r>
            <w:r w:rsidRPr="007B5FBA">
              <w:rPr>
                <w:sz w:val="20"/>
                <w:szCs w:val="20"/>
              </w:rPr>
              <w:t>from industry partners</w:t>
            </w:r>
          </w:p>
        </w:tc>
        <w:tc>
          <w:tcPr>
            <w:tcW w:w="7654" w:type="dxa"/>
            <w:tcBorders>
              <w:top w:val="single" w:sz="8" w:space="0" w:color="FFFFFF"/>
              <w:left w:val="single" w:sz="8" w:space="0" w:color="FFFFFF"/>
              <w:bottom w:val="single" w:sz="4" w:space="0" w:color="auto"/>
              <w:right w:val="single" w:sz="8" w:space="0" w:color="FFFFFF"/>
            </w:tcBorders>
            <w:shd w:val="clear" w:color="auto" w:fill="auto"/>
            <w:tcMar>
              <w:top w:w="72" w:type="dxa"/>
              <w:left w:w="144" w:type="dxa"/>
              <w:bottom w:w="72" w:type="dxa"/>
              <w:right w:w="144" w:type="dxa"/>
            </w:tcMar>
          </w:tcPr>
          <w:p w:rsidR="005F4A25" w:rsidRDefault="005F4A25" w:rsidP="00D146CA">
            <w:pPr>
              <w:pStyle w:val="Belmana4normal"/>
              <w:spacing w:after="60" w:line="240" w:lineRule="auto"/>
              <w:jc w:val="left"/>
              <w:rPr>
                <w:sz w:val="20"/>
                <w:szCs w:val="20"/>
              </w:rPr>
            </w:pPr>
            <w:r w:rsidRPr="007B5FBA">
              <w:rPr>
                <w:sz w:val="20"/>
                <w:szCs w:val="20"/>
              </w:rPr>
              <w:t>Relevant data generally collected as part of standard reportin</w:t>
            </w:r>
            <w:r>
              <w:rPr>
                <w:sz w:val="20"/>
                <w:szCs w:val="20"/>
              </w:rPr>
              <w:t>g, but it is unlikely that purely data-driven analysis would be able to</w:t>
            </w:r>
            <w:r w:rsidRPr="007B5FBA">
              <w:rPr>
                <w:sz w:val="20"/>
                <w:szCs w:val="20"/>
              </w:rPr>
              <w:t xml:space="preserve"> prove additionality. </w:t>
            </w:r>
          </w:p>
          <w:p w:rsidR="005F4A25" w:rsidRPr="007B5FBA" w:rsidRDefault="005F4A25" w:rsidP="00D146CA">
            <w:pPr>
              <w:pStyle w:val="Belmana4normal"/>
              <w:spacing w:after="60" w:line="240" w:lineRule="auto"/>
              <w:jc w:val="left"/>
              <w:rPr>
                <w:sz w:val="20"/>
                <w:szCs w:val="20"/>
              </w:rPr>
            </w:pPr>
            <w:r>
              <w:rPr>
                <w:b/>
                <w:sz w:val="20"/>
                <w:szCs w:val="20"/>
              </w:rPr>
              <w:t xml:space="preserve">Source: </w:t>
            </w:r>
            <w:r>
              <w:rPr>
                <w:sz w:val="20"/>
                <w:szCs w:val="20"/>
              </w:rPr>
              <w:t>Institutional monitoring systems</w:t>
            </w:r>
          </w:p>
        </w:tc>
      </w:tr>
    </w:tbl>
    <w:p w:rsidR="005F4A25" w:rsidRDefault="005F4A25" w:rsidP="00CA5BC4">
      <w:pPr>
        <w:pStyle w:val="Belmana3"/>
        <w:numPr>
          <w:ilvl w:val="0"/>
          <w:numId w:val="0"/>
        </w:numPr>
        <w:sectPr w:rsidR="005F4A25" w:rsidSect="00885558">
          <w:pgSz w:w="16816" w:h="11901" w:orient="landscape"/>
          <w:pgMar w:top="1440" w:right="1440" w:bottom="1440" w:left="1440" w:header="709" w:footer="709" w:gutter="0"/>
          <w:cols w:space="708"/>
          <w:titlePg/>
          <w:docGrid w:linePitch="360"/>
        </w:sectPr>
      </w:pPr>
    </w:p>
    <w:p w:rsidR="005F4A25" w:rsidRDefault="005F4A25" w:rsidP="009E29CE">
      <w:pPr>
        <w:pStyle w:val="Belmana2"/>
      </w:pPr>
      <w:bookmarkStart w:id="57" w:name="_Toc514831653"/>
      <w:r>
        <w:t xml:space="preserve">Evaluating </w:t>
      </w:r>
      <w:r w:rsidR="00AF3FEB">
        <w:t>s</w:t>
      </w:r>
      <w:r>
        <w:t xml:space="preserve">ocial </w:t>
      </w:r>
      <w:r w:rsidR="00AF3FEB">
        <w:t>s</w:t>
      </w:r>
      <w:r>
        <w:t xml:space="preserve">cience </w:t>
      </w:r>
      <w:r w:rsidR="00AF3FEB">
        <w:t>p</w:t>
      </w:r>
      <w:r>
        <w:t>rojects</w:t>
      </w:r>
      <w:bookmarkEnd w:id="57"/>
    </w:p>
    <w:p w:rsidR="005F4A25" w:rsidRDefault="005F4A25" w:rsidP="005F4A25">
      <w:pPr>
        <w:pStyle w:val="Belmananormal"/>
      </w:pPr>
      <w:r>
        <w:t>The early UKRPIF projects focused on STEM disciplines. This meant the case studies, which were selected from completed projects, did not include the more recent social science investments. The Alliance Manchester Business School (AMBS), a recent UKRPIF investment at the University of Manchester, was consulted to sense-check approaches for the full impact evaluation. It was expected that this would highlight potential differences in partnerships and research outputs between social science-focused research and infrastructure investments, and STEM-focused ones.</w:t>
      </w:r>
    </w:p>
    <w:p w:rsidR="005F4A25" w:rsidRDefault="005F4A25" w:rsidP="005F4A25">
      <w:pPr>
        <w:pStyle w:val="Belmananormal"/>
      </w:pPr>
      <w:r>
        <w:t>AMBS is a business school that takes a cross-departmental approach to research.</w:t>
      </w:r>
      <w:r w:rsidR="0003730F">
        <w:t xml:space="preserve"> The UKRPIF</w:t>
      </w:r>
      <w:r w:rsidR="00BB697C">
        <w:t xml:space="preserve"> funded investments</w:t>
      </w:r>
      <w:r>
        <w:t xml:space="preserve"> are the Data Lab, the Behavioural Change laboratory and state of the art facilities that can host collaborative </w:t>
      </w:r>
      <w:r w:rsidR="0003730F">
        <w:t xml:space="preserve">research </w:t>
      </w:r>
      <w:r>
        <w:t xml:space="preserve">events. The </w:t>
      </w:r>
      <w:r w:rsidR="00BB697C">
        <w:t>funding has – unlike most of the STEM focused projects – been matched through</w:t>
      </w:r>
      <w:r>
        <w:t xml:space="preserve"> a number of</w:t>
      </w:r>
      <w:r w:rsidR="007F455E">
        <w:t xml:space="preserve"> donations from philanthropists</w:t>
      </w:r>
      <w:r w:rsidR="00BB697C">
        <w:t xml:space="preserve"> than a single co-investor</w:t>
      </w:r>
      <w:r>
        <w:t>.</w:t>
      </w:r>
    </w:p>
    <w:p w:rsidR="005F4A25" w:rsidRPr="007F1732" w:rsidRDefault="007F455E" w:rsidP="005F4A25">
      <w:pPr>
        <w:pStyle w:val="Belmananormal"/>
      </w:pPr>
      <w:r>
        <w:t>The</w:t>
      </w:r>
      <w:r w:rsidR="005F4A25">
        <w:t xml:space="preserve"> route to additional impact </w:t>
      </w:r>
      <w:r w:rsidR="00F70AD9">
        <w:t xml:space="preserve">is </w:t>
      </w:r>
      <w:r w:rsidR="005F4A25">
        <w:t>similar to STEM</w:t>
      </w:r>
      <w:r w:rsidR="00F70AD9">
        <w:t>-</w:t>
      </w:r>
      <w:r w:rsidR="005F4A25">
        <w:t xml:space="preserve">focused projects. The investments enhanced facilities, with the large, single capital spend meaning the development of innovative facilities that otherwise would not have been developed as a single, coherent project. The leveraged co-investment was more likely to focus on research use of the facilities, and it was noted that social science research generally </w:t>
      </w:r>
      <w:r w:rsidR="00F70AD9">
        <w:t xml:space="preserve">consists of </w:t>
      </w:r>
      <w:r w:rsidR="005F4A25">
        <w:t>more incremental small- or medium-sized projects rather than funding for multi-year, large groups.</w:t>
      </w:r>
    </w:p>
    <w:tbl>
      <w:tblPr>
        <w:tblStyle w:val="TableGrid"/>
        <w:tblW w:w="0" w:type="auto"/>
        <w:tblInd w:w="10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006"/>
        <w:gridCol w:w="6902"/>
      </w:tblGrid>
      <w:tr w:rsidR="005F4A25" w:rsidRPr="005F28BD">
        <w:trPr>
          <w:trHeight w:val="459"/>
        </w:trPr>
        <w:tc>
          <w:tcPr>
            <w:tcW w:w="9665" w:type="dxa"/>
            <w:gridSpan w:val="2"/>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shd w:val="clear" w:color="auto" w:fill="993366"/>
          </w:tcPr>
          <w:p w:rsidR="005F4A25" w:rsidRPr="0034579B" w:rsidRDefault="005F4A25" w:rsidP="00D146CA">
            <w:pPr>
              <w:jc w:val="center"/>
              <w:rPr>
                <w:rFonts w:ascii="Arial" w:hAnsi="Arial" w:cs="Arial"/>
                <w:b/>
                <w:color w:val="FFFFFF" w:themeColor="background1"/>
              </w:rPr>
            </w:pPr>
            <w:r w:rsidRPr="0034579B">
              <w:rPr>
                <w:rFonts w:ascii="Arial" w:hAnsi="Arial" w:cs="Arial"/>
                <w:b/>
                <w:color w:val="FFFFFF" w:themeColor="background1"/>
              </w:rPr>
              <w:t>Identifying and Measuring Outcomes</w:t>
            </w:r>
          </w:p>
        </w:tc>
      </w:tr>
      <w:tr w:rsidR="005F4A25" w:rsidRPr="00CF5513">
        <w:trPr>
          <w:trHeight w:val="829"/>
        </w:trPr>
        <w:tc>
          <w:tcPr>
            <w:tcW w:w="1898" w:type="dxa"/>
            <w:tcBorders>
              <w:top w:val="single" w:sz="4" w:space="0" w:color="FFFFFF" w:themeColor="background1"/>
            </w:tcBorders>
            <w:shd w:val="clear" w:color="auto" w:fill="auto"/>
          </w:tcPr>
          <w:p w:rsidR="005F4A25" w:rsidRPr="00CF5513" w:rsidRDefault="005F4A25" w:rsidP="00D146CA">
            <w:pPr>
              <w:rPr>
                <w:rFonts w:ascii="Arial" w:hAnsi="Arial" w:cs="Arial"/>
                <w:b/>
                <w:sz w:val="20"/>
                <w:szCs w:val="20"/>
              </w:rPr>
            </w:pPr>
            <w:r w:rsidRPr="00CF5513">
              <w:rPr>
                <w:rFonts w:ascii="Arial" w:hAnsi="Arial" w:cs="Arial"/>
                <w:b/>
                <w:sz w:val="20"/>
                <w:szCs w:val="20"/>
              </w:rPr>
              <w:t>Changes to the Operating Model</w:t>
            </w:r>
          </w:p>
        </w:tc>
        <w:tc>
          <w:tcPr>
            <w:tcW w:w="7767" w:type="dxa"/>
            <w:tcBorders>
              <w:top w:val="single" w:sz="4" w:space="0" w:color="FFFFFF" w:themeColor="background1"/>
            </w:tcBorders>
            <w:shd w:val="clear" w:color="auto" w:fill="auto"/>
          </w:tcPr>
          <w:p w:rsidR="005F4A25" w:rsidRPr="009B53EA" w:rsidRDefault="005F4A25" w:rsidP="00D146CA">
            <w:pPr>
              <w:pStyle w:val="Belmanacasestudy"/>
              <w:spacing w:after="60"/>
            </w:pPr>
            <w:r w:rsidRPr="009B53EA">
              <w:t xml:space="preserve">The changes are similar to STEM-focused projects, and facilities alter and enhance the way academics and industry interact by way of co-location. In the future it will be of interest to attempt mapping of the networks and human capital generated. </w:t>
            </w:r>
          </w:p>
        </w:tc>
      </w:tr>
      <w:tr w:rsidR="005F4A25" w:rsidRPr="00CF5513">
        <w:tc>
          <w:tcPr>
            <w:tcW w:w="1898" w:type="dxa"/>
            <w:shd w:val="clear" w:color="auto" w:fill="auto"/>
          </w:tcPr>
          <w:p w:rsidR="005F4A25" w:rsidRPr="00CF5513" w:rsidRDefault="005F4A25" w:rsidP="00D146CA">
            <w:pPr>
              <w:rPr>
                <w:rFonts w:ascii="Arial" w:hAnsi="Arial" w:cs="Arial"/>
                <w:b/>
                <w:sz w:val="20"/>
                <w:szCs w:val="20"/>
              </w:rPr>
            </w:pPr>
            <w:r w:rsidRPr="00CF5513">
              <w:rPr>
                <w:rFonts w:ascii="Arial" w:hAnsi="Arial" w:cs="Arial"/>
                <w:b/>
                <w:sz w:val="20"/>
                <w:szCs w:val="20"/>
              </w:rPr>
              <w:t>Uptake of Equipment and Facilities</w:t>
            </w:r>
          </w:p>
        </w:tc>
        <w:tc>
          <w:tcPr>
            <w:tcW w:w="7767" w:type="dxa"/>
            <w:shd w:val="clear" w:color="auto" w:fill="auto"/>
          </w:tcPr>
          <w:p w:rsidR="00674BC0" w:rsidRDefault="005F4A25" w:rsidP="00CA5BC4">
            <w:pPr>
              <w:pStyle w:val="Belmanacasestudy"/>
              <w:spacing w:after="60"/>
            </w:pPr>
            <w:r w:rsidRPr="009B53EA">
              <w:t xml:space="preserve">A revenue-generating model where premises and equipment </w:t>
            </w:r>
            <w:r w:rsidR="00F70AD9">
              <w:t xml:space="preserve">are </w:t>
            </w:r>
            <w:r w:rsidRPr="009B53EA">
              <w:t>rented out to commercial partners is likely to be less appropriate for social science</w:t>
            </w:r>
            <w:r w:rsidR="00F70AD9">
              <w:t>-</w:t>
            </w:r>
            <w:r w:rsidRPr="009B53EA">
              <w:t xml:space="preserve">focused infrastructure investments as most businesses use the facilities in a co-creation context. Measuring uptake of facilities through income derived from rental of facilities/equipment is therefore unlikely to be helpful. </w:t>
            </w:r>
          </w:p>
        </w:tc>
      </w:tr>
      <w:tr w:rsidR="005F4A25" w:rsidRPr="00CF5513">
        <w:tc>
          <w:tcPr>
            <w:tcW w:w="1898" w:type="dxa"/>
            <w:shd w:val="clear" w:color="auto" w:fill="auto"/>
          </w:tcPr>
          <w:p w:rsidR="005F4A25" w:rsidRPr="00CF5513" w:rsidRDefault="005F4A25" w:rsidP="00D146CA">
            <w:pPr>
              <w:rPr>
                <w:rFonts w:ascii="Arial" w:hAnsi="Arial" w:cs="Arial"/>
                <w:b/>
                <w:sz w:val="20"/>
                <w:szCs w:val="20"/>
              </w:rPr>
            </w:pPr>
            <w:r w:rsidRPr="00CF5513">
              <w:rPr>
                <w:rFonts w:ascii="Arial" w:hAnsi="Arial" w:cs="Arial"/>
                <w:b/>
                <w:sz w:val="20"/>
                <w:szCs w:val="20"/>
              </w:rPr>
              <w:t>Innovative Nature of Facilities and Equipment</w:t>
            </w:r>
          </w:p>
        </w:tc>
        <w:tc>
          <w:tcPr>
            <w:tcW w:w="7767" w:type="dxa"/>
            <w:shd w:val="clear" w:color="auto" w:fill="auto"/>
          </w:tcPr>
          <w:p w:rsidR="005F4A25" w:rsidRPr="009B53EA" w:rsidRDefault="005F4A25" w:rsidP="00D146CA">
            <w:pPr>
              <w:pStyle w:val="Belmanacasestudy"/>
              <w:spacing w:after="60"/>
            </w:pPr>
            <w:r w:rsidRPr="009B53EA">
              <w:t xml:space="preserve">Contrasting </w:t>
            </w:r>
            <w:r w:rsidR="00F70AD9">
              <w:t xml:space="preserve">with </w:t>
            </w:r>
            <w:r w:rsidRPr="009B53EA">
              <w:t xml:space="preserve">STEM focused investments in materials and advanced manufacturing, innovation in social science projects such as </w:t>
            </w:r>
            <w:r w:rsidR="00F70AD9">
              <w:t xml:space="preserve">those run by </w:t>
            </w:r>
            <w:r w:rsidRPr="009B53EA">
              <w:t xml:space="preserve">AMBS lies in the use of the equipment and facilities rather than in the equipment itself. The equipment employed is largely “off the shelf”, and the scope for innovations is in the algorithms and modes of deployment. </w:t>
            </w:r>
          </w:p>
        </w:tc>
      </w:tr>
      <w:tr w:rsidR="005F4A25" w:rsidRPr="00CF5513">
        <w:tc>
          <w:tcPr>
            <w:tcW w:w="1898" w:type="dxa"/>
            <w:tcBorders>
              <w:bottom w:val="single" w:sz="4" w:space="0" w:color="auto"/>
            </w:tcBorders>
            <w:shd w:val="clear" w:color="auto" w:fill="auto"/>
          </w:tcPr>
          <w:p w:rsidR="005F4A25" w:rsidRPr="00CF5513" w:rsidRDefault="005F4A25" w:rsidP="00D146CA">
            <w:pPr>
              <w:rPr>
                <w:rFonts w:ascii="Arial" w:hAnsi="Arial" w:cs="Arial"/>
                <w:b/>
                <w:sz w:val="20"/>
                <w:szCs w:val="20"/>
              </w:rPr>
            </w:pPr>
            <w:r w:rsidRPr="00CF5513">
              <w:rPr>
                <w:rFonts w:ascii="Arial" w:hAnsi="Arial" w:cs="Arial"/>
                <w:b/>
                <w:sz w:val="20"/>
                <w:szCs w:val="20"/>
              </w:rPr>
              <w:t>Commercialisation and Spin-Outs</w:t>
            </w:r>
          </w:p>
        </w:tc>
        <w:tc>
          <w:tcPr>
            <w:tcW w:w="7767" w:type="dxa"/>
            <w:tcBorders>
              <w:bottom w:val="single" w:sz="4" w:space="0" w:color="auto"/>
            </w:tcBorders>
            <w:shd w:val="clear" w:color="auto" w:fill="auto"/>
          </w:tcPr>
          <w:p w:rsidR="005F4A25" w:rsidRPr="009B53EA" w:rsidRDefault="005F4A25" w:rsidP="00D146CA">
            <w:pPr>
              <w:pStyle w:val="Belmanacasestudy"/>
              <w:spacing w:after="60"/>
            </w:pPr>
            <w:r w:rsidRPr="009B53EA">
              <w:t xml:space="preserve">A hard metric for marketable products rolled out is not likely to be a suitable measurement of success as a lot of operations and research evolve around softer areas of work, talking to companies about improvement of processes and services to boost their productivity. However, there is scope for spin-outs growing out of the interdisciplinary nature of business schools. </w:t>
            </w:r>
          </w:p>
        </w:tc>
      </w:tr>
    </w:tbl>
    <w:p w:rsidR="005F4A25" w:rsidRDefault="005F4A25" w:rsidP="005F4A25">
      <w:pPr>
        <w:pStyle w:val="Belmana4normal"/>
      </w:pPr>
    </w:p>
    <w:p w:rsidR="005F4A25" w:rsidRDefault="005F4A25" w:rsidP="005F4A25">
      <w:pPr>
        <w:pStyle w:val="Belmananormal"/>
      </w:pPr>
      <w:r>
        <w:t>As with STEM-focused projects, the deadweight is difficult to assess, and measurement and attribution of impacts is complex due to the timescales and nature of work (which is often consultative). However, metrics such as tracked business engagement and benchmarking against similar projects in other departments provide useful points of comparison. AMBS reports on outcomes in line with the STEM-focused investments. Key outputs include publications, partnerships and recruitment. Further, in line with overall findings of UKRPIF projects</w:t>
      </w:r>
      <w:r w:rsidR="0003730F">
        <w:t>,</w:t>
      </w:r>
      <w:r>
        <w:t xml:space="preserve"> the accessibility and attractiven</w:t>
      </w:r>
      <w:r w:rsidR="0003730F">
        <w:t>ess of the premises to industry</w:t>
      </w:r>
      <w:r>
        <w:t xml:space="preserve"> along with co-location of staff were central to project design.</w:t>
      </w:r>
    </w:p>
    <w:p w:rsidR="005F4A25" w:rsidRDefault="005F4A25" w:rsidP="005F4A25">
      <w:pPr>
        <w:pStyle w:val="Belmananormal"/>
      </w:pPr>
      <w:r>
        <w:t xml:space="preserve">A departure noted by ABMS from STEM projects was </w:t>
      </w:r>
      <w:r w:rsidR="00F70AD9">
        <w:t xml:space="preserve">that </w:t>
      </w:r>
      <w:r>
        <w:t>outcomes would often involve policy influence, partnering with local, national and international government and policy</w:t>
      </w:r>
      <w:r w:rsidR="00F70AD9">
        <w:t>-</w:t>
      </w:r>
      <w:r>
        <w:t>making stakeholders. The links with industry, especially SMEs, then may also be shaped around the policy levers that the social sciences seek to influence.</w:t>
      </w:r>
    </w:p>
    <w:p w:rsidR="00BB697C" w:rsidRDefault="00BB697C">
      <w:pPr>
        <w:rPr>
          <w:rFonts w:ascii="Arial" w:hAnsi="Arial" w:cs="Arial"/>
        </w:rPr>
      </w:pPr>
      <w:r>
        <w:br w:type="page"/>
      </w:r>
    </w:p>
    <w:p w:rsidR="005F4A25" w:rsidRDefault="005F4A25" w:rsidP="00F70AD9">
      <w:pPr>
        <w:pStyle w:val="Belmananormal"/>
        <w:numPr>
          <w:ilvl w:val="0"/>
          <w:numId w:val="0"/>
        </w:numPr>
      </w:pPr>
    </w:p>
    <w:p w:rsidR="00B84942" w:rsidRPr="008C2E15" w:rsidRDefault="00B84942" w:rsidP="00CA5BC4">
      <w:pPr>
        <w:pStyle w:val="BelmanaHeadNumbered"/>
        <w:spacing w:before="0"/>
      </w:pPr>
      <w:bookmarkStart w:id="58" w:name="_Toc514831654"/>
      <w:r w:rsidRPr="008C2E15">
        <w:t xml:space="preserve">Emerging </w:t>
      </w:r>
      <w:r w:rsidR="0048245C" w:rsidRPr="00CA5BC4">
        <w:t>UKRPIF</w:t>
      </w:r>
      <w:r w:rsidR="0048245C">
        <w:t xml:space="preserve"> </w:t>
      </w:r>
      <w:r w:rsidR="009C3448">
        <w:t>o</w:t>
      </w:r>
      <w:r w:rsidRPr="008C2E15">
        <w:t>utputs</w:t>
      </w:r>
      <w:bookmarkEnd w:id="55"/>
      <w:bookmarkEnd w:id="58"/>
    </w:p>
    <w:p w:rsidR="00B84942" w:rsidRDefault="00B84942" w:rsidP="007A6C8D">
      <w:pPr>
        <w:pStyle w:val="Belmananormal"/>
        <w:numPr>
          <w:ilvl w:val="0"/>
          <w:numId w:val="25"/>
        </w:numPr>
      </w:pPr>
      <w:r w:rsidRPr="008C2E15">
        <w:t xml:space="preserve">The emerging outputs have been analysed for </w:t>
      </w:r>
      <w:r w:rsidR="00F70AD9">
        <w:t xml:space="preserve">the </w:t>
      </w:r>
      <w:r w:rsidRPr="008C2E15">
        <w:t>15 projects that have returned a project completion report to HEFCE</w:t>
      </w:r>
      <w:r w:rsidR="00E70081">
        <w:t xml:space="preserve"> and the five projects selected as case studies</w:t>
      </w:r>
      <w:r w:rsidRPr="008C2E15">
        <w:t xml:space="preserve">. </w:t>
      </w:r>
      <w:bookmarkStart w:id="59" w:name="_Hlk492046827"/>
      <w:r w:rsidR="003D034F">
        <w:t>E</w:t>
      </w:r>
      <w:r w:rsidRPr="008C2E15">
        <w:t>ach output was categorised into the following different themes:</w:t>
      </w:r>
      <w:r w:rsidR="00E70081">
        <w:t xml:space="preserve"> changes in operating models,</w:t>
      </w:r>
      <w:r w:rsidRPr="008C2E15">
        <w:t xml:space="preserve"> impact on market readiness, research outputs (</w:t>
      </w:r>
      <w:r w:rsidR="006B2FE7">
        <w:t xml:space="preserve">such as </w:t>
      </w:r>
      <w:r w:rsidRPr="008C2E15">
        <w:t>papers, patents and licences), student numbers, impact on collaboration with universities, impact on collaboration with industry, and impact on start-up companies/spin offs.</w:t>
      </w:r>
      <w:bookmarkEnd w:id="59"/>
    </w:p>
    <w:p w:rsidR="007A6C8D" w:rsidRDefault="00E70081" w:rsidP="00B84942">
      <w:pPr>
        <w:pStyle w:val="Belmananormal"/>
      </w:pPr>
      <w:bookmarkStart w:id="60" w:name="_Toc497315088"/>
      <w:r>
        <w:t>T</w:t>
      </w:r>
      <w:r w:rsidR="00167A6F">
        <w:t>he quantitative evidence</w:t>
      </w:r>
      <w:r>
        <w:t xml:space="preserve"> is </w:t>
      </w:r>
      <w:r w:rsidR="00F46146">
        <w:t>not yet</w:t>
      </w:r>
      <w:r>
        <w:t xml:space="preserve"> </w:t>
      </w:r>
      <w:r w:rsidR="00F46146">
        <w:t>mature enough</w:t>
      </w:r>
      <w:r>
        <w:t xml:space="preserve"> </w:t>
      </w:r>
      <w:r w:rsidR="00167A6F">
        <w:t>to</w:t>
      </w:r>
      <w:r w:rsidR="00B84942">
        <w:t xml:space="preserve"> assess </w:t>
      </w:r>
      <w:r>
        <w:t xml:space="preserve">the long-term impacts and the </w:t>
      </w:r>
      <w:r w:rsidR="00B84942">
        <w:t>additionality of impacts</w:t>
      </w:r>
      <w:r w:rsidR="00167A6F">
        <w:t>. However</w:t>
      </w:r>
      <w:r w:rsidR="00B84942">
        <w:t xml:space="preserve">, the case studies highlighted </w:t>
      </w:r>
      <w:r w:rsidR="0048245C">
        <w:t>many</w:t>
      </w:r>
      <w:r w:rsidR="00B84942">
        <w:t xml:space="preserve"> early outputs and expected </w:t>
      </w:r>
      <w:r w:rsidR="003B0AB3">
        <w:t>impacts and</w:t>
      </w:r>
      <w:r w:rsidR="00167A6F">
        <w:t xml:space="preserve"> supported the analysis of management i</w:t>
      </w:r>
      <w:r w:rsidR="00B84942">
        <w:t>nformation and investment data</w:t>
      </w:r>
      <w:bookmarkEnd w:id="60"/>
      <w:r w:rsidR="00167A6F">
        <w:t xml:space="preserve"> to explore the way impacts are developing that might be measured in a full</w:t>
      </w:r>
      <w:r w:rsidR="00AE415D">
        <w:t>, future</w:t>
      </w:r>
      <w:r w:rsidR="00167A6F">
        <w:t xml:space="preserve"> evaluation</w:t>
      </w:r>
      <w:r w:rsidR="007A6C8D">
        <w:t>.</w:t>
      </w:r>
      <w:bookmarkStart w:id="61" w:name="_Toc497315089"/>
    </w:p>
    <w:p w:rsidR="00B84942" w:rsidRDefault="00E70081" w:rsidP="00B84942">
      <w:pPr>
        <w:pStyle w:val="Belmananormal"/>
      </w:pPr>
      <w:r>
        <w:t>The research uses a mix of case studies and review of the early outputs reported by projects to HEFCE in monitoring. F</w:t>
      </w:r>
      <w:r w:rsidR="00B84942">
        <w:t>irstly, the case study findings corroborate</w:t>
      </w:r>
      <w:r w:rsidR="00AE415D">
        <w:t xml:space="preserve"> the analysis of </w:t>
      </w:r>
      <w:r w:rsidR="00F46146">
        <w:t>MI</w:t>
      </w:r>
      <w:r>
        <w:t>,</w:t>
      </w:r>
      <w:r w:rsidR="00B84942">
        <w:t xml:space="preserve"> that the UKRPIF is meeting the objectives to enhance research facilities.</w:t>
      </w:r>
      <w:bookmarkEnd w:id="61"/>
      <w:r>
        <w:t xml:space="preserve"> Secondly, t</w:t>
      </w:r>
      <w:r w:rsidR="00B84942">
        <w:t xml:space="preserve">he case studies </w:t>
      </w:r>
      <w:r>
        <w:t>provide</w:t>
      </w:r>
      <w:r w:rsidR="00B84942">
        <w:t xml:space="preserve"> ev</w:t>
      </w:r>
      <w:r>
        <w:t>idence of operational change,</w:t>
      </w:r>
      <w:r w:rsidR="00B84942">
        <w:t xml:space="preserve"> innovative research practices and partnership struc</w:t>
      </w:r>
      <w:r w:rsidR="00AE415D">
        <w:t>tures. The analysis of management i</w:t>
      </w:r>
      <w:r w:rsidR="00B84942">
        <w:t xml:space="preserve">nformation and private sector investment leveraged highlight the role of the UKRPIF in encouraging strategic partnerships between </w:t>
      </w:r>
      <w:r w:rsidR="00F46146">
        <w:t xml:space="preserve">HEIs </w:t>
      </w:r>
      <w:r w:rsidR="00B84942">
        <w:t xml:space="preserve">and other organisations, and the consultation </w:t>
      </w:r>
      <w:r w:rsidR="001E6233">
        <w:t xml:space="preserve">with </w:t>
      </w:r>
      <w:r w:rsidR="00B84942">
        <w:t>stakeholder</w:t>
      </w:r>
      <w:r w:rsidR="001E6233">
        <w:t>s</w:t>
      </w:r>
      <w:r w:rsidR="00B84942">
        <w:t xml:space="preserve"> from institutions and industry partners complemented these findings, highlighting new opportunities for collaboration and co-location.</w:t>
      </w:r>
    </w:p>
    <w:p w:rsidR="00B84942" w:rsidRDefault="00F3024A" w:rsidP="00B84942">
      <w:pPr>
        <w:pStyle w:val="Belmananormal"/>
      </w:pPr>
      <w:r>
        <w:t>Additionality has been explored at various levels</w:t>
      </w:r>
      <w:r w:rsidR="00B83354">
        <w:t xml:space="preserve"> to assess the extent to which projects and investments might have gone ahead without </w:t>
      </w:r>
      <w:r w:rsidR="001E6233">
        <w:t>UKRPIF support</w:t>
      </w:r>
      <w:r w:rsidR="003B0AB3">
        <w:t xml:space="preserve">: </w:t>
      </w:r>
      <w:r w:rsidR="00B83354">
        <w:t xml:space="preserve">would the </w:t>
      </w:r>
      <w:r w:rsidR="00D33422">
        <w:t xml:space="preserve">HEIs have used other funding available to </w:t>
      </w:r>
      <w:r w:rsidR="00593968">
        <w:t>them and</w:t>
      </w:r>
      <w:r w:rsidR="00D33422">
        <w:t xml:space="preserve"> would </w:t>
      </w:r>
      <w:r w:rsidR="00B83354">
        <w:t xml:space="preserve">private sector actors have been willing to provide </w:t>
      </w:r>
      <w:r w:rsidR="00D33422">
        <w:t xml:space="preserve">enough finance for the investment, without the grant. </w:t>
      </w:r>
      <w:r w:rsidR="00B83354">
        <w:t>A</w:t>
      </w:r>
      <w:r>
        <w:t>n interesting area highlighted is that the structure of the UKRPIF</w:t>
      </w:r>
      <w:r w:rsidR="00D33422">
        <w:t>,</w:t>
      </w:r>
      <w:r>
        <w:t xml:space="preserve"> and the requirement for co-investment</w:t>
      </w:r>
      <w:r w:rsidR="001E6233">
        <w:t>,</w:t>
      </w:r>
      <w:r>
        <w:t xml:space="preserve"> mean</w:t>
      </w:r>
      <w:r w:rsidR="0003730F">
        <w:t>s</w:t>
      </w:r>
      <w:r>
        <w:t xml:space="preserve"> that larger investments </w:t>
      </w:r>
      <w:r w:rsidR="0003730F">
        <w:t>can</w:t>
      </w:r>
      <w:r>
        <w:t xml:space="preserve"> be made joining up</w:t>
      </w:r>
      <w:r w:rsidR="00D33422">
        <w:t xml:space="preserve"> streams of finance, </w:t>
      </w:r>
      <w:r>
        <w:t xml:space="preserve">coordinating activities around strategic considerations and drawing in collaborators. </w:t>
      </w:r>
      <w:bookmarkStart w:id="62" w:name="_Hlk506559857"/>
      <w:r>
        <w:t>Case study</w:t>
      </w:r>
      <w:r w:rsidR="00B84942">
        <w:t xml:space="preserve"> interviews picked </w:t>
      </w:r>
      <w:r w:rsidR="00D33422">
        <w:t>up</w:t>
      </w:r>
      <w:r>
        <w:t xml:space="preserve"> that the</w:t>
      </w:r>
      <w:r w:rsidR="00B84942">
        <w:t xml:space="preserve"> coordination</w:t>
      </w:r>
      <w:r>
        <w:t xml:space="preserve"> involved </w:t>
      </w:r>
      <w:r w:rsidR="00B84942">
        <w:t xml:space="preserve">and </w:t>
      </w:r>
      <w:r>
        <w:t xml:space="preserve">the </w:t>
      </w:r>
      <w:r w:rsidR="00B84942">
        <w:t>size of funding</w:t>
      </w:r>
      <w:r>
        <w:t xml:space="preserve"> delivered </w:t>
      </w:r>
      <w:r w:rsidR="00593968">
        <w:t xml:space="preserve">meant that </w:t>
      </w:r>
      <w:r>
        <w:t>a scale of investment</w:t>
      </w:r>
      <w:r w:rsidR="00593968">
        <w:t xml:space="preserve"> was possible which otherwise would have been difficult</w:t>
      </w:r>
      <w:bookmarkEnd w:id="62"/>
      <w:r>
        <w:t xml:space="preserve">. This was considered </w:t>
      </w:r>
      <w:r w:rsidR="00B84942">
        <w:t>crucia</w:t>
      </w:r>
      <w:r>
        <w:t xml:space="preserve">l by stakeholders and end-users, and </w:t>
      </w:r>
      <w:r w:rsidR="00B84942">
        <w:t xml:space="preserve">funding </w:t>
      </w:r>
      <w:r>
        <w:t xml:space="preserve">that </w:t>
      </w:r>
      <w:r w:rsidR="00B84942">
        <w:t>could have been obtaine</w:t>
      </w:r>
      <w:r>
        <w:t xml:space="preserve">d through alternative sources </w:t>
      </w:r>
      <w:r w:rsidR="00B84942">
        <w:t xml:space="preserve">would </w:t>
      </w:r>
      <w:r w:rsidR="001E6233">
        <w:t xml:space="preserve">otherwise </w:t>
      </w:r>
      <w:r w:rsidR="00B84942">
        <w:t xml:space="preserve">have been for piece-meal investment and isolated research projects. </w:t>
      </w:r>
    </w:p>
    <w:bookmarkStart w:id="63" w:name="_Toc514831655"/>
    <w:p w:rsidR="00B84942" w:rsidRDefault="001039F9" w:rsidP="00B84942">
      <w:pPr>
        <w:pStyle w:val="Belmana2"/>
      </w:pPr>
      <w:r>
        <w:rPr>
          <w:noProof/>
          <w:lang w:val="en-GB" w:eastAsia="en-GB"/>
        </w:rPr>
        <mc:AlternateContent>
          <mc:Choice Requires="wps">
            <w:drawing>
              <wp:anchor distT="45720" distB="45720" distL="114300" distR="114300" simplePos="0" relativeHeight="251687936" behindDoc="0" locked="0" layoutInCell="1" allowOverlap="1">
                <wp:simplePos x="0" y="0"/>
                <wp:positionH relativeFrom="margin">
                  <wp:posOffset>3336290</wp:posOffset>
                </wp:positionH>
                <wp:positionV relativeFrom="paragraph">
                  <wp:posOffset>17780</wp:posOffset>
                </wp:positionV>
                <wp:extent cx="3200400" cy="7096125"/>
                <wp:effectExtent l="0" t="0" r="0" b="0"/>
                <wp:wrapSquare wrapText="bothSides"/>
                <wp:docPr id="2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00400" cy="7096125"/>
                        </a:xfrm>
                        <a:prstGeom prst="rect">
                          <a:avLst/>
                        </a:prstGeom>
                        <a:solidFill>
                          <a:schemeClr val="bg1">
                            <a:lumMod val="95000"/>
                          </a:schemeClr>
                        </a:solidFill>
                        <a:ln w="9525">
                          <a:noFill/>
                          <a:miter lim="800000"/>
                          <a:headEnd/>
                          <a:tailEnd/>
                        </a:ln>
                      </wps:spPr>
                      <wps:txbx>
                        <w:txbxContent>
                          <w:p w:rsidR="00D441C7" w:rsidRDefault="00D441C7" w:rsidP="00CA5BC4">
                            <w:pPr>
                              <w:pStyle w:val="BelmanaCS3"/>
                            </w:pPr>
                            <w:bookmarkStart w:id="64" w:name="_Toc514831656"/>
                            <w:r w:rsidRPr="006F058B">
                              <w:t>C</w:t>
                            </w:r>
                            <w:r>
                              <w:t xml:space="preserve">o-locating the King’s College London (KCL) </w:t>
                            </w:r>
                            <w:r w:rsidRPr="006F058B">
                              <w:t>Research and Innovation Hub in Ca</w:t>
                            </w:r>
                            <w:r>
                              <w:t>ncer (RIHC) with NHS delivery</w:t>
                            </w:r>
                            <w:bookmarkEnd w:id="64"/>
                          </w:p>
                          <w:p w:rsidR="00D441C7" w:rsidRPr="0034579B" w:rsidRDefault="00D441C7" w:rsidP="00F3024A">
                            <w:pPr>
                              <w:pStyle w:val="Belmananormal"/>
                              <w:numPr>
                                <w:ilvl w:val="0"/>
                                <w:numId w:val="0"/>
                              </w:numPr>
                              <w:shd w:val="clear" w:color="auto" w:fill="F2F2F2" w:themeFill="background1" w:themeFillShade="F2"/>
                              <w:rPr>
                                <w:sz w:val="22"/>
                              </w:rPr>
                            </w:pPr>
                            <w:r w:rsidRPr="0034579B">
                              <w:rPr>
                                <w:sz w:val="22"/>
                              </w:rPr>
                              <w:t xml:space="preserve">The RIHC, also called the ‘Innovation Hub’, has used the UKRPIF grant and leveraged co-investment to embed research into patient pathways. </w:t>
                            </w:r>
                          </w:p>
                          <w:p w:rsidR="00D441C7" w:rsidRPr="0034579B" w:rsidRDefault="00D441C7" w:rsidP="00F3024A">
                            <w:pPr>
                              <w:pStyle w:val="Belmananormal"/>
                              <w:numPr>
                                <w:ilvl w:val="0"/>
                                <w:numId w:val="0"/>
                              </w:numPr>
                              <w:shd w:val="clear" w:color="auto" w:fill="F2F2F2" w:themeFill="background1" w:themeFillShade="F2"/>
                              <w:rPr>
                                <w:sz w:val="22"/>
                              </w:rPr>
                            </w:pPr>
                            <w:r w:rsidRPr="0034579B">
                              <w:rPr>
                                <w:sz w:val="22"/>
                              </w:rPr>
                              <w:t xml:space="preserve">The </w:t>
                            </w:r>
                            <w:r>
                              <w:rPr>
                                <w:sz w:val="22"/>
                              </w:rPr>
                              <w:t>h</w:t>
                            </w:r>
                            <w:r w:rsidRPr="0034579B">
                              <w:rPr>
                                <w:sz w:val="22"/>
                              </w:rPr>
                              <w:t xml:space="preserve">ub co-locates </w:t>
                            </w:r>
                            <w:r>
                              <w:rPr>
                                <w:sz w:val="22"/>
                              </w:rPr>
                              <w:t xml:space="preserve">research facilities, such as </w:t>
                            </w:r>
                            <w:r w:rsidRPr="0034579B">
                              <w:rPr>
                                <w:sz w:val="22"/>
                              </w:rPr>
                              <w:t xml:space="preserve">an expanded biobank </w:t>
                            </w:r>
                            <w:r>
                              <w:rPr>
                                <w:sz w:val="22"/>
                              </w:rPr>
                              <w:t>of cancer samples, with clinical activity. It occupies a floor of</w:t>
                            </w:r>
                            <w:r w:rsidRPr="0034579B">
                              <w:rPr>
                                <w:sz w:val="22"/>
                              </w:rPr>
                              <w:t xml:space="preserve"> the newly built </w:t>
                            </w:r>
                            <w:r>
                              <w:rPr>
                                <w:sz w:val="22"/>
                              </w:rPr>
                              <w:t xml:space="preserve">Guy’s and St Thomas’ Hospital Trust </w:t>
                            </w:r>
                            <w:r w:rsidRPr="0034579B">
                              <w:rPr>
                                <w:sz w:val="22"/>
                              </w:rPr>
                              <w:t>Cancer Centre,</w:t>
                            </w:r>
                            <w:r>
                              <w:rPr>
                                <w:sz w:val="22"/>
                              </w:rPr>
                              <w:t xml:space="preserve"> which is also the main co-investor. The hub i</w:t>
                            </w:r>
                            <w:r w:rsidRPr="0034579B">
                              <w:rPr>
                                <w:sz w:val="22"/>
                              </w:rPr>
                              <w:t>s an open</w:t>
                            </w:r>
                            <w:r>
                              <w:rPr>
                                <w:sz w:val="22"/>
                              </w:rPr>
                              <w:t>-</w:t>
                            </w:r>
                            <w:r w:rsidRPr="0034579B">
                              <w:rPr>
                                <w:sz w:val="22"/>
                              </w:rPr>
                              <w:t>plan design equipped with state-of-the art equipment, extensive biobanking facilities and hot</w:t>
                            </w:r>
                            <w:r>
                              <w:rPr>
                                <w:sz w:val="22"/>
                              </w:rPr>
                              <w:t>-</w:t>
                            </w:r>
                            <w:r w:rsidRPr="0034579B">
                              <w:rPr>
                                <w:sz w:val="22"/>
                              </w:rPr>
                              <w:t>desking areas to encourage interaction between teams. The premises have been developed</w:t>
                            </w:r>
                            <w:r>
                              <w:rPr>
                                <w:sz w:val="22"/>
                              </w:rPr>
                              <w:t xml:space="preserve"> to</w:t>
                            </w:r>
                            <w:r w:rsidRPr="0034579B">
                              <w:rPr>
                                <w:sz w:val="22"/>
                              </w:rPr>
                              <w:t xml:space="preserve"> foster collaboration and harness innovative ideas.</w:t>
                            </w:r>
                          </w:p>
                          <w:p w:rsidR="00D441C7" w:rsidRPr="0034579B" w:rsidRDefault="00D441C7" w:rsidP="00F3024A">
                            <w:pPr>
                              <w:pStyle w:val="Belmananormal"/>
                              <w:numPr>
                                <w:ilvl w:val="0"/>
                                <w:numId w:val="0"/>
                              </w:numPr>
                              <w:shd w:val="clear" w:color="auto" w:fill="F2F2F2" w:themeFill="background1" w:themeFillShade="F2"/>
                              <w:rPr>
                                <w:sz w:val="22"/>
                              </w:rPr>
                            </w:pPr>
                            <w:r w:rsidRPr="0034579B">
                              <w:rPr>
                                <w:sz w:val="22"/>
                              </w:rPr>
                              <w:t>This has reduced equipment duplication, freeing up capital resources to purchase additional equipment. The centralisation of equipment has also prov</w:t>
                            </w:r>
                            <w:r>
                              <w:rPr>
                                <w:sz w:val="22"/>
                              </w:rPr>
                              <w:t>ided efficiencies for the</w:t>
                            </w:r>
                            <w:r w:rsidRPr="0034579B">
                              <w:rPr>
                                <w:sz w:val="22"/>
                              </w:rPr>
                              <w:t xml:space="preserve"> team</w:t>
                            </w:r>
                            <w:r>
                              <w:rPr>
                                <w:sz w:val="22"/>
                              </w:rPr>
                              <w:t>s conducting clinical trials</w:t>
                            </w:r>
                            <w:r w:rsidRPr="0034579B">
                              <w:rPr>
                                <w:sz w:val="22"/>
                              </w:rPr>
                              <w:t xml:space="preserve">. Trials team members also have hot-desks in the </w:t>
                            </w:r>
                            <w:r>
                              <w:rPr>
                                <w:sz w:val="22"/>
                              </w:rPr>
                              <w:t>h</w:t>
                            </w:r>
                            <w:r w:rsidRPr="0034579B">
                              <w:rPr>
                                <w:sz w:val="22"/>
                              </w:rPr>
                              <w:t>ub facilitating their interaction with the biobank and researchers, and perceive efficiencies both in finding clinical principal investigators and engaging in ongoing dialogue with biobankers regarding techniques and feasibility in trials.</w:t>
                            </w:r>
                          </w:p>
                          <w:p w:rsidR="00D441C7" w:rsidRPr="0034579B" w:rsidRDefault="00D441C7" w:rsidP="00F3024A">
                            <w:pPr>
                              <w:pStyle w:val="Belmananormal"/>
                              <w:numPr>
                                <w:ilvl w:val="0"/>
                                <w:numId w:val="0"/>
                              </w:numPr>
                              <w:shd w:val="clear" w:color="auto" w:fill="F2F2F2" w:themeFill="background1" w:themeFillShade="F2"/>
                              <w:rPr>
                                <w:sz w:val="22"/>
                              </w:rPr>
                            </w:pPr>
                            <w:r w:rsidRPr="0034579B">
                              <w:rPr>
                                <w:sz w:val="22"/>
                              </w:rPr>
                              <w:t xml:space="preserve">The location of the </w:t>
                            </w:r>
                            <w:r>
                              <w:rPr>
                                <w:sz w:val="22"/>
                              </w:rPr>
                              <w:t>h</w:t>
                            </w:r>
                            <w:r w:rsidRPr="0034579B">
                              <w:rPr>
                                <w:sz w:val="22"/>
                              </w:rPr>
                              <w:t xml:space="preserve">ub itself within the Cancer Centre has also created opportunities through routine interaction with the activities on the other floors, and the lease of the top floor to HCA healthcare UK has connected academic activity and private healthcare resulting in training and partnering opportunities currently being explored. </w:t>
                            </w:r>
                          </w:p>
                          <w:p w:rsidR="00D441C7" w:rsidRDefault="00D441C7" w:rsidP="00B84942">
                            <w:pPr>
                              <w:shd w:val="clear" w:color="auto" w:fill="F2F2F2" w:themeFill="background1" w:themeFillShade="F2"/>
                            </w:pP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Text Box 2" o:spid="_x0000_s1028" type="#_x0000_t202" style="position:absolute;margin-left:262.7pt;margin-top:1.4pt;width:252pt;height:558.75pt;z-index:251687936;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" fillcolor="#f2f2f2 [3052]" stroked="f">
                <v:textbox>
                  <w:txbxContent>
                    <w:p w:rsidR="00D441C7" w:rsidRDefault="00D441C7" w:rsidP="00CA5BC4">
                      <w:pPr>
                        <w:pStyle w:val="BelmanaCS3"/>
                      </w:pPr>
                      <w:bookmarkStart w:id="64" w:name="_Toc514831656"/>
                      <w:r w:rsidRPr="006F058B">
                        <w:t>C</w:t>
                      </w:r>
                      <w:r>
                        <w:t xml:space="preserve">o-locating the King’s College London (KCL) </w:t>
                      </w:r>
                      <w:r w:rsidRPr="006F058B">
                        <w:t>Research and Innovation Hub in Ca</w:t>
                      </w:r>
                      <w:r>
                        <w:t>ncer (RIHC) with NHS delivery</w:t>
                      </w:r>
                      <w:bookmarkEnd w:id="64"/>
                    </w:p>
                    <w:p w:rsidR="00D441C7" w:rsidRPr="0034579B" w:rsidRDefault="00D441C7" w:rsidP="00F3024A">
                      <w:pPr>
                        <w:pStyle w:val="Belmananormal"/>
                        <w:numPr>
                          <w:ilvl w:val="0"/>
                          <w:numId w:val="0"/>
                        </w:numPr>
                        <w:shd w:val="clear" w:color="auto" w:fill="F2F2F2" w:themeFill="background1" w:themeFillShade="F2"/>
                        <w:rPr>
                          <w:sz w:val="22"/>
                        </w:rPr>
                      </w:pPr>
                      <w:r w:rsidRPr="0034579B">
                        <w:rPr>
                          <w:sz w:val="22"/>
                        </w:rPr>
                        <w:t xml:space="preserve">The RIHC, also called the ‘Innovation Hub’, has used the UKRPIF grant and leveraged co-investment to embed research into patient pathways. </w:t>
                      </w:r>
                    </w:p>
                    <w:p w:rsidR="00D441C7" w:rsidRPr="0034579B" w:rsidRDefault="00D441C7" w:rsidP="00F3024A">
                      <w:pPr>
                        <w:pStyle w:val="Belmananormal"/>
                        <w:numPr>
                          <w:ilvl w:val="0"/>
                          <w:numId w:val="0"/>
                        </w:numPr>
                        <w:shd w:val="clear" w:color="auto" w:fill="F2F2F2" w:themeFill="background1" w:themeFillShade="F2"/>
                        <w:rPr>
                          <w:sz w:val="22"/>
                        </w:rPr>
                      </w:pPr>
                      <w:r w:rsidRPr="0034579B">
                        <w:rPr>
                          <w:sz w:val="22"/>
                        </w:rPr>
                        <w:t xml:space="preserve">The </w:t>
                      </w:r>
                      <w:r>
                        <w:rPr>
                          <w:sz w:val="22"/>
                        </w:rPr>
                        <w:t>h</w:t>
                      </w:r>
                      <w:r w:rsidRPr="0034579B">
                        <w:rPr>
                          <w:sz w:val="22"/>
                        </w:rPr>
                        <w:t xml:space="preserve">ub co-locates </w:t>
                      </w:r>
                      <w:r>
                        <w:rPr>
                          <w:sz w:val="22"/>
                        </w:rPr>
                        <w:t xml:space="preserve">research facilities, such as </w:t>
                      </w:r>
                      <w:r w:rsidRPr="0034579B">
                        <w:rPr>
                          <w:sz w:val="22"/>
                        </w:rPr>
                        <w:t xml:space="preserve">an expanded biobank </w:t>
                      </w:r>
                      <w:r>
                        <w:rPr>
                          <w:sz w:val="22"/>
                        </w:rPr>
                        <w:t>of cancer samples, with clinical activity. It occupies a floor of</w:t>
                      </w:r>
                      <w:r w:rsidRPr="0034579B">
                        <w:rPr>
                          <w:sz w:val="22"/>
                        </w:rPr>
                        <w:t xml:space="preserve"> the newly built </w:t>
                      </w:r>
                      <w:r>
                        <w:rPr>
                          <w:sz w:val="22"/>
                        </w:rPr>
                        <w:t xml:space="preserve">Guy’s and St Thomas’ Hospital Trust </w:t>
                      </w:r>
                      <w:r w:rsidRPr="0034579B">
                        <w:rPr>
                          <w:sz w:val="22"/>
                        </w:rPr>
                        <w:t>Cancer Centre,</w:t>
                      </w:r>
                      <w:r>
                        <w:rPr>
                          <w:sz w:val="22"/>
                        </w:rPr>
                        <w:t xml:space="preserve"> which is also the main co-investor. The hub i</w:t>
                      </w:r>
                      <w:r w:rsidRPr="0034579B">
                        <w:rPr>
                          <w:sz w:val="22"/>
                        </w:rPr>
                        <w:t>s an open</w:t>
                      </w:r>
                      <w:r>
                        <w:rPr>
                          <w:sz w:val="22"/>
                        </w:rPr>
                        <w:t>-</w:t>
                      </w:r>
                      <w:r w:rsidRPr="0034579B">
                        <w:rPr>
                          <w:sz w:val="22"/>
                        </w:rPr>
                        <w:t xml:space="preserve">plan design equipped with state-of-the art equipment, extensive </w:t>
                      </w:r>
                      <w:proofErr w:type="spellStart"/>
                      <w:r w:rsidRPr="0034579B">
                        <w:rPr>
                          <w:sz w:val="22"/>
                        </w:rPr>
                        <w:t>biobanking</w:t>
                      </w:r>
                      <w:proofErr w:type="spellEnd"/>
                      <w:r w:rsidRPr="0034579B">
                        <w:rPr>
                          <w:sz w:val="22"/>
                        </w:rPr>
                        <w:t xml:space="preserve"> facilities and hot</w:t>
                      </w:r>
                      <w:r>
                        <w:rPr>
                          <w:sz w:val="22"/>
                        </w:rPr>
                        <w:t>-</w:t>
                      </w:r>
                      <w:r w:rsidRPr="0034579B">
                        <w:rPr>
                          <w:sz w:val="22"/>
                        </w:rPr>
                        <w:t>desking areas to encourage interaction between teams. The premises have been developed</w:t>
                      </w:r>
                      <w:r>
                        <w:rPr>
                          <w:sz w:val="22"/>
                        </w:rPr>
                        <w:t xml:space="preserve"> to</w:t>
                      </w:r>
                      <w:r w:rsidRPr="0034579B">
                        <w:rPr>
                          <w:sz w:val="22"/>
                        </w:rPr>
                        <w:t xml:space="preserve"> foster collaboration and harness innovative ideas.</w:t>
                      </w:r>
                    </w:p>
                    <w:p w:rsidR="00D441C7" w:rsidRPr="0034579B" w:rsidRDefault="00D441C7" w:rsidP="00F3024A">
                      <w:pPr>
                        <w:pStyle w:val="Belmananormal"/>
                        <w:numPr>
                          <w:ilvl w:val="0"/>
                          <w:numId w:val="0"/>
                        </w:numPr>
                        <w:shd w:val="clear" w:color="auto" w:fill="F2F2F2" w:themeFill="background1" w:themeFillShade="F2"/>
                        <w:rPr>
                          <w:sz w:val="22"/>
                        </w:rPr>
                      </w:pPr>
                      <w:r w:rsidRPr="0034579B">
                        <w:rPr>
                          <w:sz w:val="22"/>
                        </w:rPr>
                        <w:t>This has reduced equipment duplication, freeing up capital resources to purchase additional equipment. The centralisation of equipment has also prov</w:t>
                      </w:r>
                      <w:r>
                        <w:rPr>
                          <w:sz w:val="22"/>
                        </w:rPr>
                        <w:t>ided efficiencies for the</w:t>
                      </w:r>
                      <w:r w:rsidRPr="0034579B">
                        <w:rPr>
                          <w:sz w:val="22"/>
                        </w:rPr>
                        <w:t xml:space="preserve"> team</w:t>
                      </w:r>
                      <w:r>
                        <w:rPr>
                          <w:sz w:val="22"/>
                        </w:rPr>
                        <w:t>s conducting clinical trials</w:t>
                      </w:r>
                      <w:r w:rsidRPr="0034579B">
                        <w:rPr>
                          <w:sz w:val="22"/>
                        </w:rPr>
                        <w:t xml:space="preserve">. Trials team members also have hot-desks in the </w:t>
                      </w:r>
                      <w:r>
                        <w:rPr>
                          <w:sz w:val="22"/>
                        </w:rPr>
                        <w:t>h</w:t>
                      </w:r>
                      <w:r w:rsidRPr="0034579B">
                        <w:rPr>
                          <w:sz w:val="22"/>
                        </w:rPr>
                        <w:t xml:space="preserve">ub facilitating their interaction with the biobank and researchers, and perceive efficiencies both in finding clinical principal investigators and engaging in ongoing dialogue with </w:t>
                      </w:r>
                      <w:proofErr w:type="spellStart"/>
                      <w:r w:rsidRPr="0034579B">
                        <w:rPr>
                          <w:sz w:val="22"/>
                        </w:rPr>
                        <w:t>biobankers</w:t>
                      </w:r>
                      <w:proofErr w:type="spellEnd"/>
                      <w:r w:rsidRPr="0034579B">
                        <w:rPr>
                          <w:sz w:val="22"/>
                        </w:rPr>
                        <w:t xml:space="preserve"> regarding techniques and feasibility in trials.</w:t>
                      </w:r>
                    </w:p>
                    <w:p w:rsidR="00D441C7" w:rsidRPr="0034579B" w:rsidRDefault="00D441C7" w:rsidP="00F3024A">
                      <w:pPr>
                        <w:pStyle w:val="Belmananormal"/>
                        <w:numPr>
                          <w:ilvl w:val="0"/>
                          <w:numId w:val="0"/>
                        </w:numPr>
                        <w:shd w:val="clear" w:color="auto" w:fill="F2F2F2" w:themeFill="background1" w:themeFillShade="F2"/>
                        <w:rPr>
                          <w:sz w:val="22"/>
                        </w:rPr>
                      </w:pPr>
                      <w:r w:rsidRPr="0034579B">
                        <w:rPr>
                          <w:sz w:val="22"/>
                        </w:rPr>
                        <w:t xml:space="preserve">The location of the </w:t>
                      </w:r>
                      <w:r>
                        <w:rPr>
                          <w:sz w:val="22"/>
                        </w:rPr>
                        <w:t>h</w:t>
                      </w:r>
                      <w:r w:rsidRPr="0034579B">
                        <w:rPr>
                          <w:sz w:val="22"/>
                        </w:rPr>
                        <w:t xml:space="preserve">ub itself within the Cancer Centre has also created opportunities through routine interaction with the activities on the other floors, and the lease of the top floor to HCA healthcare UK has connected academic activity and private healthcare resulting in training and partnering opportunities currently being explored. </w:t>
                      </w:r>
                    </w:p>
                    <w:p w:rsidR="00D441C7" w:rsidRDefault="00D441C7" w:rsidP="00B84942">
                      <w:pPr>
                        <w:shd w:val="clear" w:color="auto" w:fill="F2F2F2" w:themeFill="background1" w:themeFillShade="F2"/>
                      </w:pPr>
                    </w:p>
                  </w:txbxContent>
                </v:textbox>
                <w10:wrap type="square" anchorx="margin"/>
              </v:shape>
            </w:pict>
          </mc:Fallback>
        </mc:AlternateContent>
      </w:r>
      <w:r w:rsidR="00B84942">
        <w:t xml:space="preserve">Changes to </w:t>
      </w:r>
      <w:r w:rsidR="009E753A">
        <w:t>o</w:t>
      </w:r>
      <w:r w:rsidR="00B84942">
        <w:t xml:space="preserve">perating </w:t>
      </w:r>
      <w:r w:rsidR="009E753A">
        <w:t>m</w:t>
      </w:r>
      <w:r w:rsidR="00B84942">
        <w:t>odels</w:t>
      </w:r>
      <w:bookmarkEnd w:id="63"/>
    </w:p>
    <w:p w:rsidR="00B84942" w:rsidRDefault="00B84942">
      <w:pPr>
        <w:pStyle w:val="Belmananormal"/>
      </w:pPr>
      <w:r>
        <w:t>A feature of the UKRPIF is its fun</w:t>
      </w:r>
      <w:r w:rsidR="008E60DA">
        <w:t>ding of</w:t>
      </w:r>
      <w:r>
        <w:t xml:space="preserve"> capital </w:t>
      </w:r>
      <w:r w:rsidR="008E60DA">
        <w:t xml:space="preserve">investment </w:t>
      </w:r>
      <w:r>
        <w:t>on a scale to create facilities. Th</w:t>
      </w:r>
      <w:r w:rsidR="008E60DA">
        <w:t>e projects involve</w:t>
      </w:r>
      <w:r>
        <w:t xml:space="preserve"> changes to </w:t>
      </w:r>
      <w:r w:rsidR="0003730F">
        <w:t>operating model</w:t>
      </w:r>
      <w:r w:rsidR="00786C15">
        <w:t>s</w:t>
      </w:r>
      <w:r w:rsidR="0003730F">
        <w:t xml:space="preserve"> and the way </w:t>
      </w:r>
      <w:r>
        <w:t>research is undertaken</w:t>
      </w:r>
      <w:r w:rsidR="0003730F">
        <w:t>.</w:t>
      </w:r>
      <w:r>
        <w:t xml:space="preserve"> Th</w:t>
      </w:r>
      <w:r w:rsidR="00786C15">
        <w:t>ese</w:t>
      </w:r>
      <w:r w:rsidR="00F46146">
        <w:t xml:space="preserve"> change</w:t>
      </w:r>
      <w:r w:rsidR="00786C15">
        <w:t>s</w:t>
      </w:r>
      <w:r w:rsidR="00F46146">
        <w:t xml:space="preserve"> ha</w:t>
      </w:r>
      <w:r w:rsidR="00786C15">
        <w:t>ve</w:t>
      </w:r>
      <w:r w:rsidR="00F46146">
        <w:t xml:space="preserve"> taken place across three b</w:t>
      </w:r>
      <w:r>
        <w:t xml:space="preserve">road dimensions. </w:t>
      </w:r>
      <w:r w:rsidR="00F46146">
        <w:t>Firstly, there</w:t>
      </w:r>
      <w:r>
        <w:t xml:space="preserve"> has been the replacement of dispersed research equipment, spread across research groups, </w:t>
      </w:r>
      <w:r w:rsidR="00F46146">
        <w:t>by</w:t>
      </w:r>
      <w:r>
        <w:t xml:space="preserve"> </w:t>
      </w:r>
      <w:r w:rsidR="00F46146">
        <w:t>single</w:t>
      </w:r>
      <w:r>
        <w:t xml:space="preserve">, open labs. </w:t>
      </w:r>
      <w:r w:rsidR="00F46146">
        <w:t>S</w:t>
      </w:r>
      <w:r>
        <w:t>econd</w:t>
      </w:r>
      <w:r w:rsidR="00F46146">
        <w:t>ly, there</w:t>
      </w:r>
      <w:r>
        <w:t xml:space="preserve"> has been </w:t>
      </w:r>
      <w:r w:rsidR="00F46146">
        <w:t>an</w:t>
      </w:r>
      <w:r>
        <w:t xml:space="preserve"> </w:t>
      </w:r>
      <w:r w:rsidR="00F46146">
        <w:t>enhancement of</w:t>
      </w:r>
      <w:r>
        <w:t xml:space="preserve"> equipment, optimising it to meet research needs and often integrating au</w:t>
      </w:r>
      <w:r w:rsidR="008E60DA">
        <w:t>tomation. A final impact has been</w:t>
      </w:r>
      <w:r w:rsidR="00F46146">
        <w:t xml:space="preserve"> the</w:t>
      </w:r>
      <w:r w:rsidR="008E60DA">
        <w:t xml:space="preserve"> design</w:t>
      </w:r>
      <w:r w:rsidR="00F46146">
        <w:t xml:space="preserve"> of</w:t>
      </w:r>
      <w:r w:rsidR="008E60DA">
        <w:t xml:space="preserve"> facilities to improve collaboration to translate research findings into </w:t>
      </w:r>
      <w:r w:rsidR="00F46146">
        <w:t xml:space="preserve">prototypes and marketable products. </w:t>
      </w:r>
    </w:p>
    <w:p w:rsidR="00B84942" w:rsidRDefault="00B84942" w:rsidP="00513FAC">
      <w:pPr>
        <w:pStyle w:val="Belmananormal"/>
      </w:pPr>
      <w:r>
        <w:t xml:space="preserve">Across the case studies the investment had enabled funding of premises that brought research teams together from different parts of the research institutions. This often coincided with co-location with industry representatives and partner employees. The co-location of staff and partners had important implications </w:t>
      </w:r>
      <w:r w:rsidR="00B87621">
        <w:t>for the way</w:t>
      </w:r>
      <w:r>
        <w:t xml:space="preserve"> research equipment could be sourced and procured, and in cases such as the Maxwell Centre and KCL’s </w:t>
      </w:r>
      <w:r w:rsidR="00DD068C">
        <w:t xml:space="preserve">Cancer </w:t>
      </w:r>
      <w:r w:rsidR="00432AAD">
        <w:t>Innovation Hub</w:t>
      </w:r>
      <w:r w:rsidR="00DD068C">
        <w:t xml:space="preserve"> </w:t>
      </w:r>
      <w:r>
        <w:t xml:space="preserve">the sharing of machines across teams became </w:t>
      </w:r>
      <w:r w:rsidR="00432AAD">
        <w:t xml:space="preserve">an </w:t>
      </w:r>
      <w:r>
        <w:t xml:space="preserve">integral part of the new operating models. </w:t>
      </w:r>
      <w:r w:rsidR="008E60DA">
        <w:t>Further, the integration of teams from across departments and across academic/industry partners breaks down boundaries of knowledge.</w:t>
      </w:r>
      <w:r w:rsidR="00751540" w:rsidRPr="00751540">
        <w:t xml:space="preserve"> </w:t>
      </w:r>
      <w:r w:rsidR="00751540">
        <w:t>Researchers and users of facilities noted the informal mode of working and opportunities to discuss ideas and concepts in a non-pressurized environment.</w:t>
      </w:r>
    </w:p>
    <w:p w:rsidR="00B84942" w:rsidRDefault="00B84942" w:rsidP="005721FF">
      <w:pPr>
        <w:pStyle w:val="Belmananormal"/>
      </w:pPr>
      <w:r>
        <w:t>These new modes of working harness best practices in innovation, as staff with higher degrees of discretion to solve complex problems have been demonstrated to have a positive impact on organisations’ capacity to innovate (Greenan and Lorenz, 2009). In many ways</w:t>
      </w:r>
      <w:r w:rsidR="008E60DA">
        <w:t>,</w:t>
      </w:r>
      <w:r>
        <w:t xml:space="preserve"> the structures developed are those of ‘learning organisations’, where new patterns of work and thought are nourished.</w:t>
      </w:r>
      <w:r w:rsidR="00751540">
        <w:t xml:space="preserve"> A driver has been optimising equipment and joining individual pieces together in new ways, often underpinned by automation and large-scale data processing facilities. In the Centre of Translational and Interdisciplinary Research</w:t>
      </w:r>
      <w:r w:rsidR="006B2FE7">
        <w:t xml:space="preserve"> (CTIR)</w:t>
      </w:r>
      <w:r w:rsidR="00751540">
        <w:t xml:space="preserve">, facilities for drug discovery and the analysis of proteins require automation so that research can be at scale, such as </w:t>
      </w:r>
      <w:r w:rsidR="004E4339">
        <w:t xml:space="preserve">repeatedly </w:t>
      </w:r>
      <w:r w:rsidR="00751540">
        <w:t>testing potential candidate molecules for future pharmaceutical products</w:t>
      </w:r>
      <w:r w:rsidR="0025112C">
        <w:t xml:space="preserve">. The UKRPIF has also funded </w:t>
      </w:r>
      <w:r w:rsidR="00FA2F56">
        <w:t>the large-scale computing equipment and software</w:t>
      </w:r>
      <w:r w:rsidR="0025112C">
        <w:t xml:space="preserve">, with the data processing systems themselves being innovative and becoming an output, sold to both </w:t>
      </w:r>
      <w:r w:rsidR="004E4339">
        <w:t>u</w:t>
      </w:r>
      <w:r w:rsidR="0025112C">
        <w:t>niversity-based and private researchers that produce vast quantities of data.</w:t>
      </w:r>
    </w:p>
    <w:p w:rsidR="00FA2F56" w:rsidRPr="002C6C33" w:rsidRDefault="00FA2F56" w:rsidP="005721FF">
      <w:pPr>
        <w:pStyle w:val="Belmananormal"/>
      </w:pPr>
      <w:r>
        <w:t xml:space="preserve">The case studies considered how, following the investments, the facilities compared with other similar centres in the UK and abroad. The investments were regarded as significantly raising the sophistication of work that could be undertaken, with all centres citing only a handful of comparable institutions globally in their research area. In the Dundee study, drug discovery capabilities are benchmarked across research, verifying the </w:t>
      </w:r>
      <w:r w:rsidR="004E4339">
        <w:t>c</w:t>
      </w:r>
      <w:r>
        <w:t>entre as high in drug discovery facilities.</w:t>
      </w:r>
    </w:p>
    <w:p w:rsidR="00B84942" w:rsidRPr="008C2E15" w:rsidRDefault="00B84942" w:rsidP="00B84942">
      <w:pPr>
        <w:pStyle w:val="Belmana2"/>
      </w:pPr>
      <w:bookmarkStart w:id="65" w:name="_Toc499548025"/>
      <w:bookmarkStart w:id="66" w:name="_Toc514831657"/>
      <w:r w:rsidRPr="008C2E15">
        <w:t>Impact on market readiness</w:t>
      </w:r>
      <w:bookmarkEnd w:id="65"/>
      <w:bookmarkEnd w:id="66"/>
    </w:p>
    <w:p w:rsidR="00B84942" w:rsidRDefault="00B84942" w:rsidP="005721FF">
      <w:pPr>
        <w:pStyle w:val="Belmananormal"/>
      </w:pPr>
      <w:r>
        <w:t>Four</w:t>
      </w:r>
      <w:r w:rsidRPr="008C2E15">
        <w:t xml:space="preserve"> projects recorded an impact on the readiness of research for use by consumers and society from the capital investment. Their o</w:t>
      </w:r>
      <w:r w:rsidR="00620B55">
        <w:t>utputs are summarised in Table 7</w:t>
      </w:r>
      <w:r w:rsidR="00786A30">
        <w:t xml:space="preserve">, </w:t>
      </w:r>
      <w:r w:rsidRPr="008C2E15">
        <w:t xml:space="preserve">technological advancements </w:t>
      </w:r>
      <w:r w:rsidR="00786A30">
        <w:t xml:space="preserve">are </w:t>
      </w:r>
      <w:r w:rsidR="0025112C">
        <w:t xml:space="preserve">characterised in terms of </w:t>
      </w:r>
      <w:r w:rsidRPr="008C2E15">
        <w:t>TRLs and clinical trial phases</w:t>
      </w:r>
      <w:r w:rsidR="00786A30">
        <w:t>, as</w:t>
      </w:r>
      <w:r w:rsidRPr="008C2E15">
        <w:t xml:space="preserve"> used in pharmaceutical product development. TRL </w:t>
      </w:r>
      <w:r>
        <w:t>is</w:t>
      </w:r>
      <w:r w:rsidRPr="00D550B7">
        <w:t xml:space="preserve"> a technology management tool that provides a measurement to assess the maturity of evolving technology</w:t>
      </w:r>
      <w:r>
        <w:t xml:space="preserve">. It is measured on </w:t>
      </w:r>
      <w:r w:rsidRPr="008C2E15">
        <w:t xml:space="preserve">a scale of 1 to 9 where a high </w:t>
      </w:r>
      <w:r w:rsidR="00786A30">
        <w:t xml:space="preserve">number </w:t>
      </w:r>
      <w:r w:rsidRPr="008C2E15">
        <w:t xml:space="preserve">indicates a technology is ready for market, </w:t>
      </w:r>
      <w:r w:rsidR="00786A30">
        <w:t xml:space="preserve">while </w:t>
      </w:r>
      <w:r w:rsidRPr="008C2E15">
        <w:t xml:space="preserve">low </w:t>
      </w:r>
      <w:r w:rsidR="00786A30">
        <w:t xml:space="preserve">numbers </w:t>
      </w:r>
      <w:r w:rsidRPr="008C2E15">
        <w:t xml:space="preserve">are associated with more conceptual work. In medical treatments, there are five phases to trials, zero to four. </w:t>
      </w:r>
      <w:r>
        <w:t>As a project progresses to the next phase</w:t>
      </w:r>
      <w:r w:rsidRPr="008C2E15">
        <w:t xml:space="preserve">, a treatment is closer to being suitable for use and the testing is occurring in frontline delivery. </w:t>
      </w:r>
    </w:p>
    <w:tbl>
      <w:tblPr>
        <w:tblStyle w:val="TableGrid"/>
        <w:tblW w:w="902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68"/>
        <w:gridCol w:w="2209"/>
        <w:gridCol w:w="3487"/>
        <w:gridCol w:w="1457"/>
      </w:tblGrid>
      <w:tr w:rsidR="00DA0668" w:rsidRPr="00874033">
        <w:trPr>
          <w:trHeight w:val="20"/>
        </w:trPr>
        <w:tc>
          <w:tcPr>
            <w:tcW w:w="9021" w:type="dxa"/>
            <w:gridSpan w:val="4"/>
            <w:tcBorders>
              <w:bottom w:val="single" w:sz="4" w:space="0" w:color="993365"/>
            </w:tcBorders>
          </w:tcPr>
          <w:p w:rsidR="00DA0668" w:rsidRPr="00874033" w:rsidRDefault="00DA0668" w:rsidP="00001554">
            <w:pPr>
              <w:pStyle w:val="BelmanaTableTitle"/>
            </w:pPr>
            <w:r w:rsidRPr="00874033">
              <w:t xml:space="preserve">Table </w:t>
            </w:r>
            <w:r>
              <w:t>7</w:t>
            </w:r>
            <w:r w:rsidRPr="00874033">
              <w:t xml:space="preserve">: Impacts on </w:t>
            </w:r>
            <w:r w:rsidR="00786A30">
              <w:t>m</w:t>
            </w:r>
            <w:r w:rsidRPr="00874033">
              <w:t xml:space="preserve">arket </w:t>
            </w:r>
            <w:r w:rsidR="00786A30">
              <w:t>r</w:t>
            </w:r>
            <w:r w:rsidRPr="00874033">
              <w:t>eadiness</w:t>
            </w:r>
          </w:p>
        </w:tc>
      </w:tr>
      <w:tr w:rsidR="00DA0668" w:rsidRPr="00F150E4">
        <w:trPr>
          <w:trHeight w:val="582"/>
        </w:trPr>
        <w:tc>
          <w:tcPr>
            <w:tcW w:w="1868" w:type="dxa"/>
            <w:tcBorders>
              <w:top w:val="single" w:sz="4" w:space="0" w:color="993365"/>
              <w:bottom w:val="single" w:sz="4" w:space="0" w:color="993365"/>
              <w:right w:val="single" w:sz="4" w:space="0" w:color="FFFFFF" w:themeColor="background1"/>
            </w:tcBorders>
            <w:shd w:val="clear" w:color="auto" w:fill="993365"/>
          </w:tcPr>
          <w:p w:rsidR="00DA0668" w:rsidRPr="00513FAC" w:rsidRDefault="00786A30" w:rsidP="00001554">
            <w:pPr>
              <w:pStyle w:val="Belmana4normal"/>
              <w:rPr>
                <w:b/>
                <w:color w:val="FFFFFF" w:themeColor="background1"/>
                <w:szCs w:val="24"/>
              </w:rPr>
            </w:pPr>
            <w:r>
              <w:rPr>
                <w:b/>
                <w:color w:val="FFFFFF" w:themeColor="background1"/>
                <w:szCs w:val="24"/>
              </w:rPr>
              <w:t>HEI</w:t>
            </w:r>
          </w:p>
        </w:tc>
        <w:tc>
          <w:tcPr>
            <w:tcW w:w="2209"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tcPr>
          <w:p w:rsidR="00DA0668" w:rsidRPr="00513FAC" w:rsidRDefault="00DA0668" w:rsidP="00001554">
            <w:pPr>
              <w:pStyle w:val="Belmana4normal"/>
              <w:rPr>
                <w:b/>
                <w:color w:val="FFFFFF" w:themeColor="background1"/>
                <w:szCs w:val="24"/>
              </w:rPr>
            </w:pPr>
            <w:r w:rsidRPr="00513FAC">
              <w:rPr>
                <w:b/>
                <w:color w:val="FFFFFF" w:themeColor="background1"/>
                <w:szCs w:val="24"/>
              </w:rPr>
              <w:t>Project</w:t>
            </w:r>
          </w:p>
        </w:tc>
        <w:tc>
          <w:tcPr>
            <w:tcW w:w="3487"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tcPr>
          <w:p w:rsidR="00DA0668" w:rsidRPr="00513FAC" w:rsidRDefault="00DA0668" w:rsidP="00001554">
            <w:pPr>
              <w:pStyle w:val="Belmana4normal"/>
              <w:rPr>
                <w:b/>
                <w:color w:val="FFFFFF" w:themeColor="background1"/>
                <w:szCs w:val="24"/>
              </w:rPr>
            </w:pPr>
            <w:r w:rsidRPr="00513FAC">
              <w:rPr>
                <w:b/>
                <w:color w:val="FFFFFF" w:themeColor="background1"/>
                <w:szCs w:val="24"/>
              </w:rPr>
              <w:t>Output</w:t>
            </w:r>
          </w:p>
          <w:p w:rsidR="00DA0668" w:rsidRPr="00F150E4" w:rsidRDefault="00DA0668" w:rsidP="00001554">
            <w:pPr>
              <w:pStyle w:val="Belmana4normal"/>
              <w:rPr>
                <w:i/>
                <w:color w:val="FFFFFF" w:themeColor="background1"/>
                <w:sz w:val="20"/>
                <w:szCs w:val="20"/>
              </w:rPr>
            </w:pPr>
            <w:r w:rsidRPr="00F150E4">
              <w:rPr>
                <w:i/>
                <w:color w:val="FFFFFF" w:themeColor="background1"/>
                <w:sz w:val="20"/>
                <w:szCs w:val="20"/>
              </w:rPr>
              <w:t xml:space="preserve">The direct results of project activities. </w:t>
            </w:r>
          </w:p>
        </w:tc>
        <w:tc>
          <w:tcPr>
            <w:tcW w:w="1457" w:type="dxa"/>
            <w:tcBorders>
              <w:top w:val="single" w:sz="4" w:space="0" w:color="993365"/>
              <w:left w:val="single" w:sz="4" w:space="0" w:color="FFFFFF" w:themeColor="background1"/>
              <w:bottom w:val="single" w:sz="4" w:space="0" w:color="993365"/>
            </w:tcBorders>
            <w:shd w:val="clear" w:color="auto" w:fill="993365"/>
          </w:tcPr>
          <w:p w:rsidR="00DA0668" w:rsidRPr="00513FAC" w:rsidRDefault="00DA0668" w:rsidP="00001554">
            <w:pPr>
              <w:pStyle w:val="Belmana4normal"/>
              <w:jc w:val="left"/>
              <w:rPr>
                <w:b/>
                <w:color w:val="FFFFFF" w:themeColor="background1"/>
                <w:szCs w:val="24"/>
              </w:rPr>
            </w:pPr>
            <w:r w:rsidRPr="00513FAC">
              <w:rPr>
                <w:b/>
                <w:color w:val="FFFFFF" w:themeColor="background1"/>
                <w:szCs w:val="24"/>
              </w:rPr>
              <w:t>TRL/Phase</w:t>
            </w:r>
          </w:p>
        </w:tc>
      </w:tr>
      <w:tr w:rsidR="00DA0668" w:rsidRPr="00EF2796">
        <w:tc>
          <w:tcPr>
            <w:tcW w:w="1868" w:type="dxa"/>
            <w:tcBorders>
              <w:top w:val="single" w:sz="4" w:space="0" w:color="993365"/>
            </w:tcBorders>
          </w:tcPr>
          <w:p w:rsidR="00DA0668" w:rsidRPr="00EF2796" w:rsidRDefault="00DA0668" w:rsidP="00001554">
            <w:pPr>
              <w:pStyle w:val="Belmana4normal"/>
              <w:spacing w:after="60"/>
              <w:jc w:val="left"/>
              <w:rPr>
                <w:sz w:val="20"/>
                <w:szCs w:val="20"/>
              </w:rPr>
            </w:pPr>
            <w:r w:rsidRPr="00EF2796">
              <w:rPr>
                <w:sz w:val="20"/>
                <w:szCs w:val="20"/>
              </w:rPr>
              <w:t>University of Surrey</w:t>
            </w:r>
          </w:p>
        </w:tc>
        <w:tc>
          <w:tcPr>
            <w:tcW w:w="2209" w:type="dxa"/>
            <w:tcBorders>
              <w:top w:val="single" w:sz="4" w:space="0" w:color="993365"/>
            </w:tcBorders>
          </w:tcPr>
          <w:p w:rsidR="00DA0668" w:rsidRPr="00EF2796" w:rsidRDefault="00DA0668" w:rsidP="00001554">
            <w:pPr>
              <w:pStyle w:val="Belmana4normal"/>
              <w:spacing w:after="60"/>
              <w:jc w:val="left"/>
              <w:rPr>
                <w:sz w:val="20"/>
                <w:szCs w:val="20"/>
              </w:rPr>
            </w:pPr>
            <w:r w:rsidRPr="00EF2796">
              <w:rPr>
                <w:sz w:val="20"/>
                <w:szCs w:val="20"/>
              </w:rPr>
              <w:t>5G Innovation Centre</w:t>
            </w:r>
          </w:p>
        </w:tc>
        <w:tc>
          <w:tcPr>
            <w:tcW w:w="3487" w:type="dxa"/>
            <w:tcBorders>
              <w:top w:val="single" w:sz="4" w:space="0" w:color="993365"/>
            </w:tcBorders>
          </w:tcPr>
          <w:p w:rsidR="00DA0668" w:rsidRPr="00EF2796" w:rsidRDefault="00DA0668" w:rsidP="00001554">
            <w:pPr>
              <w:pStyle w:val="Belmana4normal"/>
              <w:spacing w:after="60"/>
              <w:jc w:val="left"/>
              <w:rPr>
                <w:sz w:val="20"/>
                <w:szCs w:val="20"/>
              </w:rPr>
            </w:pPr>
            <w:r w:rsidRPr="00EF2796">
              <w:rPr>
                <w:sz w:val="20"/>
                <w:szCs w:val="20"/>
              </w:rPr>
              <w:t>Technical breakthrough: 1TB per second data rates on future 5G networks</w:t>
            </w:r>
          </w:p>
        </w:tc>
        <w:tc>
          <w:tcPr>
            <w:tcW w:w="1457" w:type="dxa"/>
            <w:tcBorders>
              <w:top w:val="single" w:sz="4" w:space="0" w:color="993365"/>
            </w:tcBorders>
          </w:tcPr>
          <w:p w:rsidR="00DA0668" w:rsidRPr="00EF2796" w:rsidRDefault="00DA0668" w:rsidP="00001554">
            <w:pPr>
              <w:pStyle w:val="Belmana4normal"/>
              <w:spacing w:after="60"/>
              <w:rPr>
                <w:sz w:val="20"/>
                <w:szCs w:val="20"/>
              </w:rPr>
            </w:pPr>
            <w:r w:rsidRPr="00EF2796">
              <w:rPr>
                <w:sz w:val="20"/>
                <w:szCs w:val="20"/>
              </w:rPr>
              <w:t>TRL 4</w:t>
            </w:r>
          </w:p>
        </w:tc>
      </w:tr>
      <w:tr w:rsidR="00DA0668" w:rsidRPr="00EF2796">
        <w:tc>
          <w:tcPr>
            <w:tcW w:w="1868" w:type="dxa"/>
          </w:tcPr>
          <w:p w:rsidR="00DA0668" w:rsidRPr="00EF2796" w:rsidRDefault="00DA0668" w:rsidP="00001554">
            <w:pPr>
              <w:pStyle w:val="Belmana4normal"/>
              <w:spacing w:after="60"/>
              <w:jc w:val="left"/>
              <w:rPr>
                <w:sz w:val="20"/>
                <w:szCs w:val="20"/>
              </w:rPr>
            </w:pPr>
            <w:r w:rsidRPr="00EF2796">
              <w:rPr>
                <w:sz w:val="20"/>
                <w:szCs w:val="20"/>
              </w:rPr>
              <w:t>University of Birmingham</w:t>
            </w:r>
          </w:p>
        </w:tc>
        <w:tc>
          <w:tcPr>
            <w:tcW w:w="2209" w:type="dxa"/>
          </w:tcPr>
          <w:p w:rsidR="00DA0668" w:rsidRPr="00EF2796" w:rsidRDefault="00DA0668" w:rsidP="00001554">
            <w:pPr>
              <w:pStyle w:val="Belmana4normal"/>
              <w:spacing w:after="60"/>
              <w:jc w:val="left"/>
              <w:rPr>
                <w:sz w:val="20"/>
                <w:szCs w:val="20"/>
              </w:rPr>
            </w:pPr>
            <w:r w:rsidRPr="00EF2796">
              <w:rPr>
                <w:sz w:val="20"/>
                <w:szCs w:val="20"/>
              </w:rPr>
              <w:t>High Temperature Research Centre</w:t>
            </w:r>
          </w:p>
        </w:tc>
        <w:tc>
          <w:tcPr>
            <w:tcW w:w="3487" w:type="dxa"/>
          </w:tcPr>
          <w:p w:rsidR="00DA0668" w:rsidRPr="00EF2796" w:rsidRDefault="00DA0668" w:rsidP="00001554">
            <w:pPr>
              <w:pStyle w:val="Belmana4normal"/>
              <w:spacing w:after="60"/>
              <w:jc w:val="left"/>
              <w:rPr>
                <w:sz w:val="20"/>
                <w:szCs w:val="20"/>
              </w:rPr>
            </w:pPr>
            <w:r w:rsidRPr="00EF2796">
              <w:rPr>
                <w:sz w:val="20"/>
                <w:szCs w:val="20"/>
              </w:rPr>
              <w:t>One of the primary goals is to shorten the time from design to make of development components: first programme achieved 13 months to deliver test hardware, a process that would</w:t>
            </w:r>
            <w:r w:rsidR="00786A30">
              <w:rPr>
                <w:sz w:val="20"/>
                <w:szCs w:val="20"/>
              </w:rPr>
              <w:t xml:space="preserve"> ha</w:t>
            </w:r>
            <w:r w:rsidRPr="00EF2796">
              <w:rPr>
                <w:sz w:val="20"/>
                <w:szCs w:val="20"/>
              </w:rPr>
              <w:t>ve typically taken 24 months before.</w:t>
            </w:r>
          </w:p>
        </w:tc>
        <w:tc>
          <w:tcPr>
            <w:tcW w:w="1457" w:type="dxa"/>
          </w:tcPr>
          <w:p w:rsidR="00DA0668" w:rsidRPr="00EF2796" w:rsidRDefault="00DA0668" w:rsidP="00001554">
            <w:pPr>
              <w:pStyle w:val="Belmana4normal"/>
              <w:spacing w:after="60"/>
              <w:rPr>
                <w:sz w:val="20"/>
                <w:szCs w:val="20"/>
              </w:rPr>
            </w:pPr>
            <w:r w:rsidRPr="00EF2796">
              <w:rPr>
                <w:sz w:val="20"/>
                <w:szCs w:val="20"/>
              </w:rPr>
              <w:t>TRL 4</w:t>
            </w:r>
          </w:p>
        </w:tc>
      </w:tr>
      <w:tr w:rsidR="00DA0668" w:rsidRPr="00EF2796">
        <w:tc>
          <w:tcPr>
            <w:tcW w:w="1868" w:type="dxa"/>
          </w:tcPr>
          <w:p w:rsidR="00DA0668" w:rsidRPr="00EF2796" w:rsidRDefault="00DA0668" w:rsidP="00001554">
            <w:pPr>
              <w:pStyle w:val="Belmana4normal"/>
              <w:spacing w:after="60"/>
              <w:jc w:val="left"/>
              <w:rPr>
                <w:sz w:val="20"/>
                <w:szCs w:val="20"/>
              </w:rPr>
            </w:pPr>
            <w:r w:rsidRPr="00EF2796">
              <w:rPr>
                <w:sz w:val="20"/>
                <w:szCs w:val="20"/>
              </w:rPr>
              <w:t>Brunel University</w:t>
            </w:r>
          </w:p>
        </w:tc>
        <w:tc>
          <w:tcPr>
            <w:tcW w:w="2209" w:type="dxa"/>
          </w:tcPr>
          <w:p w:rsidR="00DA0668" w:rsidRPr="00EF2796" w:rsidRDefault="00DA0668" w:rsidP="00001554">
            <w:pPr>
              <w:pStyle w:val="Belmana4normal"/>
              <w:spacing w:after="60"/>
              <w:jc w:val="left"/>
              <w:rPr>
                <w:sz w:val="20"/>
                <w:szCs w:val="20"/>
              </w:rPr>
            </w:pPr>
            <w:r w:rsidRPr="00EF2796">
              <w:rPr>
                <w:sz w:val="20"/>
                <w:szCs w:val="20"/>
              </w:rPr>
              <w:t>National Structural Integrity Research Centre</w:t>
            </w:r>
          </w:p>
        </w:tc>
        <w:tc>
          <w:tcPr>
            <w:tcW w:w="3487" w:type="dxa"/>
          </w:tcPr>
          <w:p w:rsidR="00DA0668" w:rsidRPr="00EF2796" w:rsidRDefault="00786A30" w:rsidP="00001554">
            <w:pPr>
              <w:pStyle w:val="Belmana4normal"/>
              <w:spacing w:after="60"/>
              <w:jc w:val="left"/>
              <w:rPr>
                <w:sz w:val="20"/>
                <w:szCs w:val="20"/>
              </w:rPr>
            </w:pPr>
            <w:r>
              <w:rPr>
                <w:sz w:val="20"/>
                <w:szCs w:val="20"/>
              </w:rPr>
              <w:t>Four</w:t>
            </w:r>
            <w:r w:rsidR="00DA0668" w:rsidRPr="00EF2796">
              <w:rPr>
                <w:sz w:val="20"/>
                <w:szCs w:val="20"/>
              </w:rPr>
              <w:t xml:space="preserve"> early-stage technologies validated to proof of concept and under consideration for follow on development with industrial partners</w:t>
            </w:r>
          </w:p>
        </w:tc>
        <w:tc>
          <w:tcPr>
            <w:tcW w:w="1457" w:type="dxa"/>
          </w:tcPr>
          <w:p w:rsidR="00DA0668" w:rsidRPr="00EF2796" w:rsidRDefault="00DA0668" w:rsidP="00001554">
            <w:pPr>
              <w:pStyle w:val="Belmana4normal"/>
              <w:spacing w:after="60"/>
              <w:rPr>
                <w:sz w:val="20"/>
                <w:szCs w:val="20"/>
              </w:rPr>
            </w:pPr>
            <w:r w:rsidRPr="00EF2796">
              <w:rPr>
                <w:sz w:val="20"/>
                <w:szCs w:val="20"/>
              </w:rPr>
              <w:t>TRL 3</w:t>
            </w:r>
          </w:p>
        </w:tc>
      </w:tr>
      <w:tr w:rsidR="00DA0668" w:rsidRPr="003E74FB">
        <w:tc>
          <w:tcPr>
            <w:tcW w:w="1868" w:type="dxa"/>
            <w:tcBorders>
              <w:bottom w:val="single" w:sz="4" w:space="0" w:color="993365"/>
            </w:tcBorders>
          </w:tcPr>
          <w:p w:rsidR="00DA0668" w:rsidRPr="00EF2796" w:rsidRDefault="00DA0668" w:rsidP="00001554">
            <w:pPr>
              <w:pStyle w:val="Belmana4normal"/>
              <w:spacing w:after="60"/>
              <w:jc w:val="left"/>
              <w:rPr>
                <w:sz w:val="20"/>
                <w:szCs w:val="20"/>
              </w:rPr>
            </w:pPr>
            <w:r w:rsidRPr="00EF2796">
              <w:rPr>
                <w:sz w:val="20"/>
                <w:szCs w:val="20"/>
              </w:rPr>
              <w:t>University of Oxford</w:t>
            </w:r>
          </w:p>
        </w:tc>
        <w:tc>
          <w:tcPr>
            <w:tcW w:w="2209" w:type="dxa"/>
            <w:tcBorders>
              <w:bottom w:val="single" w:sz="4" w:space="0" w:color="993365"/>
            </w:tcBorders>
          </w:tcPr>
          <w:p w:rsidR="00DA0668" w:rsidRPr="00EF2796" w:rsidRDefault="00DA0668" w:rsidP="00001554">
            <w:pPr>
              <w:pStyle w:val="Belmana4normal"/>
              <w:spacing w:after="60"/>
              <w:jc w:val="left"/>
              <w:rPr>
                <w:sz w:val="20"/>
                <w:szCs w:val="20"/>
              </w:rPr>
            </w:pPr>
            <w:r w:rsidRPr="00EF2796">
              <w:rPr>
                <w:sz w:val="20"/>
                <w:szCs w:val="20"/>
              </w:rPr>
              <w:t>Target Discovery Institute</w:t>
            </w:r>
          </w:p>
        </w:tc>
        <w:tc>
          <w:tcPr>
            <w:tcW w:w="3487" w:type="dxa"/>
            <w:tcBorders>
              <w:bottom w:val="single" w:sz="4" w:space="0" w:color="993365"/>
            </w:tcBorders>
          </w:tcPr>
          <w:p w:rsidR="00DA0668" w:rsidRPr="00EF2796" w:rsidRDefault="00DA0668" w:rsidP="00001554">
            <w:pPr>
              <w:pStyle w:val="Belmana4normal"/>
              <w:spacing w:after="60"/>
              <w:jc w:val="left"/>
              <w:rPr>
                <w:sz w:val="20"/>
                <w:szCs w:val="20"/>
              </w:rPr>
            </w:pPr>
            <w:r w:rsidRPr="00EF2796">
              <w:rPr>
                <w:sz w:val="20"/>
                <w:szCs w:val="20"/>
              </w:rPr>
              <w:t>HIF prolyl hydroxylase inhibitors now in phase 3 clinical trials for anaemia</w:t>
            </w:r>
          </w:p>
        </w:tc>
        <w:tc>
          <w:tcPr>
            <w:tcW w:w="1457" w:type="dxa"/>
            <w:tcBorders>
              <w:bottom w:val="single" w:sz="4" w:space="0" w:color="993365"/>
            </w:tcBorders>
          </w:tcPr>
          <w:p w:rsidR="00DA0668" w:rsidRPr="00EF2796" w:rsidRDefault="00DA0668" w:rsidP="00001554">
            <w:pPr>
              <w:pStyle w:val="Belmana4normal"/>
              <w:spacing w:after="60"/>
              <w:rPr>
                <w:sz w:val="20"/>
                <w:szCs w:val="20"/>
              </w:rPr>
            </w:pPr>
            <w:r w:rsidRPr="00EF2796">
              <w:rPr>
                <w:sz w:val="20"/>
                <w:szCs w:val="20"/>
              </w:rPr>
              <w:t>Phase 3</w:t>
            </w:r>
          </w:p>
        </w:tc>
      </w:tr>
    </w:tbl>
    <w:p w:rsidR="00DA0668" w:rsidRDefault="00DA0668" w:rsidP="00DA0668">
      <w:pPr>
        <w:pStyle w:val="Belmana4normal"/>
        <w:rPr>
          <w:sz w:val="16"/>
        </w:rPr>
      </w:pPr>
      <w:r w:rsidRPr="008C2E15">
        <w:rPr>
          <w:sz w:val="16"/>
        </w:rPr>
        <w:t>Source: Project Completion Reports</w:t>
      </w:r>
    </w:p>
    <w:p w:rsidR="00DA0668" w:rsidRDefault="00DA0668" w:rsidP="009A2542">
      <w:pPr>
        <w:pStyle w:val="Belmananormal"/>
        <w:numPr>
          <w:ilvl w:val="0"/>
          <w:numId w:val="0"/>
        </w:numPr>
      </w:pPr>
    </w:p>
    <w:p w:rsidR="007F455E" w:rsidRDefault="007F455E" w:rsidP="009A2542">
      <w:pPr>
        <w:pStyle w:val="Belmananormal"/>
        <w:numPr>
          <w:ilvl w:val="0"/>
          <w:numId w:val="0"/>
        </w:numPr>
      </w:pPr>
    </w:p>
    <w:p w:rsidR="007F455E" w:rsidRDefault="007F455E" w:rsidP="009A2542">
      <w:pPr>
        <w:pStyle w:val="Belmananormal"/>
        <w:numPr>
          <w:ilvl w:val="0"/>
          <w:numId w:val="0"/>
        </w:numPr>
      </w:pPr>
    </w:p>
    <w:p w:rsidR="007F455E" w:rsidRPr="008C2E15" w:rsidRDefault="007F455E" w:rsidP="009A2542">
      <w:pPr>
        <w:pStyle w:val="Belmananormal"/>
        <w:numPr>
          <w:ilvl w:val="0"/>
          <w:numId w:val="0"/>
        </w:numPr>
      </w:pPr>
      <w:r>
        <w:rPr>
          <w:noProof/>
          <w:lang w:eastAsia="en-GB"/>
        </w:rPr>
        <mc:AlternateContent>
          <mc:Choice Requires="wps">
            <w:drawing>
              <wp:anchor distT="45720" distB="45720" distL="114300" distR="114300" simplePos="0" relativeHeight="251699200" behindDoc="0" locked="0" layoutInCell="1" allowOverlap="1">
                <wp:simplePos x="0" y="0"/>
                <wp:positionH relativeFrom="margin">
                  <wp:align>left</wp:align>
                </wp:positionH>
                <wp:positionV relativeFrom="paragraph">
                  <wp:posOffset>150924</wp:posOffset>
                </wp:positionV>
                <wp:extent cx="5686425" cy="5619750"/>
                <wp:effectExtent l="0" t="0" r="9525" b="0"/>
                <wp:wrapSquare wrapText="bothSides"/>
                <wp:docPr id="139"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686425" cy="5619750"/>
                        </a:xfrm>
                        <a:prstGeom prst="rect">
                          <a:avLst/>
                        </a:prstGeom>
                        <a:solidFill>
                          <a:schemeClr val="bg1">
                            <a:lumMod val="95000"/>
                          </a:schemeClr>
                        </a:solidFill>
                        <a:ln w="9525">
                          <a:noFill/>
                          <a:miter lim="800000"/>
                          <a:headEnd/>
                          <a:tailEnd/>
                        </a:ln>
                      </wps:spPr>
                      <wps:txbx>
                        <w:txbxContent>
                          <w:p w:rsidR="00D441C7" w:rsidRPr="0025014D" w:rsidRDefault="00D441C7" w:rsidP="00CA5BC4">
                            <w:pPr>
                              <w:pStyle w:val="BelmanaCS3"/>
                            </w:pPr>
                            <w:bookmarkStart w:id="67" w:name="_Toc514831658"/>
                            <w:r w:rsidRPr="0025014D">
                              <w:t xml:space="preserve">From </w:t>
                            </w:r>
                            <w:r>
                              <w:t>r</w:t>
                            </w:r>
                            <w:r w:rsidRPr="0025014D">
                              <w:t xml:space="preserve">esearch to </w:t>
                            </w:r>
                            <w:r>
                              <w:t>m</w:t>
                            </w:r>
                            <w:r w:rsidRPr="0025014D">
                              <w:t xml:space="preserve">arket </w:t>
                            </w:r>
                            <w:r>
                              <w:t>r</w:t>
                            </w:r>
                            <w:r w:rsidRPr="0025014D">
                              <w:t xml:space="preserve">eady </w:t>
                            </w:r>
                            <w:r>
                              <w:t>p</w:t>
                            </w:r>
                            <w:r w:rsidRPr="0025014D">
                              <w:t>roducts at the High Temperature Research Centre (HTRC), University of Birmingham</w:t>
                            </w:r>
                            <w:bookmarkEnd w:id="67"/>
                          </w:p>
                          <w:p w:rsidR="00D441C7" w:rsidRDefault="00D441C7" w:rsidP="00DA0668">
                            <w:pPr>
                              <w:pStyle w:val="Belmanacasestudy"/>
                              <w:rPr>
                                <w:noProof/>
                                <w:lang w:val="en-US"/>
                              </w:rPr>
                            </w:pPr>
                            <w:r w:rsidRPr="0034579B">
                              <w:t>The University of Birmingham and Rolls</w:t>
                            </w:r>
                            <w:r>
                              <w:t>-</w:t>
                            </w:r>
                            <w:r w:rsidRPr="0034579B">
                              <w:t xml:space="preserve">Royce have jointly established the HTRC to create a unique world-class casting, design, simulation and manufacturing research facility. The scale and quality of the development </w:t>
                            </w:r>
                            <w:r>
                              <w:t>are</w:t>
                            </w:r>
                            <w:r w:rsidRPr="0034579B">
                              <w:t xml:space="preserve"> already yielding results, and the </w:t>
                            </w:r>
                            <w:r>
                              <w:t>c</w:t>
                            </w:r>
                            <w:r w:rsidRPr="0034579B">
                              <w:t xml:space="preserve">entre can demonstrate new manufacturing capabilities that significantly reduce the time to design and manufacture components for engine development programmes. </w:t>
                            </w:r>
                            <w:r>
                              <w:t>The key to raising the technology readiness level at which research works has been equipping the centre to the level of a Rolls-Royce plant, with considerable input from Rolls-Royce. Research can quickly be tested in manufacturing processes, without disrupting the highly automated production processes of an operational plant.</w:t>
                            </w:r>
                            <w:r w:rsidRPr="00F150E4">
                              <w:rPr>
                                <w:noProof/>
                                <w:lang w:val="en-US"/>
                              </w:rPr>
                              <w:t xml:space="preserve"> </w:t>
                            </w:r>
                          </w:p>
                          <w:p w:rsidR="00D441C7" w:rsidRPr="0034579B" w:rsidRDefault="00D441C7" w:rsidP="00DA0668">
                            <w:pPr>
                              <w:pStyle w:val="Belmanacasestudy"/>
                              <w:jc w:val="center"/>
                              <w:rPr>
                                <w:sz w:val="22"/>
                              </w:rPr>
                            </w:pPr>
                            <w:r>
                              <w:rPr>
                                <w:noProof/>
                                <w:lang w:eastAsia="en-GB"/>
                              </w:rPr>
                              <w:drawing>
                                <wp:inline distT="0" distB="0" distL="0" distR="0">
                                  <wp:extent cx="3667125" cy="1809750"/>
                                  <wp:effectExtent l="0" t="0" r="9525" b="0"/>
                                  <wp:docPr id="147" name="Picture 147"/>
                                  <wp:cNvGraphicFramePr/>
                                  <a:graphic xmlns:a="http://schemas.openxmlformats.org/drawingml/2006/main">
                                    <a:graphicData uri="http://schemas.openxmlformats.org/drawingml/2006/picture">
                                      <pic:pic xmlns:pic="http://schemas.openxmlformats.org/drawingml/2006/picture">
                                        <pic:nvPicPr>
                                          <pic:cNvPr id="131" name="Picture 131">
                                            <a:hlinkClick r:id="rId32"/>
                                          </pic:cNvPr>
                                          <pic:cNvPicPr/>
                                        </pic:nvPicPr>
                                        <pic:blipFill>
                                          <a:blip r:embed="rId33"/>
                                          <a:stretch>
                                            <a:fillRect/>
                                          </a:stretch>
                                        </pic:blipFill>
                                        <pic:spPr>
                                          <a:xfrm>
                                            <a:off x="0" y="0"/>
                                            <a:ext cx="3667125" cy="1809750"/>
                                          </a:xfrm>
                                          <a:prstGeom prst="rect">
                                            <a:avLst/>
                                          </a:prstGeom>
                                        </pic:spPr>
                                      </pic:pic>
                                    </a:graphicData>
                                  </a:graphic>
                                </wp:inline>
                              </w:drawing>
                            </w:r>
                          </w:p>
                          <w:p w:rsidR="00D441C7" w:rsidRPr="0034579B" w:rsidRDefault="00D441C7" w:rsidP="00DA0668">
                            <w:pPr>
                              <w:pStyle w:val="Belmanacasestudy"/>
                            </w:pPr>
                            <w:r>
                              <w:t>T</w:t>
                            </w:r>
                            <w:r w:rsidRPr="0034579B">
                              <w:t xml:space="preserve">he </w:t>
                            </w:r>
                            <w:r>
                              <w:t>c</w:t>
                            </w:r>
                            <w:r w:rsidRPr="0034579B">
                              <w:t xml:space="preserve">entre has sped up the process to develop components for demonstrator machines and the first HTRC programme achieved 13 months from start of design to delivery of test hardware. </w:t>
                            </w:r>
                            <w:r>
                              <w:t>It has also allowed new training opportunities, with apprentices, Rolls-Royce staff and researchers co-located and working together within a facility that can operate at significant scale.</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9" type="#_x0000_t202" style="position:absolute;margin-left:0;margin-top:11.9pt;width:447.75pt;height:442.5pt;z-index:251699200;visibility:visible;mso-wrap-style:square;mso-width-percent:0;mso-height-percent:0;mso-wrap-distance-left:9pt;mso-wrap-distance-top:3.6pt;mso-wrap-distance-right:9pt;mso-wrap-distance-bottom:3.6pt;mso-position-horizontal:lef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" fillcolor="#f2f2f2 [3052]" stroked="f">
                <v:textbox>
                  <w:txbxContent>
                    <w:p w:rsidR="00D441C7" w:rsidRPr="0025014D" w:rsidRDefault="00D441C7" w:rsidP="00CA5BC4">
                      <w:pPr>
                        <w:pStyle w:val="BelmanaCS3"/>
                      </w:pPr>
                      <w:bookmarkStart w:id="68" w:name="_Toc514831658"/>
                      <w:r w:rsidRPr="0025014D">
                        <w:t xml:space="preserve">From </w:t>
                      </w:r>
                      <w:r>
                        <w:t>r</w:t>
                      </w:r>
                      <w:r w:rsidRPr="0025014D">
                        <w:t xml:space="preserve">esearch to </w:t>
                      </w:r>
                      <w:r>
                        <w:t>m</w:t>
                      </w:r>
                      <w:r w:rsidRPr="0025014D">
                        <w:t xml:space="preserve">arket </w:t>
                      </w:r>
                      <w:r>
                        <w:t>r</w:t>
                      </w:r>
                      <w:r w:rsidRPr="0025014D">
                        <w:t xml:space="preserve">eady </w:t>
                      </w:r>
                      <w:r>
                        <w:t>p</w:t>
                      </w:r>
                      <w:r w:rsidRPr="0025014D">
                        <w:t>roducts at the High Temperature Research Centre (HTRC), University of Birmingham</w:t>
                      </w:r>
                      <w:bookmarkEnd w:id="68"/>
                    </w:p>
                    <w:p w:rsidR="00D441C7" w:rsidRDefault="00D441C7" w:rsidP="00DA0668">
                      <w:pPr>
                        <w:pStyle w:val="Belmanacasestudy"/>
                        <w:rPr>
                          <w:noProof/>
                          <w:lang w:val="en-US"/>
                        </w:rPr>
                      </w:pPr>
                      <w:r w:rsidRPr="0034579B">
                        <w:t>The University of Birmingham and Rolls</w:t>
                      </w:r>
                      <w:r>
                        <w:t>-</w:t>
                      </w:r>
                      <w:r w:rsidRPr="0034579B">
                        <w:t xml:space="preserve">Royce have jointly established the HTRC to create a unique world-class casting, design, simulation and manufacturing research facility. The scale and quality of the development </w:t>
                      </w:r>
                      <w:r>
                        <w:t>are</w:t>
                      </w:r>
                      <w:r w:rsidRPr="0034579B">
                        <w:t xml:space="preserve"> already yielding results, and the </w:t>
                      </w:r>
                      <w:r>
                        <w:t>c</w:t>
                      </w:r>
                      <w:r w:rsidRPr="0034579B">
                        <w:t xml:space="preserve">entre can demonstrate new manufacturing capabilities that significantly reduce the time to design and manufacture components for engine development programmes. </w:t>
                      </w:r>
                      <w:r>
                        <w:t>The key to raising the technology readiness level at which research works has been equipping the centre to the level of a Rolls-Royce plant, with considerable input from Rolls-Royce. Research can quickly be tested in manufacturing processes, without disrupting the highly automated production processes of an operational plant.</w:t>
                      </w:r>
                      <w:r w:rsidRPr="00F150E4">
                        <w:rPr>
                          <w:noProof/>
                          <w:lang w:val="en-US"/>
                        </w:rPr>
                        <w:t xml:space="preserve"> </w:t>
                      </w:r>
                    </w:p>
                    <w:p w:rsidR="00D441C7" w:rsidRPr="0034579B" w:rsidRDefault="00D441C7" w:rsidP="00DA0668">
                      <w:pPr>
                        <w:pStyle w:val="Belmanacasestudy"/>
                        <w:jc w:val="center"/>
                        <w:rPr>
                          <w:sz w:val="22"/>
                        </w:rPr>
                      </w:pPr>
                      <w:r>
                        <w:rPr>
                          <w:noProof/>
                          <w:lang w:eastAsia="en-GB"/>
                        </w:rPr>
                        <w:drawing>
                          <wp:inline distT="0" distB="0" distL="0" distR="0">
                            <wp:extent cx="3667125" cy="1809750"/>
                            <wp:effectExtent l="0" t="0" r="9525" b="0"/>
                            <wp:docPr id="147" name="Picture 147"/>
                            <wp:cNvGraphicFramePr/>
                            <a:graphic xmlns:a="http://schemas.openxmlformats.org/drawingml/2006/main">
                              <a:graphicData uri="http://schemas.openxmlformats.org/drawingml/2006/picture">
                                <pic:pic xmlns:pic="http://schemas.openxmlformats.org/drawingml/2006/picture">
                                  <pic:nvPicPr>
                                    <pic:cNvPr id="131" name="Picture 131">
                                      <a:hlinkClick r:id="rId34"/>
                                    </pic:cNvPr>
                                    <pic:cNvPicPr/>
                                  </pic:nvPicPr>
                                  <pic:blipFill>
                                    <a:blip r:embed="rId35"/>
                                    <a:stretch>
                                      <a:fillRect/>
                                    </a:stretch>
                                  </pic:blipFill>
                                  <pic:spPr>
                                    <a:xfrm>
                                      <a:off x="0" y="0"/>
                                      <a:ext cx="3667125" cy="1809750"/>
                                    </a:xfrm>
                                    <a:prstGeom prst="rect">
                                      <a:avLst/>
                                    </a:prstGeom>
                                  </pic:spPr>
                                </pic:pic>
                              </a:graphicData>
                            </a:graphic>
                          </wp:inline>
                        </w:drawing>
                      </w:r>
                    </w:p>
                    <w:p w:rsidR="00D441C7" w:rsidRPr="0034579B" w:rsidRDefault="00D441C7" w:rsidP="00DA0668">
                      <w:pPr>
                        <w:pStyle w:val="Belmanacasestudy"/>
                      </w:pPr>
                      <w:r>
                        <w:t>T</w:t>
                      </w:r>
                      <w:r w:rsidRPr="0034579B">
                        <w:t xml:space="preserve">he </w:t>
                      </w:r>
                      <w:r>
                        <w:t>c</w:t>
                      </w:r>
                      <w:r w:rsidRPr="0034579B">
                        <w:t xml:space="preserve">entre has sped up the process to develop components for demonstrator machines and the first HTRC programme achieved 13 months from start of design to delivery of test hardware. </w:t>
                      </w:r>
                      <w:r>
                        <w:t>It has also allowed new training opportunities, with apprentices, Rolls-Royce staff and researchers co-located and working together within a facility that can operate at significant scale.</w:t>
                      </w:r>
                    </w:p>
                  </w:txbxContent>
                </v:textbox>
                <w10:wrap type="square" anchorx="margin"/>
              </v:shape>
            </w:pict>
          </mc:Fallback>
        </mc:AlternateContent>
      </w:r>
    </w:p>
    <w:p w:rsidR="00DA0668" w:rsidRDefault="00B84942">
      <w:pPr>
        <w:pStyle w:val="Belmananormal"/>
      </w:pPr>
      <w:r w:rsidRPr="008C2E15">
        <w:t>For example, the Target Discovery Institute at the University of Oxford is well underway in developing a drug as it is entering a phase 3 clinical trial. This development pre-dates the construction of the new facilities</w:t>
      </w:r>
      <w:r w:rsidR="00B73134">
        <w:t>,</w:t>
      </w:r>
      <w:r w:rsidRPr="008C2E15">
        <w:t xml:space="preserve"> but the newly built research facility should be instrumental in conducting the trial. Other technologies are at lower readiness levels such as at the National Structural Integrity Research Centre (Brunel University) which has validated several technologies to proof of concept (TRL 3) and await</w:t>
      </w:r>
      <w:r w:rsidR="00786A30">
        <w:t>s</w:t>
      </w:r>
      <w:r w:rsidRPr="008C2E15">
        <w:t xml:space="preserve"> further development from industrial partners. </w:t>
      </w:r>
    </w:p>
    <w:p w:rsidR="00D33422" w:rsidRDefault="00B84942" w:rsidP="009A2542">
      <w:pPr>
        <w:pStyle w:val="Belmananormal"/>
        <w:numPr>
          <w:ilvl w:val="0"/>
          <w:numId w:val="0"/>
        </w:numPr>
        <w:rPr>
          <w:sz w:val="16"/>
        </w:rPr>
      </w:pPr>
      <w:bookmarkStart w:id="68" w:name="_Hlk499025840"/>
      <w:r>
        <w:t>At this early stage of the evaluation</w:t>
      </w:r>
      <w:r w:rsidR="00B73134">
        <w:t>,</w:t>
      </w:r>
      <w:r>
        <w:t xml:space="preserve"> qualitative evidence gathered through the case studies was important to inform an understanding of the impacts to dat</w:t>
      </w:r>
      <w:r w:rsidR="00786A30">
        <w:t>e</w:t>
      </w:r>
      <w:r>
        <w:t xml:space="preserve"> and likely development going forward. Crucially, the terminology and conceptualization around translational research and project life-cycles vary between disciplines, and </w:t>
      </w:r>
      <w:r w:rsidR="00B73134">
        <w:t>because of</w:t>
      </w:r>
      <w:r>
        <w:t xml:space="preserve"> the variety of research areas and sectors represented in the projects</w:t>
      </w:r>
      <w:r w:rsidR="00B73134">
        <w:t>,</w:t>
      </w:r>
      <w:r>
        <w:t xml:space="preserve"> stakeholders consulted framed their work in different ways. For instance, professionals and academics engaged in High-Value Manufacturing and Engineering (Telecommunications) readily thought of their research output in terms of </w:t>
      </w:r>
      <w:r w:rsidR="006A40DE">
        <w:t>TRLs</w:t>
      </w:r>
      <w:r>
        <w:t>, whereas academics engaged in fundamental and bio-medical research tended to use a vocabulary of translational research</w:t>
      </w:r>
      <w:r w:rsidR="006A40DE" w:rsidRPr="006A40DE">
        <w:t xml:space="preserve"> </w:t>
      </w:r>
      <w:r w:rsidR="006A40DE">
        <w:t>instead</w:t>
      </w:r>
      <w:r>
        <w:t>. Academics operating in clinical medicine unsurprisingly thought</w:t>
      </w:r>
      <w:r w:rsidR="006A40DE">
        <w:t xml:space="preserve"> of their work in terms of stage</w:t>
      </w:r>
      <w:r>
        <w:t xml:space="preserve">s of trials. </w:t>
      </w:r>
      <w:bookmarkEnd w:id="68"/>
    </w:p>
    <w:p w:rsidR="00D33422" w:rsidRPr="00885D4E" w:rsidRDefault="00D33422" w:rsidP="00885D4E">
      <w:pPr>
        <w:pStyle w:val="Belmananormal"/>
        <w:rPr>
          <w:sz w:val="16"/>
        </w:rPr>
      </w:pPr>
      <w:r>
        <w:t xml:space="preserve">The consensus was that the infrastructure – both physical and intellectual – had contributed to speeding up the process whereby initial research proposals were transformed into tangible outputs that could be tested and taken up for practical use. </w:t>
      </w:r>
    </w:p>
    <w:p w:rsidR="00D33422" w:rsidRPr="006A40DE" w:rsidRDefault="00D33422" w:rsidP="006A40DE">
      <w:pPr>
        <w:pStyle w:val="Belmana4normal"/>
        <w:rPr>
          <w:sz w:val="16"/>
        </w:rPr>
      </w:pPr>
    </w:p>
    <w:p w:rsidR="00B84942" w:rsidRPr="008C2E15" w:rsidRDefault="00B84942" w:rsidP="00B84942">
      <w:pPr>
        <w:pStyle w:val="Belmana2"/>
      </w:pPr>
      <w:bookmarkStart w:id="69" w:name="_Toc499548026"/>
      <w:bookmarkStart w:id="70" w:name="_Toc514831659"/>
      <w:r w:rsidRPr="008C2E15">
        <w:t>Impact on research outputs</w:t>
      </w:r>
      <w:bookmarkEnd w:id="69"/>
      <w:bookmarkEnd w:id="70"/>
    </w:p>
    <w:p w:rsidR="00B84942" w:rsidRDefault="00B84942" w:rsidP="005721FF">
      <w:pPr>
        <w:pStyle w:val="Belmananormal"/>
      </w:pPr>
      <w:r w:rsidRPr="008C2E15">
        <w:t xml:space="preserve">Nine of the projects reported a discernible positive impact </w:t>
      </w:r>
      <w:r w:rsidR="00CE2549">
        <w:t xml:space="preserve">on research outputs </w:t>
      </w:r>
      <w:r w:rsidR="00620B55">
        <w:t xml:space="preserve">and </w:t>
      </w:r>
      <w:r w:rsidR="00786A30">
        <w:t xml:space="preserve">these </w:t>
      </w:r>
      <w:r w:rsidR="00620B55">
        <w:t>are presented in Table 8</w:t>
      </w:r>
      <w:r w:rsidRPr="008C2E15">
        <w:t xml:space="preserve">. The type of research outputs ranges from academic and policy white papers to licences and patents. Several academic publications have been produced from three of the new projects, although judging their quality is not possible from analysing the management information alone. </w:t>
      </w:r>
      <w:r w:rsidR="00CE2549">
        <w:t xml:space="preserve">In the case study evidence, </w:t>
      </w:r>
      <w:r w:rsidR="00C208BA">
        <w:t xml:space="preserve">research leads reported their </w:t>
      </w:r>
      <w:r w:rsidR="00CE2549">
        <w:t xml:space="preserve">publications </w:t>
      </w:r>
      <w:r w:rsidR="00C208BA">
        <w:t xml:space="preserve">plans were </w:t>
      </w:r>
      <w:r w:rsidR="00CE2549">
        <w:t>on track</w:t>
      </w:r>
      <w:r w:rsidR="00485F2C">
        <w:t>.</w:t>
      </w:r>
      <w:r w:rsidR="00786A30">
        <w:t xml:space="preserve"> </w:t>
      </w:r>
      <w:r w:rsidR="00485F2C">
        <w:t>As</w:t>
      </w:r>
      <w:r w:rsidR="00CE2549">
        <w:t xml:space="preserve"> the facilities were new and advanced</w:t>
      </w:r>
      <w:r w:rsidR="00485F2C">
        <w:t>,</w:t>
      </w:r>
      <w:r w:rsidR="00CE2549">
        <w:t xml:space="preserve"> it was expected that research outputs would be published in high impact journals.</w:t>
      </w:r>
    </w:p>
    <w:tbl>
      <w:tblPr>
        <w:tblStyle w:val="TableGrid"/>
        <w:tblpPr w:leftFromText="180" w:rightFromText="180" w:vertAnchor="text" w:horzAnchor="margin" w:tblpY="-68"/>
        <w:tblW w:w="9072"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F2F2F2" w:themeFill="background1" w:themeFillShade="F2"/>
        <w:tblLook w:val="04A0" w:firstRow="1" w:lastRow="0" w:firstColumn="1" w:lastColumn="0" w:noHBand="0" w:noVBand="1"/>
      </w:tblPr>
      <w:tblGrid>
        <w:gridCol w:w="9072"/>
      </w:tblGrid>
      <w:tr w:rsidR="00D33422">
        <w:trPr>
          <w:trHeight w:val="1572"/>
        </w:trPr>
        <w:tc>
          <w:tcPr>
            <w:tcW w:w="9072" w:type="dxa"/>
            <w:vMerge w:val="restart"/>
            <w:shd w:val="clear" w:color="auto" w:fill="F2F2F2" w:themeFill="background1" w:themeFillShade="F2"/>
          </w:tcPr>
          <w:p w:rsidR="00D33422" w:rsidRDefault="00D33422" w:rsidP="00CA5BC4">
            <w:pPr>
              <w:pStyle w:val="BelmanaCS3"/>
            </w:pPr>
            <w:r>
              <w:t>Drug discovery at the Centre for Translational and Interdisciplinary Research (CITR), Dundee</w:t>
            </w:r>
          </w:p>
          <w:p w:rsidR="00D33422" w:rsidRDefault="00D33422" w:rsidP="00C86EEF">
            <w:pPr>
              <w:pStyle w:val="Belmanacasestudy"/>
            </w:pPr>
            <w:r w:rsidRPr="008211FD">
              <w:t xml:space="preserve">The CTIR established in the University of Dundee’s School of Life Sciences translates research discoveries into healthcare solutions. The UKRPIF investment has doubled the </w:t>
            </w:r>
            <w:r w:rsidR="00786A30">
              <w:t>c</w:t>
            </w:r>
            <w:r w:rsidRPr="008211FD">
              <w:t>entre’s drug discovery capability and has allowed the Drug Discovery Unit (DDU) to expand its activities, with candidate drugs for preventing and treating malaria reaching clinical trials in 2017.</w:t>
            </w:r>
          </w:p>
          <w:p w:rsidR="00D33422" w:rsidRPr="008211FD" w:rsidRDefault="00D33422" w:rsidP="00C86EEF">
            <w:pPr>
              <w:pStyle w:val="Belmanacasestudy"/>
            </w:pPr>
          </w:p>
          <w:p w:rsidR="00D33422" w:rsidRDefault="00D33422" w:rsidP="00C86EEF">
            <w:pPr>
              <w:pStyle w:val="Belmanacasestudy"/>
            </w:pPr>
            <w:r w:rsidRPr="008211FD">
              <w:t xml:space="preserve">The </w:t>
            </w:r>
            <w:r w:rsidR="00786A30" w:rsidRPr="008211FD">
              <w:t xml:space="preserve">centre </w:t>
            </w:r>
            <w:r w:rsidRPr="008211FD">
              <w:t>fills an important role in de-risking the path from research to drugs, and has a specific strand to develop the evidence about molecules emerging from academic research to a more mature level.</w:t>
            </w:r>
          </w:p>
          <w:p w:rsidR="00D33422" w:rsidRDefault="00D33422" w:rsidP="00C86EEF">
            <w:pPr>
              <w:pStyle w:val="Belmanacasestudy"/>
            </w:pPr>
          </w:p>
          <w:p w:rsidR="00D33422" w:rsidRPr="008211FD" w:rsidRDefault="00D33422" w:rsidP="00C86EEF">
            <w:pPr>
              <w:pStyle w:val="Belmanacasestudy"/>
            </w:pPr>
            <w:r w:rsidRPr="008211FD">
              <w:t xml:space="preserve">Work is often for researchers outside of Dundee, recognising that the level of capability in the </w:t>
            </w:r>
            <w:r w:rsidR="00786A30" w:rsidRPr="008211FD">
              <w:t xml:space="preserve">centre </w:t>
            </w:r>
            <w:r w:rsidRPr="008211FD">
              <w:t>is not common outside the pharmaceutical companies.</w:t>
            </w:r>
          </w:p>
          <w:p w:rsidR="00D33422" w:rsidRDefault="00D33422" w:rsidP="00C86EEF">
            <w:pPr>
              <w:pStyle w:val="Belmanacasestudy"/>
            </w:pPr>
          </w:p>
          <w:p w:rsidR="00D33422" w:rsidRDefault="00D33422" w:rsidP="00C86EEF">
            <w:pPr>
              <w:pStyle w:val="Belmanacasestudy"/>
            </w:pPr>
            <w:r w:rsidRPr="008211FD">
              <w:t>The number of drug discovery projects in the DDU has doubled since the award, as capacity has been increased and bottlenecks removed from processes to test candidate drugs.</w:t>
            </w:r>
          </w:p>
        </w:tc>
      </w:tr>
      <w:tr w:rsidR="00D33422">
        <w:trPr>
          <w:trHeight w:val="1572"/>
        </w:trPr>
        <w:tc>
          <w:tcPr>
            <w:tcW w:w="9072" w:type="dxa"/>
            <w:vMerge/>
            <w:shd w:val="clear" w:color="auto" w:fill="F2F2F2" w:themeFill="background1" w:themeFillShade="F2"/>
          </w:tcPr>
          <w:p w:rsidR="00D33422" w:rsidRDefault="00D33422" w:rsidP="00CA5BC4">
            <w:pPr>
              <w:pStyle w:val="BelmanaCS3"/>
            </w:pPr>
          </w:p>
        </w:tc>
      </w:tr>
      <w:tr w:rsidR="00D33422">
        <w:trPr>
          <w:trHeight w:val="1958"/>
        </w:trPr>
        <w:tc>
          <w:tcPr>
            <w:tcW w:w="9072" w:type="dxa"/>
            <w:vMerge/>
            <w:shd w:val="clear" w:color="auto" w:fill="F2F2F2" w:themeFill="background1" w:themeFillShade="F2"/>
          </w:tcPr>
          <w:p w:rsidR="00D33422" w:rsidRDefault="00D33422" w:rsidP="00CA5BC4">
            <w:pPr>
              <w:pStyle w:val="Belmana3"/>
            </w:pPr>
          </w:p>
        </w:tc>
      </w:tr>
    </w:tbl>
    <w:p w:rsidR="00D33422" w:rsidRDefault="00D33422" w:rsidP="009A2542">
      <w:pPr>
        <w:pStyle w:val="Belmananormal"/>
        <w:numPr>
          <w:ilvl w:val="0"/>
          <w:numId w:val="0"/>
        </w:numPr>
      </w:pPr>
    </w:p>
    <w:p w:rsidR="00B84942" w:rsidRPr="008C2E15" w:rsidRDefault="00B84942" w:rsidP="00CA5BC4">
      <w:pPr>
        <w:pStyle w:val="Belmana3"/>
        <w:numPr>
          <w:ilvl w:val="0"/>
          <w:numId w:val="28"/>
        </w:numPr>
      </w:pPr>
      <w:bookmarkStart w:id="71" w:name="_Toc514831660"/>
      <w:r>
        <w:t xml:space="preserve">Publications and </w:t>
      </w:r>
      <w:r w:rsidR="00786A30">
        <w:t>i</w:t>
      </w:r>
      <w:r>
        <w:t xml:space="preserve">ntellectual </w:t>
      </w:r>
      <w:r w:rsidR="00786A30">
        <w:t>p</w:t>
      </w:r>
      <w:r>
        <w:t>roperty</w:t>
      </w:r>
      <w:bookmarkEnd w:id="71"/>
    </w:p>
    <w:p w:rsidR="003C7912" w:rsidRDefault="00B84942" w:rsidP="005721FF">
      <w:pPr>
        <w:pStyle w:val="Belmananormal"/>
      </w:pPr>
      <w:r w:rsidRPr="008C2E15">
        <w:t xml:space="preserve">Intellectual property </w:t>
      </w:r>
      <w:r w:rsidR="009E7DDD">
        <w:t xml:space="preserve">(IP) </w:t>
      </w:r>
      <w:r w:rsidRPr="008C2E15">
        <w:t xml:space="preserve">rights in the form of patents or licences show </w:t>
      </w:r>
      <w:r w:rsidR="00786A30">
        <w:t xml:space="preserve">the </w:t>
      </w:r>
      <w:r w:rsidRPr="008C2E15">
        <w:t xml:space="preserve">potential for innovations </w:t>
      </w:r>
      <w:r w:rsidR="00786A30">
        <w:t xml:space="preserve">to </w:t>
      </w:r>
      <w:r w:rsidRPr="008C2E15">
        <w:t>be commercialised either by the facility itself or by potential industrial licensees and/or private partners.</w:t>
      </w:r>
      <w:r>
        <w:t xml:space="preserve"> Only one registered patent has been reported in the MI</w:t>
      </w:r>
      <w:r>
        <w:rPr>
          <w:rStyle w:val="FootnoteReference"/>
        </w:rPr>
        <w:footnoteReference w:id="3"/>
      </w:r>
      <w:r>
        <w:t>, but</w:t>
      </w:r>
      <w:r w:rsidRPr="008C2E15">
        <w:t xml:space="preserve"> two other projects report</w:t>
      </w:r>
      <w:r>
        <w:t>ed</w:t>
      </w:r>
      <w:r w:rsidRPr="008C2E15">
        <w:t xml:space="preserve"> that they expect to register some soon. </w:t>
      </w:r>
    </w:p>
    <w:p w:rsidR="00B84942" w:rsidRPr="008C2E15" w:rsidRDefault="00B84942" w:rsidP="005721FF">
      <w:pPr>
        <w:pStyle w:val="Belmananormal"/>
      </w:pPr>
      <w:r>
        <w:t>Case study interviews also reveal t</w:t>
      </w:r>
      <w:r w:rsidR="00072230">
        <w:t xml:space="preserve">hat projects have produced </w:t>
      </w:r>
      <w:r>
        <w:t xml:space="preserve">registered </w:t>
      </w:r>
      <w:r w:rsidR="009E7DDD">
        <w:t>IP</w:t>
      </w:r>
      <w:r w:rsidR="005F4A25">
        <w:t xml:space="preserve"> </w:t>
      </w:r>
      <w:r>
        <w:t xml:space="preserve">(e.g. Surrey). </w:t>
      </w:r>
      <w:r w:rsidR="00CE2549">
        <w:t xml:space="preserve">The partnership between Rolls-Royce and the University of Birmingham at the </w:t>
      </w:r>
      <w:r w:rsidR="00786A30">
        <w:t xml:space="preserve">HTRC </w:t>
      </w:r>
      <w:r w:rsidR="00072230">
        <w:t>is on track to register</w:t>
      </w:r>
      <w:r w:rsidR="00CE2549">
        <w:t xml:space="preserve"> </w:t>
      </w:r>
      <w:r w:rsidR="00072230">
        <w:t>several patents</w:t>
      </w:r>
      <w:r w:rsidR="003C7912">
        <w:t xml:space="preserve">, especially in innovations in tooling associated with the advanced facilities that have been established in the </w:t>
      </w:r>
      <w:r w:rsidR="00786A30">
        <w:t>centre</w:t>
      </w:r>
      <w:r w:rsidR="003C7912">
        <w:t>.</w:t>
      </w:r>
    </w:p>
    <w:tbl>
      <w:tblPr>
        <w:tblStyle w:val="TableGrid"/>
        <w:tblW w:w="963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694"/>
        <w:gridCol w:w="4677"/>
      </w:tblGrid>
      <w:tr w:rsidR="00B84942" w:rsidRPr="00874033">
        <w:trPr>
          <w:trHeight w:val="20"/>
        </w:trPr>
        <w:tc>
          <w:tcPr>
            <w:tcW w:w="9639" w:type="dxa"/>
            <w:gridSpan w:val="3"/>
            <w:tcBorders>
              <w:bottom w:val="single" w:sz="4" w:space="0" w:color="993365"/>
            </w:tcBorders>
          </w:tcPr>
          <w:p w:rsidR="00B84942" w:rsidRPr="00874033" w:rsidRDefault="00B84942" w:rsidP="00FE29DB">
            <w:pPr>
              <w:pStyle w:val="BelmanaTableTitle"/>
            </w:pPr>
            <w:bookmarkStart w:id="72" w:name="_Toc499548092"/>
            <w:r w:rsidRPr="00874033">
              <w:t xml:space="preserve">Table </w:t>
            </w:r>
            <w:r w:rsidR="00620B55">
              <w:t>8</w:t>
            </w:r>
            <w:r w:rsidRPr="00874033">
              <w:t xml:space="preserve">: Impact on </w:t>
            </w:r>
            <w:r w:rsidR="00786A30">
              <w:t>r</w:t>
            </w:r>
            <w:r w:rsidRPr="00874033">
              <w:t xml:space="preserve">esearch </w:t>
            </w:r>
            <w:r w:rsidR="00786A30">
              <w:t>o</w:t>
            </w:r>
            <w:r w:rsidRPr="00874033">
              <w:t>utputs</w:t>
            </w:r>
            <w:bookmarkEnd w:id="72"/>
          </w:p>
        </w:tc>
      </w:tr>
      <w:tr w:rsidR="00B84942" w:rsidRPr="003E74FB" w:rsidTr="00CA5BC4">
        <w:trPr>
          <w:trHeight w:val="397"/>
        </w:trPr>
        <w:tc>
          <w:tcPr>
            <w:tcW w:w="2268" w:type="dxa"/>
            <w:tcBorders>
              <w:top w:val="single" w:sz="4" w:space="0" w:color="993365"/>
              <w:bottom w:val="single" w:sz="4" w:space="0" w:color="993365"/>
              <w:right w:val="single" w:sz="4" w:space="0" w:color="FFFFFF" w:themeColor="background1"/>
            </w:tcBorders>
            <w:shd w:val="clear" w:color="auto" w:fill="993365"/>
          </w:tcPr>
          <w:p w:rsidR="00B84942" w:rsidRPr="003E74FB" w:rsidRDefault="00786A30" w:rsidP="00506E38">
            <w:pPr>
              <w:pStyle w:val="Belmana4normal"/>
              <w:rPr>
                <w:b/>
                <w:color w:val="FFFFFF" w:themeColor="background1"/>
                <w:sz w:val="20"/>
                <w:szCs w:val="20"/>
              </w:rPr>
            </w:pPr>
            <w:r>
              <w:rPr>
                <w:b/>
                <w:color w:val="FFFFFF" w:themeColor="background1"/>
                <w:sz w:val="20"/>
                <w:szCs w:val="20"/>
              </w:rPr>
              <w:t>HEI</w:t>
            </w:r>
          </w:p>
        </w:tc>
        <w:tc>
          <w:tcPr>
            <w:tcW w:w="2694"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tcPr>
          <w:p w:rsidR="00B84942" w:rsidRPr="003E74FB" w:rsidRDefault="00B84942" w:rsidP="00506E38">
            <w:pPr>
              <w:pStyle w:val="Belmana4normal"/>
              <w:rPr>
                <w:b/>
                <w:color w:val="FFFFFF" w:themeColor="background1"/>
                <w:sz w:val="20"/>
                <w:szCs w:val="20"/>
              </w:rPr>
            </w:pPr>
            <w:r w:rsidRPr="003E74FB">
              <w:rPr>
                <w:b/>
                <w:color w:val="FFFFFF" w:themeColor="background1"/>
                <w:sz w:val="20"/>
                <w:szCs w:val="20"/>
              </w:rPr>
              <w:t>Project</w:t>
            </w:r>
          </w:p>
        </w:tc>
        <w:tc>
          <w:tcPr>
            <w:tcW w:w="4677" w:type="dxa"/>
            <w:tcBorders>
              <w:top w:val="single" w:sz="4" w:space="0" w:color="993365"/>
              <w:left w:val="single" w:sz="4" w:space="0" w:color="FFFFFF" w:themeColor="background1"/>
              <w:bottom w:val="single" w:sz="4" w:space="0" w:color="993365"/>
            </w:tcBorders>
            <w:shd w:val="clear" w:color="auto" w:fill="993365"/>
          </w:tcPr>
          <w:p w:rsidR="00B84942" w:rsidRPr="003E74FB" w:rsidRDefault="00B84942" w:rsidP="00506E38">
            <w:pPr>
              <w:pStyle w:val="Belmana4normal"/>
              <w:rPr>
                <w:b/>
                <w:color w:val="FFFFFF" w:themeColor="background1"/>
                <w:sz w:val="20"/>
                <w:szCs w:val="20"/>
              </w:rPr>
            </w:pPr>
            <w:r w:rsidRPr="003E74FB">
              <w:rPr>
                <w:b/>
                <w:color w:val="FFFFFF" w:themeColor="background1"/>
                <w:sz w:val="20"/>
                <w:szCs w:val="20"/>
              </w:rPr>
              <w:t>Output</w:t>
            </w:r>
          </w:p>
        </w:tc>
      </w:tr>
      <w:tr w:rsidR="00B84942" w:rsidRPr="003E74FB" w:rsidTr="00CA5BC4">
        <w:trPr>
          <w:trHeight w:val="760"/>
        </w:trPr>
        <w:tc>
          <w:tcPr>
            <w:tcW w:w="2268" w:type="dxa"/>
            <w:tcBorders>
              <w:top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University of Surrey</w:t>
            </w:r>
          </w:p>
        </w:tc>
        <w:tc>
          <w:tcPr>
            <w:tcW w:w="2694" w:type="dxa"/>
            <w:tcBorders>
              <w:top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5G Innovation Centre</w:t>
            </w:r>
          </w:p>
        </w:tc>
        <w:tc>
          <w:tcPr>
            <w:tcW w:w="4677" w:type="dxa"/>
            <w:tcBorders>
              <w:top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Publish White Papers to provide thought leadership for policy</w:t>
            </w:r>
          </w:p>
        </w:tc>
      </w:tr>
      <w:tr w:rsidR="00B84942" w:rsidRPr="003E74FB">
        <w:trPr>
          <w:trHeight w:val="696"/>
        </w:trPr>
        <w:tc>
          <w:tcPr>
            <w:tcW w:w="2268" w:type="dxa"/>
          </w:tcPr>
          <w:p w:rsidR="00B84942" w:rsidRPr="00EF2796" w:rsidRDefault="009E7DDD">
            <w:pPr>
              <w:pStyle w:val="Belmana4normal"/>
              <w:spacing w:after="60"/>
              <w:jc w:val="left"/>
              <w:rPr>
                <w:sz w:val="20"/>
                <w:szCs w:val="20"/>
              </w:rPr>
            </w:pPr>
            <w:r>
              <w:rPr>
                <w:sz w:val="20"/>
                <w:szCs w:val="20"/>
              </w:rPr>
              <w:t>Swansea Univ</w:t>
            </w:r>
            <w:r w:rsidR="00786A30">
              <w:rPr>
                <w:sz w:val="20"/>
                <w:szCs w:val="20"/>
              </w:rPr>
              <w:t>e</w:t>
            </w:r>
            <w:r>
              <w:rPr>
                <w:sz w:val="20"/>
                <w:szCs w:val="20"/>
              </w:rPr>
              <w:t>rsity</w:t>
            </w:r>
          </w:p>
        </w:tc>
        <w:tc>
          <w:tcPr>
            <w:tcW w:w="2694" w:type="dxa"/>
          </w:tcPr>
          <w:p w:rsidR="00B84942" w:rsidRPr="00EF2796" w:rsidRDefault="00B84942" w:rsidP="00EF2796">
            <w:pPr>
              <w:pStyle w:val="Belmana4normal"/>
              <w:spacing w:after="60"/>
              <w:jc w:val="left"/>
              <w:rPr>
                <w:sz w:val="20"/>
                <w:szCs w:val="20"/>
              </w:rPr>
            </w:pPr>
            <w:r w:rsidRPr="00EF2796">
              <w:rPr>
                <w:sz w:val="20"/>
                <w:szCs w:val="20"/>
              </w:rPr>
              <w:t>Energy Safety Research Institute</w:t>
            </w:r>
          </w:p>
        </w:tc>
        <w:tc>
          <w:tcPr>
            <w:tcW w:w="4677" w:type="dxa"/>
          </w:tcPr>
          <w:p w:rsidR="00B84942" w:rsidRPr="00EF2796" w:rsidRDefault="00B84942" w:rsidP="00EF2796">
            <w:pPr>
              <w:pStyle w:val="Belmana4normal"/>
              <w:spacing w:after="60"/>
              <w:jc w:val="left"/>
              <w:rPr>
                <w:sz w:val="20"/>
                <w:szCs w:val="20"/>
              </w:rPr>
            </w:pPr>
            <w:r w:rsidRPr="00EF2796">
              <w:rPr>
                <w:sz w:val="20"/>
                <w:szCs w:val="20"/>
              </w:rPr>
              <w:t>20 papers published since facilities operational</w:t>
            </w:r>
          </w:p>
        </w:tc>
      </w:tr>
      <w:tr w:rsidR="00B84942" w:rsidRPr="003E74FB">
        <w:trPr>
          <w:trHeight w:val="706"/>
        </w:trPr>
        <w:tc>
          <w:tcPr>
            <w:tcW w:w="2268" w:type="dxa"/>
          </w:tcPr>
          <w:p w:rsidR="00B84942" w:rsidRPr="00EF2796" w:rsidRDefault="00B84942" w:rsidP="00EF2796">
            <w:pPr>
              <w:pStyle w:val="Belmana4normal"/>
              <w:spacing w:after="60"/>
              <w:jc w:val="left"/>
              <w:rPr>
                <w:sz w:val="20"/>
                <w:szCs w:val="20"/>
              </w:rPr>
            </w:pPr>
            <w:r w:rsidRPr="00EF2796">
              <w:rPr>
                <w:sz w:val="20"/>
                <w:szCs w:val="20"/>
              </w:rPr>
              <w:t>University of Birmingham</w:t>
            </w:r>
          </w:p>
        </w:tc>
        <w:tc>
          <w:tcPr>
            <w:tcW w:w="2694" w:type="dxa"/>
          </w:tcPr>
          <w:p w:rsidR="00B84942" w:rsidRPr="00EF2796" w:rsidRDefault="00B84942" w:rsidP="00EF2796">
            <w:pPr>
              <w:pStyle w:val="Belmana4normal"/>
              <w:spacing w:after="60"/>
              <w:jc w:val="left"/>
              <w:rPr>
                <w:sz w:val="20"/>
                <w:szCs w:val="20"/>
              </w:rPr>
            </w:pPr>
            <w:r w:rsidRPr="00EF2796">
              <w:rPr>
                <w:sz w:val="20"/>
                <w:szCs w:val="20"/>
              </w:rPr>
              <w:t>High Temperature Research Centre</w:t>
            </w:r>
          </w:p>
        </w:tc>
        <w:tc>
          <w:tcPr>
            <w:tcW w:w="4677" w:type="dxa"/>
          </w:tcPr>
          <w:p w:rsidR="00B84942" w:rsidRPr="00EF2796" w:rsidRDefault="00B84942" w:rsidP="00EF2796">
            <w:pPr>
              <w:pStyle w:val="Belmana4normal"/>
              <w:spacing w:after="60"/>
              <w:jc w:val="left"/>
              <w:rPr>
                <w:sz w:val="20"/>
                <w:szCs w:val="20"/>
              </w:rPr>
            </w:pPr>
            <w:r w:rsidRPr="00EF2796">
              <w:rPr>
                <w:sz w:val="20"/>
                <w:szCs w:val="20"/>
              </w:rPr>
              <w:t>20 research projects completed or underway</w:t>
            </w:r>
          </w:p>
        </w:tc>
      </w:tr>
      <w:tr w:rsidR="00B84942" w:rsidRPr="003E74FB">
        <w:trPr>
          <w:trHeight w:val="702"/>
        </w:trPr>
        <w:tc>
          <w:tcPr>
            <w:tcW w:w="2268" w:type="dxa"/>
          </w:tcPr>
          <w:p w:rsidR="00B84942" w:rsidRPr="00EF2796" w:rsidRDefault="00B84942" w:rsidP="00EF2796">
            <w:pPr>
              <w:pStyle w:val="Belmana4normal"/>
              <w:spacing w:after="60"/>
              <w:jc w:val="left"/>
              <w:rPr>
                <w:sz w:val="20"/>
                <w:szCs w:val="20"/>
              </w:rPr>
            </w:pPr>
            <w:r w:rsidRPr="00EF2796">
              <w:rPr>
                <w:sz w:val="20"/>
                <w:szCs w:val="20"/>
              </w:rPr>
              <w:t>University of Glasgow</w:t>
            </w:r>
          </w:p>
        </w:tc>
        <w:tc>
          <w:tcPr>
            <w:tcW w:w="2694" w:type="dxa"/>
          </w:tcPr>
          <w:p w:rsidR="00B84942" w:rsidRPr="00EF2796" w:rsidRDefault="00B84942" w:rsidP="00EF2796">
            <w:pPr>
              <w:pStyle w:val="Belmana4normal"/>
              <w:spacing w:after="60"/>
              <w:jc w:val="left"/>
              <w:rPr>
                <w:sz w:val="20"/>
                <w:szCs w:val="20"/>
              </w:rPr>
            </w:pPr>
            <w:r w:rsidRPr="00EF2796">
              <w:rPr>
                <w:sz w:val="20"/>
                <w:szCs w:val="20"/>
              </w:rPr>
              <w:t>Clinical Research Facilities for Stratified Medicine</w:t>
            </w:r>
          </w:p>
        </w:tc>
        <w:tc>
          <w:tcPr>
            <w:tcW w:w="4677" w:type="dxa"/>
          </w:tcPr>
          <w:p w:rsidR="00B84942" w:rsidRPr="00EF2796" w:rsidRDefault="00B84942" w:rsidP="00EF2796">
            <w:pPr>
              <w:pStyle w:val="Belmana4normal"/>
              <w:spacing w:after="60"/>
              <w:jc w:val="left"/>
              <w:rPr>
                <w:sz w:val="20"/>
                <w:szCs w:val="20"/>
              </w:rPr>
            </w:pPr>
            <w:r w:rsidRPr="00EF2796">
              <w:rPr>
                <w:sz w:val="20"/>
                <w:szCs w:val="20"/>
              </w:rPr>
              <w:t>IP related KPIs and outputs linked to academic and industry spinouts</w:t>
            </w:r>
          </w:p>
        </w:tc>
      </w:tr>
      <w:tr w:rsidR="00B84942" w:rsidRPr="003E74FB">
        <w:trPr>
          <w:trHeight w:val="1010"/>
        </w:trPr>
        <w:tc>
          <w:tcPr>
            <w:tcW w:w="2268" w:type="dxa"/>
          </w:tcPr>
          <w:p w:rsidR="00B84942" w:rsidRPr="00EF2796" w:rsidRDefault="00B84942" w:rsidP="00EF2796">
            <w:pPr>
              <w:pStyle w:val="Belmana4normal"/>
              <w:spacing w:after="60"/>
              <w:jc w:val="left"/>
              <w:rPr>
                <w:sz w:val="20"/>
                <w:szCs w:val="20"/>
              </w:rPr>
            </w:pPr>
            <w:r w:rsidRPr="00EF2796">
              <w:rPr>
                <w:sz w:val="20"/>
                <w:szCs w:val="20"/>
              </w:rPr>
              <w:t>University of Manchester</w:t>
            </w:r>
          </w:p>
        </w:tc>
        <w:tc>
          <w:tcPr>
            <w:tcW w:w="2694" w:type="dxa"/>
          </w:tcPr>
          <w:p w:rsidR="00B84942" w:rsidRPr="00EF2796" w:rsidRDefault="00B84942" w:rsidP="00EF2796">
            <w:pPr>
              <w:pStyle w:val="Belmana4normal"/>
              <w:spacing w:after="60"/>
              <w:jc w:val="left"/>
              <w:rPr>
                <w:sz w:val="20"/>
                <w:szCs w:val="20"/>
              </w:rPr>
            </w:pPr>
            <w:r w:rsidRPr="00EF2796">
              <w:rPr>
                <w:sz w:val="20"/>
                <w:szCs w:val="20"/>
              </w:rPr>
              <w:t>Paterson Institute for Cancer Research</w:t>
            </w:r>
          </w:p>
        </w:tc>
        <w:tc>
          <w:tcPr>
            <w:tcW w:w="4677" w:type="dxa"/>
          </w:tcPr>
          <w:p w:rsidR="00B84942" w:rsidRPr="00EF2796" w:rsidRDefault="00B84942" w:rsidP="00EF2796">
            <w:pPr>
              <w:pStyle w:val="Belmana4normal"/>
              <w:spacing w:after="60"/>
              <w:rPr>
                <w:sz w:val="20"/>
                <w:szCs w:val="20"/>
              </w:rPr>
            </w:pPr>
            <w:r w:rsidRPr="00EF2796">
              <w:rPr>
                <w:sz w:val="20"/>
                <w:szCs w:val="20"/>
              </w:rPr>
              <w:t xml:space="preserve">IP and patenting expected to be affected positively: </w:t>
            </w:r>
            <w:r w:rsidR="00786A30">
              <w:rPr>
                <w:sz w:val="20"/>
                <w:szCs w:val="20"/>
              </w:rPr>
              <w:t>d</w:t>
            </w:r>
            <w:r w:rsidRPr="00EF2796">
              <w:rPr>
                <w:sz w:val="20"/>
                <w:szCs w:val="20"/>
              </w:rPr>
              <w:t>ouble invention disclosures, licensing, patents and commercial partnering for new diagnostic</w:t>
            </w:r>
          </w:p>
        </w:tc>
      </w:tr>
      <w:tr w:rsidR="00B84942" w:rsidRPr="003E74FB">
        <w:trPr>
          <w:trHeight w:val="1105"/>
        </w:trPr>
        <w:tc>
          <w:tcPr>
            <w:tcW w:w="2268" w:type="dxa"/>
          </w:tcPr>
          <w:p w:rsidR="00B84942" w:rsidRPr="00EF2796" w:rsidRDefault="00B84942" w:rsidP="00EF2796">
            <w:pPr>
              <w:pStyle w:val="Belmana4normal"/>
              <w:spacing w:after="60"/>
              <w:jc w:val="left"/>
              <w:rPr>
                <w:sz w:val="20"/>
                <w:szCs w:val="20"/>
              </w:rPr>
            </w:pPr>
            <w:r w:rsidRPr="00EF2796">
              <w:rPr>
                <w:sz w:val="20"/>
                <w:szCs w:val="20"/>
              </w:rPr>
              <w:t>Queen’s University Belfast</w:t>
            </w:r>
          </w:p>
        </w:tc>
        <w:tc>
          <w:tcPr>
            <w:tcW w:w="2694" w:type="dxa"/>
          </w:tcPr>
          <w:p w:rsidR="00B84942" w:rsidRPr="00EF2796" w:rsidRDefault="00B84942" w:rsidP="00EF2796">
            <w:pPr>
              <w:pStyle w:val="Belmana4normal"/>
              <w:spacing w:after="60"/>
              <w:jc w:val="left"/>
              <w:rPr>
                <w:sz w:val="20"/>
                <w:szCs w:val="20"/>
              </w:rPr>
            </w:pPr>
            <w:r w:rsidRPr="00EF2796">
              <w:rPr>
                <w:sz w:val="20"/>
                <w:szCs w:val="20"/>
              </w:rPr>
              <w:t>Institute of Health Sciences</w:t>
            </w:r>
          </w:p>
        </w:tc>
        <w:tc>
          <w:tcPr>
            <w:tcW w:w="4677" w:type="dxa"/>
          </w:tcPr>
          <w:p w:rsidR="00B84942" w:rsidRPr="00EF2796" w:rsidRDefault="00B84942" w:rsidP="00EF2796">
            <w:pPr>
              <w:pStyle w:val="Belmana4normal"/>
              <w:spacing w:after="60"/>
              <w:jc w:val="left"/>
              <w:rPr>
                <w:sz w:val="20"/>
                <w:szCs w:val="20"/>
              </w:rPr>
            </w:pPr>
            <w:r w:rsidRPr="00EF2796">
              <w:rPr>
                <w:sz w:val="20"/>
                <w:szCs w:val="20"/>
              </w:rPr>
              <w:t>Three patent or licensing applications under consideration aiming to develop new vaccines, a new treatment for preeclampsia and a new biomarker for diabetic complications</w:t>
            </w:r>
          </w:p>
        </w:tc>
      </w:tr>
      <w:tr w:rsidR="00B84942" w:rsidRPr="003E74FB">
        <w:trPr>
          <w:trHeight w:val="694"/>
        </w:trPr>
        <w:tc>
          <w:tcPr>
            <w:tcW w:w="2268" w:type="dxa"/>
          </w:tcPr>
          <w:p w:rsidR="00B84942" w:rsidRPr="00EF2796" w:rsidRDefault="00B84942" w:rsidP="00EF2796">
            <w:pPr>
              <w:pStyle w:val="Belmana4normal"/>
              <w:spacing w:after="60"/>
              <w:jc w:val="left"/>
              <w:rPr>
                <w:sz w:val="20"/>
                <w:szCs w:val="20"/>
              </w:rPr>
            </w:pPr>
            <w:r w:rsidRPr="00EF2796">
              <w:rPr>
                <w:sz w:val="20"/>
                <w:szCs w:val="20"/>
              </w:rPr>
              <w:t>University of Southampton</w:t>
            </w:r>
          </w:p>
        </w:tc>
        <w:tc>
          <w:tcPr>
            <w:tcW w:w="2694" w:type="dxa"/>
          </w:tcPr>
          <w:p w:rsidR="00B84942" w:rsidRPr="00EF2796" w:rsidRDefault="00B84942" w:rsidP="00EF2796">
            <w:pPr>
              <w:pStyle w:val="Belmana4normal"/>
              <w:spacing w:after="60"/>
              <w:jc w:val="left"/>
              <w:rPr>
                <w:sz w:val="20"/>
                <w:szCs w:val="20"/>
              </w:rPr>
            </w:pPr>
            <w:r w:rsidRPr="00EF2796">
              <w:rPr>
                <w:sz w:val="20"/>
                <w:szCs w:val="20"/>
              </w:rPr>
              <w:t>Experimentation Facilities in Engineering Science</w:t>
            </w:r>
          </w:p>
        </w:tc>
        <w:tc>
          <w:tcPr>
            <w:tcW w:w="4677" w:type="dxa"/>
          </w:tcPr>
          <w:p w:rsidR="00B84942" w:rsidRPr="00EF2796" w:rsidRDefault="00B84942" w:rsidP="00EF2796">
            <w:pPr>
              <w:pStyle w:val="Belmana4normal"/>
              <w:spacing w:after="60"/>
              <w:jc w:val="left"/>
              <w:rPr>
                <w:sz w:val="20"/>
                <w:szCs w:val="20"/>
              </w:rPr>
            </w:pPr>
            <w:r w:rsidRPr="00EF2796">
              <w:rPr>
                <w:sz w:val="20"/>
                <w:szCs w:val="20"/>
              </w:rPr>
              <w:t xml:space="preserve">Publication of conference and </w:t>
            </w:r>
            <w:r w:rsidR="00CE63C8">
              <w:rPr>
                <w:sz w:val="20"/>
                <w:szCs w:val="20"/>
              </w:rPr>
              <w:t>j</w:t>
            </w:r>
            <w:r w:rsidRPr="00EF2796">
              <w:rPr>
                <w:sz w:val="20"/>
                <w:szCs w:val="20"/>
              </w:rPr>
              <w:t xml:space="preserve">ournal </w:t>
            </w:r>
            <w:r w:rsidR="00CE63C8">
              <w:rPr>
                <w:sz w:val="20"/>
                <w:szCs w:val="20"/>
              </w:rPr>
              <w:t>p</w:t>
            </w:r>
            <w:r w:rsidRPr="00EF2796">
              <w:rPr>
                <w:sz w:val="20"/>
                <w:szCs w:val="20"/>
              </w:rPr>
              <w:t>apers using facility</w:t>
            </w:r>
          </w:p>
        </w:tc>
      </w:tr>
      <w:tr w:rsidR="00B84942" w:rsidRPr="003E74FB">
        <w:trPr>
          <w:trHeight w:val="1170"/>
        </w:trPr>
        <w:tc>
          <w:tcPr>
            <w:tcW w:w="2268" w:type="dxa"/>
          </w:tcPr>
          <w:p w:rsidR="00B84942" w:rsidRPr="00EF2796" w:rsidRDefault="00B84942" w:rsidP="00EF2796">
            <w:pPr>
              <w:pStyle w:val="Belmana4normal"/>
              <w:spacing w:after="60"/>
              <w:jc w:val="left"/>
              <w:rPr>
                <w:sz w:val="20"/>
                <w:szCs w:val="20"/>
              </w:rPr>
            </w:pPr>
            <w:r w:rsidRPr="00EF2796">
              <w:rPr>
                <w:sz w:val="20"/>
                <w:szCs w:val="20"/>
              </w:rPr>
              <w:t>University of Strathclyde</w:t>
            </w:r>
          </w:p>
        </w:tc>
        <w:tc>
          <w:tcPr>
            <w:tcW w:w="2694" w:type="dxa"/>
          </w:tcPr>
          <w:p w:rsidR="00B84942" w:rsidRPr="00EF2796" w:rsidRDefault="00B84942" w:rsidP="00EF2796">
            <w:pPr>
              <w:pStyle w:val="Belmana4normal"/>
              <w:spacing w:after="60"/>
              <w:jc w:val="left"/>
              <w:rPr>
                <w:sz w:val="20"/>
                <w:szCs w:val="20"/>
              </w:rPr>
            </w:pPr>
            <w:r w:rsidRPr="00EF2796">
              <w:rPr>
                <w:sz w:val="20"/>
                <w:szCs w:val="20"/>
              </w:rPr>
              <w:t>Continuous Manufacturing and Crystallisation Research for Pharmaceutical Products</w:t>
            </w:r>
          </w:p>
        </w:tc>
        <w:tc>
          <w:tcPr>
            <w:tcW w:w="4677" w:type="dxa"/>
          </w:tcPr>
          <w:p w:rsidR="00B84942" w:rsidRPr="00EF2796" w:rsidRDefault="00B84942" w:rsidP="00EF2796">
            <w:pPr>
              <w:pStyle w:val="Belmana4normal"/>
              <w:spacing w:after="60"/>
              <w:jc w:val="left"/>
              <w:rPr>
                <w:sz w:val="20"/>
                <w:szCs w:val="20"/>
              </w:rPr>
            </w:pPr>
            <w:r w:rsidRPr="00EF2796">
              <w:rPr>
                <w:sz w:val="20"/>
                <w:szCs w:val="20"/>
              </w:rPr>
              <w:t>High quality peer</w:t>
            </w:r>
            <w:r w:rsidRPr="00EF2796">
              <w:rPr>
                <w:rFonts w:ascii="Cambria Math" w:hAnsi="Cambria Math" w:cs="Cambria Math"/>
                <w:sz w:val="20"/>
                <w:szCs w:val="20"/>
              </w:rPr>
              <w:t>‐</w:t>
            </w:r>
            <w:r w:rsidRPr="00EF2796">
              <w:rPr>
                <w:sz w:val="20"/>
                <w:szCs w:val="20"/>
              </w:rPr>
              <w:t>reviewed scientific publications and conference reports disseminating the research outcomes. Target exceeded: 1 patent and licence</w:t>
            </w:r>
          </w:p>
        </w:tc>
      </w:tr>
      <w:tr w:rsidR="00B84942" w:rsidRPr="003E74FB">
        <w:trPr>
          <w:trHeight w:val="397"/>
        </w:trPr>
        <w:tc>
          <w:tcPr>
            <w:tcW w:w="2268" w:type="dxa"/>
            <w:tcBorders>
              <w:bottom w:val="single" w:sz="4" w:space="0" w:color="993365"/>
            </w:tcBorders>
          </w:tcPr>
          <w:p w:rsidR="00B84942" w:rsidRPr="00EF2796" w:rsidRDefault="00B84942" w:rsidP="00EF2796">
            <w:pPr>
              <w:pStyle w:val="Belmana4normal"/>
              <w:spacing w:after="60"/>
              <w:rPr>
                <w:sz w:val="20"/>
                <w:szCs w:val="20"/>
              </w:rPr>
            </w:pPr>
            <w:r w:rsidRPr="00EF2796">
              <w:rPr>
                <w:sz w:val="20"/>
                <w:szCs w:val="20"/>
              </w:rPr>
              <w:t>Brunel University</w:t>
            </w:r>
          </w:p>
        </w:tc>
        <w:tc>
          <w:tcPr>
            <w:tcW w:w="2694" w:type="dxa"/>
            <w:tcBorders>
              <w:bottom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National Structural Integrity Research Centre</w:t>
            </w:r>
          </w:p>
        </w:tc>
        <w:tc>
          <w:tcPr>
            <w:tcW w:w="4677" w:type="dxa"/>
            <w:tcBorders>
              <w:bottom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37 academic publications generated by NSIRC students to date</w:t>
            </w:r>
          </w:p>
        </w:tc>
      </w:tr>
    </w:tbl>
    <w:p w:rsidR="00B84942" w:rsidRDefault="00B84942" w:rsidP="00B84942">
      <w:pPr>
        <w:pStyle w:val="Belmana4normal"/>
        <w:rPr>
          <w:sz w:val="16"/>
        </w:rPr>
      </w:pPr>
      <w:r w:rsidRPr="008C2E15">
        <w:rPr>
          <w:sz w:val="16"/>
        </w:rPr>
        <w:t>Source: Project Completion Reports</w:t>
      </w:r>
    </w:p>
    <w:p w:rsidR="00B84942" w:rsidRDefault="00B84942" w:rsidP="00CA5BC4">
      <w:pPr>
        <w:pStyle w:val="Belmana3"/>
      </w:pPr>
      <w:bookmarkStart w:id="73" w:name="_Toc514831661"/>
      <w:r>
        <w:t>Standard-</w:t>
      </w:r>
      <w:r w:rsidR="00544924">
        <w:t>s</w:t>
      </w:r>
      <w:r>
        <w:t xml:space="preserve">etting and </w:t>
      </w:r>
      <w:r w:rsidR="00544924">
        <w:t>t</w:t>
      </w:r>
      <w:r>
        <w:t xml:space="preserve">hought </w:t>
      </w:r>
      <w:r w:rsidR="00544924">
        <w:t>l</w:t>
      </w:r>
      <w:r>
        <w:t>eadership</w:t>
      </w:r>
      <w:bookmarkEnd w:id="73"/>
    </w:p>
    <w:p w:rsidR="003C7912" w:rsidRDefault="001039F9" w:rsidP="005721FF">
      <w:pPr>
        <w:pStyle w:val="Belmananormal"/>
      </w:pPr>
      <w:r>
        <w:rPr>
          <w:noProof/>
          <w:lang w:eastAsia="en-GB"/>
        </w:rPr>
        <mc:AlternateContent>
          <mc:Choice Requires="wps">
            <w:drawing>
              <wp:anchor distT="45720" distB="45720" distL="114300" distR="114300" simplePos="0" relativeHeight="251691008" behindDoc="0" locked="0" layoutInCell="1" allowOverlap="1">
                <wp:simplePos x="0" y="0"/>
                <wp:positionH relativeFrom="margin">
                  <wp:align>left</wp:align>
                </wp:positionH>
                <wp:positionV relativeFrom="paragraph">
                  <wp:posOffset>1090295</wp:posOffset>
                </wp:positionV>
                <wp:extent cx="6115050" cy="4471035"/>
                <wp:effectExtent l="0" t="0" r="0" b="0"/>
                <wp:wrapSquare wrapText="bothSides"/>
                <wp:docPr id="14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115050" cy="4471035"/>
                        </a:xfrm>
                        <a:prstGeom prst="rect">
                          <a:avLst/>
                        </a:prstGeom>
                        <a:solidFill>
                          <a:schemeClr val="bg1">
                            <a:lumMod val="95000"/>
                          </a:schemeClr>
                        </a:solidFill>
                        <a:ln w="9525">
                          <a:noFill/>
                          <a:miter lim="800000"/>
                          <a:headEnd/>
                          <a:tailEnd/>
                        </a:ln>
                      </wps:spPr>
                      <wps:txbx>
                        <w:txbxContent>
                          <w:p w:rsidR="00D441C7" w:rsidRDefault="00D441C7" w:rsidP="00CA5BC4">
                            <w:pPr>
                              <w:pStyle w:val="BelmanaCS3"/>
                            </w:pPr>
                            <w:bookmarkStart w:id="74" w:name="_Toc514831662"/>
                            <w:r w:rsidRPr="00D944B8">
                              <w:t>Standard Setting at the 5</w:t>
                            </w:r>
                            <w:r>
                              <w:t>G</w:t>
                            </w:r>
                            <w:r w:rsidRPr="00D944B8">
                              <w:t xml:space="preserve"> Innovation Centre (5GIC), University of Surrey</w:t>
                            </w:r>
                            <w:bookmarkEnd w:id="74"/>
                            <w:r w:rsidRPr="00D944B8">
                              <w:t xml:space="preserve"> </w:t>
                            </w:r>
                          </w:p>
                          <w:p w:rsidR="00D441C7" w:rsidRDefault="00D441C7" w:rsidP="00B87621">
                            <w:pPr>
                              <w:pStyle w:val="Belmananormal"/>
                              <w:numPr>
                                <w:ilvl w:val="0"/>
                                <w:numId w:val="0"/>
                              </w:numPr>
                              <w:shd w:val="clear" w:color="auto" w:fill="F2F2F2" w:themeFill="background1" w:themeFillShade="F2"/>
                              <w:rPr>
                                <w:sz w:val="22"/>
                              </w:rPr>
                            </w:pPr>
                            <w:r w:rsidRPr="0034579B">
                              <w:rPr>
                                <w:sz w:val="22"/>
                              </w:rPr>
                              <w:t xml:space="preserve">The 5GIC hosted by the University of Surrey </w:t>
                            </w:r>
                            <w:r>
                              <w:rPr>
                                <w:sz w:val="22"/>
                              </w:rPr>
                              <w:t>is</w:t>
                            </w:r>
                            <w:r w:rsidRPr="0034579B">
                              <w:rPr>
                                <w:sz w:val="22"/>
                              </w:rPr>
                              <w:t xml:space="preserve"> at the forefront of standard setting and innovation in 5G and </w:t>
                            </w:r>
                            <w:r>
                              <w:rPr>
                                <w:sz w:val="22"/>
                              </w:rPr>
                              <w:t>t</w:t>
                            </w:r>
                            <w:r w:rsidRPr="0034579B">
                              <w:rPr>
                                <w:sz w:val="22"/>
                              </w:rPr>
                              <w:t xml:space="preserve">he Internet of Things (IoT). </w:t>
                            </w:r>
                          </w:p>
                          <w:p w:rsidR="00D441C7" w:rsidRPr="0034579B" w:rsidRDefault="00D441C7" w:rsidP="00B87621">
                            <w:pPr>
                              <w:pStyle w:val="Belmananormal"/>
                              <w:numPr>
                                <w:ilvl w:val="0"/>
                                <w:numId w:val="0"/>
                              </w:numPr>
                              <w:shd w:val="clear" w:color="auto" w:fill="F2F2F2" w:themeFill="background1" w:themeFillShade="F2"/>
                              <w:rPr>
                                <w:sz w:val="22"/>
                              </w:rPr>
                            </w:pPr>
                            <w:r>
                              <w:rPr>
                                <w:noProof/>
                                <w:lang w:eastAsia="en-GB"/>
                              </w:rPr>
                              <w:drawing>
                                <wp:inline distT="0" distB="0" distL="0" distR="0">
                                  <wp:extent cx="5904277" cy="1476375"/>
                                  <wp:effectExtent l="0" t="0" r="1270" b="0"/>
                                  <wp:docPr id="132" name="Picture 132">
                                    <a:hlinkClick xmlns:a="http://schemas.openxmlformats.org/drawingml/2006/main" r:id="rId36"/>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6"/>
                                          </pic:cNvPr>
                                          <pic:cNvPicPr/>
                                        </pic:nvPicPr>
                                        <pic:blipFill>
                                          <a:blip r:embed="rId37"/>
                                          <a:stretch>
                                            <a:fillRect/>
                                          </a:stretch>
                                        </pic:blipFill>
                                        <pic:spPr>
                                          <a:xfrm>
                                            <a:off x="0" y="0"/>
                                            <a:ext cx="5939839" cy="1485267"/>
                                          </a:xfrm>
                                          <a:prstGeom prst="rect">
                                            <a:avLst/>
                                          </a:prstGeom>
                                        </pic:spPr>
                                      </pic:pic>
                                    </a:graphicData>
                                  </a:graphic>
                                </wp:inline>
                              </w:drawing>
                            </w:r>
                          </w:p>
                          <w:p w:rsidR="00D441C7" w:rsidRPr="0034579B" w:rsidRDefault="00D441C7" w:rsidP="00B87621">
                            <w:pPr>
                              <w:pStyle w:val="Belmananormal"/>
                              <w:numPr>
                                <w:ilvl w:val="0"/>
                                <w:numId w:val="0"/>
                              </w:numPr>
                              <w:shd w:val="clear" w:color="auto" w:fill="F2F2F2" w:themeFill="background1" w:themeFillShade="F2"/>
                              <w:rPr>
                                <w:sz w:val="22"/>
                              </w:rPr>
                            </w:pPr>
                            <w:r w:rsidRPr="0034579B">
                              <w:rPr>
                                <w:sz w:val="22"/>
                              </w:rPr>
                              <w:t xml:space="preserve">Nationally, the Centre provides input into UK 5G policy via the Future Communications Challenge Group, and internationally it has contributed to the setting of common international standards. Its staff has set up two standards group with the European Technologies Standards Institute (the 5GIC Strategic Advisory Board sub-group, and the Standards Strategy Group), and the Centre recently established new Industry Specifications Groups (ISGs) on Next Generation Protocol and Broadcasting/Mobile. </w:t>
                            </w:r>
                          </w:p>
                          <w:p w:rsidR="00D441C7" w:rsidRPr="0034579B" w:rsidRDefault="00D441C7" w:rsidP="00B87621">
                            <w:pPr>
                              <w:pStyle w:val="Belmananormal"/>
                              <w:numPr>
                                <w:ilvl w:val="0"/>
                                <w:numId w:val="0"/>
                              </w:numPr>
                              <w:shd w:val="clear" w:color="auto" w:fill="F2F2F2" w:themeFill="background1" w:themeFillShade="F2"/>
                              <w:rPr>
                                <w:rFonts w:eastAsia="Times New Roman"/>
                                <w:color w:val="000000"/>
                                <w:sz w:val="22"/>
                                <w:lang w:eastAsia="en-GB"/>
                              </w:rPr>
                            </w:pPr>
                            <w:r w:rsidRPr="0034579B">
                              <w:rPr>
                                <w:rFonts w:eastAsia="Times New Roman"/>
                                <w:color w:val="000000"/>
                                <w:sz w:val="22"/>
                                <w:lang w:eastAsia="en-GB"/>
                              </w:rPr>
                              <w:t>The UKRPIF grant was vital in enabling the Centre to po</w:t>
                            </w:r>
                            <w:r>
                              <w:rPr>
                                <w:rFonts w:eastAsia="Times New Roman"/>
                                <w:color w:val="000000"/>
                                <w:sz w:val="22"/>
                                <w:lang w:eastAsia="en-GB"/>
                              </w:rPr>
                              <w:t>sition</w:t>
                            </w:r>
                            <w:r w:rsidRPr="0034579B">
                              <w:rPr>
                                <w:rFonts w:eastAsia="Times New Roman"/>
                                <w:color w:val="000000"/>
                                <w:sz w:val="22"/>
                                <w:lang w:eastAsia="en-GB"/>
                              </w:rPr>
                              <w:t xml:space="preserve"> itself as a leader. The funding signalled government commitment and acted as a catalyst for national and international industry partners to make strategic investments in 5G technology, making Guildford the </w:t>
                            </w:r>
                            <w:r w:rsidRPr="0034579B">
                              <w:rPr>
                                <w:rFonts w:eastAsia="Times New Roman"/>
                                <w:i/>
                                <w:color w:val="000000"/>
                                <w:sz w:val="22"/>
                                <w:lang w:eastAsia="en-GB"/>
                              </w:rPr>
                              <w:t xml:space="preserve">“place to be” </w:t>
                            </w:r>
                            <w:r w:rsidRPr="0034579B">
                              <w:rPr>
                                <w:rFonts w:eastAsia="Times New Roman"/>
                                <w:color w:val="000000"/>
                                <w:sz w:val="22"/>
                                <w:lang w:eastAsia="en-GB"/>
                              </w:rPr>
                              <w:t>in Europe, influencing the international agenda on research and standards.</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0" type="#_x0000_t202" style="position:absolute;left:0;text-align:left;margin-left:0;margin-top:85.85pt;width:481.5pt;height:352.05pt;z-index:251691008;visibility:visible;mso-wrap-style:square;mso-width-percent:0;mso-height-percent:200;mso-wrap-distance-left:9pt;mso-wrap-distance-top:3.6pt;mso-wrap-distance-right:9pt;mso-wrap-distance-bottom:3.6pt;mso-position-horizontal:left;mso-position-horizontal-relative:margin;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" fillcolor="#f2f2f2 [3052]" stroked="f">
                <v:textbox style="mso-fit-shape-to-text:t">
                  <w:txbxContent>
                    <w:p w:rsidR="00D441C7" w:rsidRDefault="00D441C7" w:rsidP="00CA5BC4">
                      <w:pPr>
                        <w:pStyle w:val="BelmanaCS3"/>
                      </w:pPr>
                      <w:bookmarkStart w:id="77" w:name="_Toc514831662"/>
                      <w:r w:rsidRPr="00D944B8">
                        <w:t>Standard Setting at the 5</w:t>
                      </w:r>
                      <w:r>
                        <w:t>G</w:t>
                      </w:r>
                      <w:r w:rsidRPr="00D944B8">
                        <w:t xml:space="preserve"> Innovation Centre (5GIC), University of Surrey</w:t>
                      </w:r>
                      <w:bookmarkEnd w:id="77"/>
                      <w:r w:rsidRPr="00D944B8">
                        <w:t xml:space="preserve"> </w:t>
                      </w:r>
                    </w:p>
                    <w:p w:rsidR="00D441C7" w:rsidRDefault="00D441C7" w:rsidP="00B87621">
                      <w:pPr>
                        <w:pStyle w:val="Belmananormal"/>
                        <w:numPr>
                          <w:ilvl w:val="0"/>
                          <w:numId w:val="0"/>
                        </w:numPr>
                        <w:shd w:val="clear" w:color="auto" w:fill="F2F2F2" w:themeFill="background1" w:themeFillShade="F2"/>
                        <w:rPr>
                          <w:sz w:val="22"/>
                        </w:rPr>
                      </w:pPr>
                      <w:r w:rsidRPr="0034579B">
                        <w:rPr>
                          <w:sz w:val="22"/>
                        </w:rPr>
                        <w:t xml:space="preserve">The 5GIC hosted by the University of Surrey </w:t>
                      </w:r>
                      <w:r>
                        <w:rPr>
                          <w:sz w:val="22"/>
                        </w:rPr>
                        <w:t>is</w:t>
                      </w:r>
                      <w:r w:rsidRPr="0034579B">
                        <w:rPr>
                          <w:sz w:val="22"/>
                        </w:rPr>
                        <w:t xml:space="preserve"> at the forefront of standard setting and innovation in 5G and </w:t>
                      </w:r>
                      <w:r>
                        <w:rPr>
                          <w:sz w:val="22"/>
                        </w:rPr>
                        <w:t>t</w:t>
                      </w:r>
                      <w:r w:rsidRPr="0034579B">
                        <w:rPr>
                          <w:sz w:val="22"/>
                        </w:rPr>
                        <w:t>he Internet of Things (</w:t>
                      </w:r>
                      <w:proofErr w:type="spellStart"/>
                      <w:r w:rsidRPr="0034579B">
                        <w:rPr>
                          <w:sz w:val="22"/>
                        </w:rPr>
                        <w:t>IoT</w:t>
                      </w:r>
                      <w:proofErr w:type="spellEnd"/>
                      <w:r w:rsidRPr="0034579B">
                        <w:rPr>
                          <w:sz w:val="22"/>
                        </w:rPr>
                        <w:t xml:space="preserve">). </w:t>
                      </w:r>
                    </w:p>
                    <w:p w:rsidR="00D441C7" w:rsidRPr="0034579B" w:rsidRDefault="00D441C7" w:rsidP="00B87621">
                      <w:pPr>
                        <w:pStyle w:val="Belmananormal"/>
                        <w:numPr>
                          <w:ilvl w:val="0"/>
                          <w:numId w:val="0"/>
                        </w:numPr>
                        <w:shd w:val="clear" w:color="auto" w:fill="F2F2F2" w:themeFill="background1" w:themeFillShade="F2"/>
                        <w:rPr>
                          <w:sz w:val="22"/>
                        </w:rPr>
                      </w:pPr>
                      <w:r>
                        <w:rPr>
                          <w:noProof/>
                          <w:lang w:eastAsia="en-GB"/>
                        </w:rPr>
                        <w:drawing>
                          <wp:inline distT="0" distB="0" distL="0" distR="0">
                            <wp:extent cx="5904277" cy="1476375"/>
                            <wp:effectExtent l="0" t="0" r="1270" b="0"/>
                            <wp:docPr id="132" name="Picture 132">
                              <a:hlinkClick xmlns:a="http://schemas.openxmlformats.org/drawingml/2006/main" r:id="rId3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Picture 18">
                                      <a:hlinkClick r:id="rId38"/>
                                    </pic:cNvPr>
                                    <pic:cNvPicPr/>
                                  </pic:nvPicPr>
                                  <pic:blipFill>
                                    <a:blip r:embed="rId39"/>
                                    <a:stretch>
                                      <a:fillRect/>
                                    </a:stretch>
                                  </pic:blipFill>
                                  <pic:spPr>
                                    <a:xfrm>
                                      <a:off x="0" y="0"/>
                                      <a:ext cx="5939839" cy="1485267"/>
                                    </a:xfrm>
                                    <a:prstGeom prst="rect">
                                      <a:avLst/>
                                    </a:prstGeom>
                                  </pic:spPr>
                                </pic:pic>
                              </a:graphicData>
                            </a:graphic>
                          </wp:inline>
                        </w:drawing>
                      </w:r>
                    </w:p>
                    <w:p w:rsidR="00D441C7" w:rsidRPr="0034579B" w:rsidRDefault="00D441C7" w:rsidP="00B87621">
                      <w:pPr>
                        <w:pStyle w:val="Belmananormal"/>
                        <w:numPr>
                          <w:ilvl w:val="0"/>
                          <w:numId w:val="0"/>
                        </w:numPr>
                        <w:shd w:val="clear" w:color="auto" w:fill="F2F2F2" w:themeFill="background1" w:themeFillShade="F2"/>
                        <w:rPr>
                          <w:sz w:val="22"/>
                        </w:rPr>
                      </w:pPr>
                      <w:r w:rsidRPr="0034579B">
                        <w:rPr>
                          <w:sz w:val="22"/>
                        </w:rPr>
                        <w:t xml:space="preserve">Nationally, the Centre provides input into UK 5G policy via the Future Communications Challenge Group, and internationally it has contributed to the setting of common international standards. Its staff has set up two standards group with the European Technologies Standards Institute (the 5GIC Strategic Advisory Board sub-group, and the Standards Strategy Group), and the Centre recently established new Industry Specifications Groups (ISGs) on Next Generation Protocol and Broadcasting/Mobile. </w:t>
                      </w:r>
                    </w:p>
                    <w:p w:rsidR="00D441C7" w:rsidRPr="0034579B" w:rsidRDefault="00D441C7" w:rsidP="00B87621">
                      <w:pPr>
                        <w:pStyle w:val="Belmananormal"/>
                        <w:numPr>
                          <w:ilvl w:val="0"/>
                          <w:numId w:val="0"/>
                        </w:numPr>
                        <w:shd w:val="clear" w:color="auto" w:fill="F2F2F2" w:themeFill="background1" w:themeFillShade="F2"/>
                        <w:rPr>
                          <w:rFonts w:eastAsia="Times New Roman"/>
                          <w:color w:val="000000"/>
                          <w:sz w:val="22"/>
                          <w:lang w:eastAsia="en-GB"/>
                        </w:rPr>
                      </w:pPr>
                      <w:r w:rsidRPr="0034579B">
                        <w:rPr>
                          <w:rFonts w:eastAsia="Times New Roman"/>
                          <w:color w:val="000000"/>
                          <w:sz w:val="22"/>
                          <w:lang w:eastAsia="en-GB"/>
                        </w:rPr>
                        <w:t>The UKRPIF grant was vital in enabling the Centre to po</w:t>
                      </w:r>
                      <w:r>
                        <w:rPr>
                          <w:rFonts w:eastAsia="Times New Roman"/>
                          <w:color w:val="000000"/>
                          <w:sz w:val="22"/>
                          <w:lang w:eastAsia="en-GB"/>
                        </w:rPr>
                        <w:t>sition</w:t>
                      </w:r>
                      <w:r w:rsidRPr="0034579B">
                        <w:rPr>
                          <w:rFonts w:eastAsia="Times New Roman"/>
                          <w:color w:val="000000"/>
                          <w:sz w:val="22"/>
                          <w:lang w:eastAsia="en-GB"/>
                        </w:rPr>
                        <w:t xml:space="preserve"> itself as a leader. The funding signalled government commitment and acted as a catalyst for national and international industry partners to make strategic investments in 5G technology, making Guildford the </w:t>
                      </w:r>
                      <w:r w:rsidRPr="0034579B">
                        <w:rPr>
                          <w:rFonts w:eastAsia="Times New Roman"/>
                          <w:i/>
                          <w:color w:val="000000"/>
                          <w:sz w:val="22"/>
                          <w:lang w:eastAsia="en-GB"/>
                        </w:rPr>
                        <w:t xml:space="preserve">“place to be” </w:t>
                      </w:r>
                      <w:r w:rsidRPr="0034579B">
                        <w:rPr>
                          <w:rFonts w:eastAsia="Times New Roman"/>
                          <w:color w:val="000000"/>
                          <w:sz w:val="22"/>
                          <w:lang w:eastAsia="en-GB"/>
                        </w:rPr>
                        <w:t>in Europe, influencing the international agenda on research and standards.</w:t>
                      </w:r>
                    </w:p>
                  </w:txbxContent>
                </v:textbox>
                <w10:wrap type="square" anchorx="margin"/>
              </v:shape>
            </w:pict>
          </mc:Fallback>
        </mc:AlternateContent>
      </w:r>
      <w:r w:rsidR="00B84942">
        <w:t>An important aspect in the development of an innovative research base has been the aim to establish the UK as a leader in setting of international</w:t>
      </w:r>
      <w:r w:rsidR="003C7912">
        <w:t xml:space="preserve"> technology</w:t>
      </w:r>
      <w:r w:rsidR="00B84942">
        <w:t xml:space="preserve"> standards. </w:t>
      </w:r>
      <w:r w:rsidR="003C7912">
        <w:t>Alongside p</w:t>
      </w:r>
      <w:r w:rsidR="00B84942">
        <w:t xml:space="preserve">atents and </w:t>
      </w:r>
      <w:r w:rsidR="003C7912">
        <w:t>registered i</w:t>
      </w:r>
      <w:r w:rsidR="00B84942">
        <w:t>ntellectual property</w:t>
      </w:r>
      <w:r w:rsidR="003C7912">
        <w:t>, industrial and academic partnerships are involved in global endeavours to harmonise underlying technologies or processes through standard setting bodies.</w:t>
      </w:r>
    </w:p>
    <w:p w:rsidR="00B84942" w:rsidRDefault="003C7912" w:rsidP="005721FF">
      <w:pPr>
        <w:pStyle w:val="Belmananormal"/>
      </w:pPr>
      <w:r>
        <w:t>Such outputs can play an important part in research leadership and the commercialisation of research. Firstly, the research for setting</w:t>
      </w:r>
      <w:r w:rsidR="00B84942">
        <w:t xml:space="preserve"> </w:t>
      </w:r>
      <w:r>
        <w:t>standards is high quality, often reviewing across technologies with a high complexity. Secondly, by UK research institutions being involved in standard setting, the researchers and companies working in the institution become early adopters and benefit from access to the future direction that a technology may take. The impact will be hard to measure, being long-term and often deliver</w:t>
      </w:r>
      <w:r w:rsidR="00213E72">
        <w:t>ed</w:t>
      </w:r>
      <w:r>
        <w:t xml:space="preserve"> through influence and engagement, rather than formal research outputs</w:t>
      </w:r>
      <w:r w:rsidR="00B84942">
        <w:t xml:space="preserve">. </w:t>
      </w:r>
    </w:p>
    <w:p w:rsidR="00B84942" w:rsidRPr="008C2E15" w:rsidRDefault="00B84942" w:rsidP="00B84942">
      <w:pPr>
        <w:pStyle w:val="Belmana2"/>
      </w:pPr>
      <w:bookmarkStart w:id="75" w:name="_Toc499548028"/>
      <w:bookmarkStart w:id="76" w:name="_Toc514831663"/>
      <w:r w:rsidRPr="008C2E15">
        <w:t xml:space="preserve">Impact on collaboration with </w:t>
      </w:r>
      <w:bookmarkEnd w:id="75"/>
      <w:r w:rsidR="00213E72">
        <w:t>HEIs</w:t>
      </w:r>
      <w:bookmarkEnd w:id="76"/>
    </w:p>
    <w:p w:rsidR="00B84942" w:rsidRPr="008C2E15" w:rsidRDefault="00B84942" w:rsidP="005721FF">
      <w:pPr>
        <w:pStyle w:val="Belmananormal"/>
      </w:pPr>
      <w:r w:rsidRPr="008C2E15">
        <w:t xml:space="preserve"> Table </w:t>
      </w:r>
      <w:r w:rsidR="00620B55">
        <w:t>9</w:t>
      </w:r>
      <w:r w:rsidRPr="008C2E15">
        <w:t xml:space="preserve"> tabulates the</w:t>
      </w:r>
      <w:r>
        <w:t xml:space="preserve"> impact on collaborations with other HEIs. </w:t>
      </w:r>
      <w:r w:rsidRPr="008C2E15">
        <w:t xml:space="preserve">The projects all report positive impacts on </w:t>
      </w:r>
      <w:r>
        <w:t xml:space="preserve">such partnerships, </w:t>
      </w:r>
      <w:r w:rsidRPr="008C2E15">
        <w:t>although the data</w:t>
      </w:r>
      <w:r>
        <w:t xml:space="preserve"> available from monitoring and completion reports</w:t>
      </w:r>
      <w:r w:rsidRPr="008C2E15">
        <w:t xml:space="preserve"> often lacks qualitative information on the nature of these collaborations. The case study on the Centre for Translational and Interdisciplinary Research</w:t>
      </w:r>
      <w:r>
        <w:t xml:space="preserve"> (CTIR) </w:t>
      </w:r>
      <w:r w:rsidRPr="008C2E15">
        <w:t>provide</w:t>
      </w:r>
      <w:r w:rsidR="00072230">
        <w:t xml:space="preserve">d insights about how its facilities, the </w:t>
      </w:r>
      <w:r w:rsidR="00B06E5B">
        <w:t xml:space="preserve">equipment-related </w:t>
      </w:r>
      <w:r w:rsidR="00072230">
        <w:t xml:space="preserve">expertise in the </w:t>
      </w:r>
      <w:r w:rsidR="001F2D93">
        <w:t xml:space="preserve">centre </w:t>
      </w:r>
      <w:r w:rsidR="00072230">
        <w:t xml:space="preserve">and </w:t>
      </w:r>
      <w:r w:rsidR="00B06E5B">
        <w:t>research excellence have underpinned</w:t>
      </w:r>
      <w:r w:rsidR="00072230">
        <w:t xml:space="preserve"> </w:t>
      </w:r>
      <w:r w:rsidRPr="008C2E15">
        <w:t>new collaborations.</w:t>
      </w:r>
    </w:p>
    <w:tbl>
      <w:tblPr>
        <w:tblStyle w:val="TableGrid"/>
        <w:tblW w:w="9350"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29"/>
        <w:gridCol w:w="4275"/>
        <w:gridCol w:w="278"/>
      </w:tblGrid>
      <w:tr w:rsidR="00B84942" w:rsidRPr="003E74FB">
        <w:trPr>
          <w:trHeight w:val="85"/>
        </w:trPr>
        <w:tc>
          <w:tcPr>
            <w:tcW w:w="9350" w:type="dxa"/>
            <w:gridSpan w:val="4"/>
          </w:tcPr>
          <w:p w:rsidR="00461E3B" w:rsidRDefault="00B84942">
            <w:pPr>
              <w:pStyle w:val="BelmanaTableTitle"/>
              <w:rPr>
                <w:i/>
              </w:rPr>
            </w:pPr>
            <w:bookmarkStart w:id="77" w:name="_Toc499548094"/>
            <w:r w:rsidRPr="008D5BBE">
              <w:t xml:space="preserve">Table </w:t>
            </w:r>
            <w:r w:rsidR="00620B55">
              <w:t>9</w:t>
            </w:r>
            <w:r w:rsidRPr="008D5BBE">
              <w:t xml:space="preserve">: Impact on </w:t>
            </w:r>
            <w:r w:rsidR="001F2D93" w:rsidRPr="008D5BBE">
              <w:t xml:space="preserve">collaborations </w:t>
            </w:r>
            <w:r w:rsidRPr="008D5BBE">
              <w:t xml:space="preserve">with </w:t>
            </w:r>
            <w:bookmarkEnd w:id="77"/>
            <w:r w:rsidR="001F2D93">
              <w:t>HEIs</w:t>
            </w:r>
          </w:p>
        </w:tc>
      </w:tr>
      <w:tr w:rsidR="00B84942" w:rsidRPr="003E74FB">
        <w:trPr>
          <w:gridAfter w:val="1"/>
          <w:wAfter w:w="278" w:type="dxa"/>
          <w:trHeight w:val="397"/>
        </w:trPr>
        <w:tc>
          <w:tcPr>
            <w:tcW w:w="2268" w:type="dxa"/>
            <w:tcBorders>
              <w:top w:val="single" w:sz="4" w:space="0" w:color="993365"/>
              <w:bottom w:val="single" w:sz="4" w:space="0" w:color="993365"/>
              <w:right w:val="single" w:sz="4" w:space="0" w:color="FFFFFF" w:themeColor="background1"/>
            </w:tcBorders>
            <w:shd w:val="clear" w:color="auto" w:fill="993365"/>
          </w:tcPr>
          <w:p w:rsidR="00B84942" w:rsidRPr="003E74FB" w:rsidRDefault="001F2D93" w:rsidP="00506E38">
            <w:pPr>
              <w:pStyle w:val="Belmana4normal"/>
              <w:rPr>
                <w:b/>
                <w:color w:val="FFFFFF" w:themeColor="background1"/>
                <w:sz w:val="20"/>
                <w:szCs w:val="20"/>
              </w:rPr>
            </w:pPr>
            <w:r>
              <w:rPr>
                <w:b/>
                <w:color w:val="FFFFFF" w:themeColor="background1"/>
                <w:sz w:val="20"/>
                <w:szCs w:val="20"/>
              </w:rPr>
              <w:t>HEI</w:t>
            </w:r>
          </w:p>
        </w:tc>
        <w:tc>
          <w:tcPr>
            <w:tcW w:w="2529"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tcPr>
          <w:p w:rsidR="00B84942" w:rsidRPr="003E74FB" w:rsidRDefault="00B84942" w:rsidP="00506E38">
            <w:pPr>
              <w:pStyle w:val="Belmana4normal"/>
              <w:rPr>
                <w:b/>
                <w:color w:val="FFFFFF" w:themeColor="background1"/>
                <w:sz w:val="20"/>
                <w:szCs w:val="20"/>
              </w:rPr>
            </w:pPr>
            <w:r w:rsidRPr="003E74FB">
              <w:rPr>
                <w:b/>
                <w:color w:val="FFFFFF" w:themeColor="background1"/>
                <w:sz w:val="20"/>
                <w:szCs w:val="20"/>
              </w:rPr>
              <w:t>Project</w:t>
            </w:r>
          </w:p>
        </w:tc>
        <w:tc>
          <w:tcPr>
            <w:tcW w:w="4275" w:type="dxa"/>
            <w:tcBorders>
              <w:top w:val="single" w:sz="4" w:space="0" w:color="993365"/>
              <w:left w:val="single" w:sz="4" w:space="0" w:color="FFFFFF" w:themeColor="background1"/>
              <w:bottom w:val="single" w:sz="4" w:space="0" w:color="993365"/>
            </w:tcBorders>
            <w:shd w:val="clear" w:color="auto" w:fill="993365"/>
          </w:tcPr>
          <w:p w:rsidR="00B84942" w:rsidRPr="003E74FB" w:rsidRDefault="00B84942" w:rsidP="00506E38">
            <w:pPr>
              <w:pStyle w:val="Belmana4normal"/>
              <w:rPr>
                <w:b/>
                <w:color w:val="FFFFFF" w:themeColor="background1"/>
                <w:sz w:val="20"/>
                <w:szCs w:val="20"/>
              </w:rPr>
            </w:pPr>
            <w:r w:rsidRPr="003E74FB">
              <w:rPr>
                <w:b/>
                <w:color w:val="FFFFFF" w:themeColor="background1"/>
                <w:sz w:val="20"/>
                <w:szCs w:val="20"/>
              </w:rPr>
              <w:t>Output</w:t>
            </w:r>
          </w:p>
        </w:tc>
      </w:tr>
      <w:tr w:rsidR="00B84942" w:rsidRPr="00EF2796">
        <w:trPr>
          <w:gridAfter w:val="1"/>
          <w:wAfter w:w="278" w:type="dxa"/>
          <w:trHeight w:val="850"/>
        </w:trPr>
        <w:tc>
          <w:tcPr>
            <w:tcW w:w="2268" w:type="dxa"/>
            <w:tcBorders>
              <w:top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University of Manchester</w:t>
            </w:r>
          </w:p>
        </w:tc>
        <w:tc>
          <w:tcPr>
            <w:tcW w:w="2529" w:type="dxa"/>
            <w:tcBorders>
              <w:top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Multidisciplinary Characterisation Facility</w:t>
            </w:r>
            <w:r w:rsidR="001F2D93">
              <w:rPr>
                <w:sz w:val="20"/>
                <w:szCs w:val="20"/>
              </w:rPr>
              <w:t xml:space="preserve"> (MCF)</w:t>
            </w:r>
          </w:p>
        </w:tc>
        <w:tc>
          <w:tcPr>
            <w:tcW w:w="4275" w:type="dxa"/>
            <w:tcBorders>
              <w:top w:val="single" w:sz="4" w:space="0" w:color="993365"/>
            </w:tcBorders>
          </w:tcPr>
          <w:p w:rsidR="00B84942" w:rsidRPr="00EF2796" w:rsidRDefault="001F2D93" w:rsidP="00EF2796">
            <w:pPr>
              <w:pStyle w:val="Belmana4normal"/>
              <w:spacing w:after="60"/>
              <w:jc w:val="left"/>
              <w:rPr>
                <w:sz w:val="20"/>
                <w:szCs w:val="20"/>
              </w:rPr>
            </w:pPr>
            <w:r>
              <w:rPr>
                <w:sz w:val="20"/>
                <w:szCs w:val="20"/>
              </w:rPr>
              <w:t>R</w:t>
            </w:r>
            <w:r w:rsidR="00B84942" w:rsidRPr="00EF2796">
              <w:rPr>
                <w:sz w:val="20"/>
                <w:szCs w:val="20"/>
              </w:rPr>
              <w:t xml:space="preserve">esearchers are free to move between </w:t>
            </w:r>
            <w:r>
              <w:rPr>
                <w:sz w:val="20"/>
                <w:szCs w:val="20"/>
              </w:rPr>
              <w:t>three</w:t>
            </w:r>
            <w:r w:rsidRPr="00EF2796">
              <w:rPr>
                <w:sz w:val="20"/>
                <w:szCs w:val="20"/>
              </w:rPr>
              <w:t xml:space="preserve"> universities (Cambridge, Imper</w:t>
            </w:r>
            <w:r>
              <w:rPr>
                <w:sz w:val="20"/>
                <w:szCs w:val="20"/>
              </w:rPr>
              <w:t>ial, Illinois Urbana-Champagne)</w:t>
            </w:r>
            <w:r w:rsidRPr="00EF2796">
              <w:rPr>
                <w:sz w:val="20"/>
                <w:szCs w:val="20"/>
              </w:rPr>
              <w:t xml:space="preserve"> </w:t>
            </w:r>
            <w:r w:rsidR="00B84942" w:rsidRPr="00EF2796">
              <w:rPr>
                <w:sz w:val="20"/>
                <w:szCs w:val="20"/>
              </w:rPr>
              <w:t>and use MCF</w:t>
            </w:r>
          </w:p>
        </w:tc>
      </w:tr>
      <w:tr w:rsidR="00B84942" w:rsidRPr="00EF2796">
        <w:trPr>
          <w:gridAfter w:val="1"/>
          <w:wAfter w:w="278" w:type="dxa"/>
          <w:trHeight w:val="843"/>
        </w:trPr>
        <w:tc>
          <w:tcPr>
            <w:tcW w:w="2268" w:type="dxa"/>
          </w:tcPr>
          <w:p w:rsidR="00B84942" w:rsidRPr="00EF2796" w:rsidRDefault="00B84942" w:rsidP="00EF2796">
            <w:pPr>
              <w:pStyle w:val="Belmana4normal"/>
              <w:spacing w:after="60"/>
              <w:jc w:val="left"/>
              <w:rPr>
                <w:sz w:val="20"/>
                <w:szCs w:val="20"/>
              </w:rPr>
            </w:pPr>
            <w:r w:rsidRPr="00EF2796">
              <w:rPr>
                <w:sz w:val="20"/>
                <w:szCs w:val="20"/>
              </w:rPr>
              <w:t>University of Swansea</w:t>
            </w:r>
          </w:p>
        </w:tc>
        <w:tc>
          <w:tcPr>
            <w:tcW w:w="2529" w:type="dxa"/>
          </w:tcPr>
          <w:p w:rsidR="00B84942" w:rsidRPr="00EF2796" w:rsidRDefault="00B84942" w:rsidP="00EF2796">
            <w:pPr>
              <w:pStyle w:val="Belmana4normal"/>
              <w:spacing w:after="60"/>
              <w:jc w:val="left"/>
              <w:rPr>
                <w:sz w:val="20"/>
                <w:szCs w:val="20"/>
              </w:rPr>
            </w:pPr>
            <w:r w:rsidRPr="00EF2796">
              <w:rPr>
                <w:sz w:val="20"/>
                <w:szCs w:val="20"/>
              </w:rPr>
              <w:t>Energy Safety Research Institute</w:t>
            </w:r>
            <w:r w:rsidR="001F2D93">
              <w:rPr>
                <w:sz w:val="20"/>
                <w:szCs w:val="20"/>
              </w:rPr>
              <w:t xml:space="preserve"> (ESRI)</w:t>
            </w:r>
          </w:p>
        </w:tc>
        <w:tc>
          <w:tcPr>
            <w:tcW w:w="4275" w:type="dxa"/>
          </w:tcPr>
          <w:p w:rsidR="00B84942" w:rsidRPr="00EF2796" w:rsidRDefault="00B84942" w:rsidP="00EF2796">
            <w:pPr>
              <w:pStyle w:val="Belmana4normal"/>
              <w:spacing w:after="60"/>
              <w:rPr>
                <w:sz w:val="20"/>
                <w:szCs w:val="20"/>
              </w:rPr>
            </w:pPr>
            <w:r w:rsidRPr="00EF2796">
              <w:rPr>
                <w:sz w:val="20"/>
                <w:szCs w:val="20"/>
              </w:rPr>
              <w:t>ESRI has initiated a new research collaboration with University of South Wales and Cardiff University (FLEXIS)</w:t>
            </w:r>
          </w:p>
        </w:tc>
      </w:tr>
      <w:tr w:rsidR="00B84942" w:rsidRPr="00EF2796">
        <w:trPr>
          <w:gridAfter w:val="1"/>
          <w:wAfter w:w="278" w:type="dxa"/>
          <w:trHeight w:val="2132"/>
        </w:trPr>
        <w:tc>
          <w:tcPr>
            <w:tcW w:w="2268" w:type="dxa"/>
          </w:tcPr>
          <w:p w:rsidR="00B84942" w:rsidRPr="00EF2796" w:rsidRDefault="00B84942" w:rsidP="00EF2796">
            <w:pPr>
              <w:pStyle w:val="Belmana4normal"/>
              <w:spacing w:after="60"/>
              <w:jc w:val="left"/>
              <w:rPr>
                <w:sz w:val="20"/>
                <w:szCs w:val="20"/>
              </w:rPr>
            </w:pPr>
            <w:r w:rsidRPr="00EF2796">
              <w:rPr>
                <w:sz w:val="20"/>
                <w:szCs w:val="20"/>
              </w:rPr>
              <w:t>University of Dundee</w:t>
            </w:r>
          </w:p>
        </w:tc>
        <w:tc>
          <w:tcPr>
            <w:tcW w:w="2529" w:type="dxa"/>
          </w:tcPr>
          <w:p w:rsidR="00B84942" w:rsidRPr="00EF2796" w:rsidRDefault="00B84942" w:rsidP="00EF2796">
            <w:pPr>
              <w:pStyle w:val="Belmana4normal"/>
              <w:spacing w:after="60"/>
              <w:jc w:val="left"/>
              <w:rPr>
                <w:sz w:val="20"/>
                <w:szCs w:val="20"/>
              </w:rPr>
            </w:pPr>
            <w:r w:rsidRPr="00EF2796">
              <w:rPr>
                <w:sz w:val="20"/>
                <w:szCs w:val="20"/>
              </w:rPr>
              <w:t>Centre for Translational and Interdisciplinary Research</w:t>
            </w:r>
          </w:p>
        </w:tc>
        <w:tc>
          <w:tcPr>
            <w:tcW w:w="4275" w:type="dxa"/>
          </w:tcPr>
          <w:p w:rsidR="00B84942" w:rsidRPr="00EF2796" w:rsidRDefault="001F2D93" w:rsidP="00EF2796">
            <w:pPr>
              <w:pStyle w:val="Belmana4normal"/>
              <w:spacing w:after="60"/>
              <w:jc w:val="left"/>
              <w:rPr>
                <w:sz w:val="20"/>
                <w:szCs w:val="20"/>
              </w:rPr>
            </w:pPr>
            <w:r>
              <w:rPr>
                <w:sz w:val="20"/>
                <w:szCs w:val="20"/>
              </w:rPr>
              <w:t>Four</w:t>
            </w:r>
            <w:r w:rsidR="00B84942" w:rsidRPr="00EF2796">
              <w:rPr>
                <w:sz w:val="20"/>
                <w:szCs w:val="20"/>
              </w:rPr>
              <w:t xml:space="preserve"> new strategic partnerships with HEIs (University of Aberdeen, University of St Andrews, University of Glasgow and University of Edinburgh)</w:t>
            </w:r>
          </w:p>
          <w:p w:rsidR="00674BC0" w:rsidRDefault="001F2D93" w:rsidP="00CA5BC4">
            <w:pPr>
              <w:pStyle w:val="Belmana4normal"/>
              <w:spacing w:after="60"/>
              <w:jc w:val="left"/>
              <w:rPr>
                <w:sz w:val="20"/>
                <w:szCs w:val="20"/>
              </w:rPr>
            </w:pPr>
            <w:r>
              <w:rPr>
                <w:sz w:val="20"/>
                <w:szCs w:val="20"/>
              </w:rPr>
              <w:t>Three</w:t>
            </w:r>
            <w:r w:rsidR="00B84942" w:rsidRPr="00EF2796">
              <w:rPr>
                <w:sz w:val="20"/>
                <w:szCs w:val="20"/>
              </w:rPr>
              <w:t xml:space="preserve"> new strategic partnerships with </w:t>
            </w:r>
            <w:r>
              <w:rPr>
                <w:sz w:val="20"/>
                <w:szCs w:val="20"/>
              </w:rPr>
              <w:t xml:space="preserve">overseas </w:t>
            </w:r>
            <w:r w:rsidR="00B84942" w:rsidRPr="00EF2796">
              <w:rPr>
                <w:sz w:val="20"/>
                <w:szCs w:val="20"/>
              </w:rPr>
              <w:t>HEI</w:t>
            </w:r>
            <w:r>
              <w:rPr>
                <w:sz w:val="20"/>
                <w:szCs w:val="20"/>
              </w:rPr>
              <w:t>s</w:t>
            </w:r>
            <w:r w:rsidR="00B84942" w:rsidRPr="00EF2796">
              <w:rPr>
                <w:sz w:val="20"/>
                <w:szCs w:val="20"/>
              </w:rPr>
              <w:t xml:space="preserve"> (Boehringer Ingleheim Venture Fund (BIVF), Ascenion and the University of Tübingen)</w:t>
            </w:r>
          </w:p>
        </w:tc>
      </w:tr>
      <w:tr w:rsidR="00B84942" w:rsidRPr="00EF2796">
        <w:trPr>
          <w:gridAfter w:val="1"/>
          <w:wAfter w:w="278" w:type="dxa"/>
          <w:trHeight w:val="397"/>
        </w:trPr>
        <w:tc>
          <w:tcPr>
            <w:tcW w:w="2268" w:type="dxa"/>
          </w:tcPr>
          <w:p w:rsidR="00B84942" w:rsidRPr="00EF2796" w:rsidRDefault="00B84942" w:rsidP="00EF2796">
            <w:pPr>
              <w:pStyle w:val="Belmana4normal"/>
              <w:spacing w:after="60"/>
              <w:jc w:val="left"/>
              <w:rPr>
                <w:sz w:val="20"/>
                <w:szCs w:val="20"/>
              </w:rPr>
            </w:pPr>
            <w:r w:rsidRPr="00EF2796">
              <w:rPr>
                <w:sz w:val="20"/>
                <w:szCs w:val="20"/>
              </w:rPr>
              <w:t>Brunel University</w:t>
            </w:r>
          </w:p>
        </w:tc>
        <w:tc>
          <w:tcPr>
            <w:tcW w:w="2529" w:type="dxa"/>
          </w:tcPr>
          <w:p w:rsidR="00B84942" w:rsidRPr="00EF2796" w:rsidRDefault="00B84942" w:rsidP="00EF2796">
            <w:pPr>
              <w:pStyle w:val="Belmana4normal"/>
              <w:spacing w:after="60"/>
              <w:jc w:val="left"/>
              <w:rPr>
                <w:sz w:val="20"/>
                <w:szCs w:val="20"/>
              </w:rPr>
            </w:pPr>
            <w:r w:rsidRPr="00EF2796">
              <w:rPr>
                <w:sz w:val="20"/>
                <w:szCs w:val="20"/>
              </w:rPr>
              <w:t>National Structural Integrity Research Centre</w:t>
            </w:r>
          </w:p>
        </w:tc>
        <w:tc>
          <w:tcPr>
            <w:tcW w:w="4275" w:type="dxa"/>
          </w:tcPr>
          <w:p w:rsidR="00B84942" w:rsidRPr="00EF2796" w:rsidRDefault="00B84942" w:rsidP="00EF2796">
            <w:pPr>
              <w:pStyle w:val="Belmana4normal"/>
              <w:spacing w:after="60"/>
              <w:rPr>
                <w:sz w:val="20"/>
                <w:szCs w:val="20"/>
              </w:rPr>
            </w:pPr>
            <w:r w:rsidRPr="00EF2796">
              <w:rPr>
                <w:sz w:val="20"/>
                <w:szCs w:val="20"/>
              </w:rPr>
              <w:t xml:space="preserve">Network of 23 </w:t>
            </w:r>
            <w:r w:rsidR="001F2D93">
              <w:rPr>
                <w:sz w:val="20"/>
                <w:szCs w:val="20"/>
              </w:rPr>
              <w:t xml:space="preserve">HEIs </w:t>
            </w:r>
            <w:r w:rsidRPr="00EF2796">
              <w:rPr>
                <w:sz w:val="20"/>
                <w:szCs w:val="20"/>
              </w:rPr>
              <w:t>including international collaborations with</w:t>
            </w:r>
            <w:r w:rsidR="001F2D93">
              <w:rPr>
                <w:sz w:val="20"/>
                <w:szCs w:val="20"/>
              </w:rPr>
              <w:t>:</w:t>
            </w:r>
            <w:r w:rsidRPr="00EF2796">
              <w:rPr>
                <w:sz w:val="20"/>
                <w:szCs w:val="20"/>
              </w:rPr>
              <w:t xml:space="preserve"> </w:t>
            </w:r>
          </w:p>
          <w:p w:rsidR="00B84942" w:rsidRPr="00EF2796" w:rsidRDefault="00B84942" w:rsidP="00EF2796">
            <w:pPr>
              <w:pStyle w:val="Belmana4normal"/>
              <w:spacing w:after="60"/>
              <w:rPr>
                <w:sz w:val="20"/>
                <w:szCs w:val="20"/>
              </w:rPr>
            </w:pPr>
            <w:r w:rsidRPr="00EF2796">
              <w:rPr>
                <w:sz w:val="20"/>
                <w:szCs w:val="20"/>
              </w:rPr>
              <w:t xml:space="preserve">• Tianjin University, China, </w:t>
            </w:r>
          </w:p>
          <w:p w:rsidR="00B84942" w:rsidRPr="00EF2796" w:rsidRDefault="00B84942" w:rsidP="00EF2796">
            <w:pPr>
              <w:pStyle w:val="Belmana4normal"/>
              <w:spacing w:after="60"/>
              <w:rPr>
                <w:sz w:val="20"/>
                <w:szCs w:val="20"/>
              </w:rPr>
            </w:pPr>
            <w:r w:rsidRPr="00EF2796">
              <w:rPr>
                <w:sz w:val="20"/>
                <w:szCs w:val="20"/>
              </w:rPr>
              <w:t xml:space="preserve">• Universiti Teknologi Malaysia, </w:t>
            </w:r>
          </w:p>
          <w:p w:rsidR="00B84942" w:rsidRPr="00EF2796" w:rsidRDefault="00B84942" w:rsidP="00EF2796">
            <w:pPr>
              <w:pStyle w:val="Belmana4normal"/>
              <w:spacing w:after="60"/>
              <w:rPr>
                <w:sz w:val="20"/>
                <w:szCs w:val="20"/>
              </w:rPr>
            </w:pPr>
            <w:r w:rsidRPr="00EF2796">
              <w:rPr>
                <w:sz w:val="20"/>
                <w:szCs w:val="20"/>
              </w:rPr>
              <w:t>• Universiti Kuala Lumpur, Malaysia</w:t>
            </w:r>
          </w:p>
          <w:p w:rsidR="00B84942" w:rsidRPr="00EF2796" w:rsidRDefault="00B84942" w:rsidP="00EF2796">
            <w:pPr>
              <w:pStyle w:val="Belmana4normal"/>
              <w:spacing w:after="60"/>
              <w:rPr>
                <w:sz w:val="20"/>
                <w:szCs w:val="20"/>
              </w:rPr>
            </w:pPr>
            <w:r w:rsidRPr="00EF2796">
              <w:rPr>
                <w:sz w:val="20"/>
                <w:szCs w:val="20"/>
              </w:rPr>
              <w:t xml:space="preserve">• Kaunas University of Technology, Lithuania  </w:t>
            </w:r>
          </w:p>
          <w:p w:rsidR="00B84942" w:rsidRPr="00EF2796" w:rsidRDefault="00B84942" w:rsidP="00EF2796">
            <w:pPr>
              <w:pStyle w:val="Belmana4normal"/>
              <w:spacing w:after="60"/>
              <w:rPr>
                <w:sz w:val="20"/>
                <w:szCs w:val="20"/>
              </w:rPr>
            </w:pPr>
            <w:r w:rsidRPr="00EF2796">
              <w:rPr>
                <w:sz w:val="20"/>
                <w:szCs w:val="20"/>
              </w:rPr>
              <w:t>• Pusan National University, Korea</w:t>
            </w:r>
          </w:p>
          <w:p w:rsidR="00B84942" w:rsidRPr="00EF2796" w:rsidRDefault="00B84942" w:rsidP="00EF2796">
            <w:pPr>
              <w:pStyle w:val="Belmana4normal"/>
              <w:spacing w:after="60"/>
              <w:jc w:val="left"/>
              <w:rPr>
                <w:sz w:val="20"/>
                <w:szCs w:val="20"/>
              </w:rPr>
            </w:pPr>
          </w:p>
        </w:tc>
      </w:tr>
      <w:tr w:rsidR="00B84942" w:rsidRPr="00EF2796">
        <w:trPr>
          <w:gridAfter w:val="1"/>
          <w:wAfter w:w="278" w:type="dxa"/>
          <w:trHeight w:val="397"/>
        </w:trPr>
        <w:tc>
          <w:tcPr>
            <w:tcW w:w="2268" w:type="dxa"/>
            <w:tcBorders>
              <w:bottom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University of Strathclyde</w:t>
            </w:r>
          </w:p>
        </w:tc>
        <w:tc>
          <w:tcPr>
            <w:tcW w:w="2529" w:type="dxa"/>
            <w:tcBorders>
              <w:bottom w:val="single" w:sz="4" w:space="0" w:color="993365"/>
            </w:tcBorders>
          </w:tcPr>
          <w:p w:rsidR="00B84942" w:rsidRPr="00EF2796" w:rsidRDefault="00B84942" w:rsidP="00EF2796">
            <w:pPr>
              <w:pStyle w:val="Belmana4normal"/>
              <w:spacing w:after="60"/>
              <w:jc w:val="left"/>
              <w:rPr>
                <w:sz w:val="20"/>
                <w:szCs w:val="20"/>
              </w:rPr>
            </w:pPr>
            <w:r w:rsidRPr="00EF2796">
              <w:rPr>
                <w:sz w:val="20"/>
                <w:szCs w:val="20"/>
              </w:rPr>
              <w:t xml:space="preserve">Continuous Manufacturing and Crystallisation Research for Pharmaceutical Products. </w:t>
            </w:r>
          </w:p>
        </w:tc>
        <w:tc>
          <w:tcPr>
            <w:tcW w:w="4275" w:type="dxa"/>
            <w:tcBorders>
              <w:bottom w:val="single" w:sz="4" w:space="0" w:color="993365"/>
            </w:tcBorders>
          </w:tcPr>
          <w:p w:rsidR="00674BC0" w:rsidRDefault="001F2D93" w:rsidP="00CA5BC4">
            <w:pPr>
              <w:pStyle w:val="Belmana4normal"/>
              <w:spacing w:after="60"/>
              <w:jc w:val="left"/>
              <w:rPr>
                <w:sz w:val="20"/>
                <w:szCs w:val="20"/>
              </w:rPr>
            </w:pPr>
            <w:r>
              <w:rPr>
                <w:sz w:val="20"/>
                <w:szCs w:val="20"/>
              </w:rPr>
              <w:t>Eleven</w:t>
            </w:r>
            <w:r w:rsidRPr="00EF2796">
              <w:rPr>
                <w:sz w:val="20"/>
                <w:szCs w:val="20"/>
              </w:rPr>
              <w:t xml:space="preserve"> </w:t>
            </w:r>
            <w:r w:rsidR="00B84942" w:rsidRPr="00EF2796">
              <w:rPr>
                <w:sz w:val="20"/>
                <w:szCs w:val="20"/>
              </w:rPr>
              <w:t xml:space="preserve">new academic collaborations. </w:t>
            </w:r>
            <w:r>
              <w:rPr>
                <w:sz w:val="20"/>
                <w:szCs w:val="20"/>
              </w:rPr>
              <w:t>Five</w:t>
            </w:r>
            <w:r w:rsidR="00DD068C">
              <w:rPr>
                <w:sz w:val="20"/>
                <w:szCs w:val="20"/>
              </w:rPr>
              <w:t xml:space="preserve"> </w:t>
            </w:r>
            <w:r w:rsidR="00B84942" w:rsidRPr="00EF2796">
              <w:rPr>
                <w:sz w:val="20"/>
                <w:szCs w:val="20"/>
              </w:rPr>
              <w:t>international collaborations</w:t>
            </w:r>
          </w:p>
        </w:tc>
      </w:tr>
    </w:tbl>
    <w:p w:rsidR="00B84942" w:rsidRPr="008C2E15" w:rsidRDefault="00B84942" w:rsidP="00B84942">
      <w:pPr>
        <w:pStyle w:val="Belmana4normal"/>
        <w:rPr>
          <w:sz w:val="16"/>
        </w:rPr>
      </w:pPr>
      <w:r w:rsidRPr="008C2E15">
        <w:rPr>
          <w:sz w:val="16"/>
        </w:rPr>
        <w:t>Source: Project Completion Reports</w:t>
      </w:r>
    </w:p>
    <w:p w:rsidR="00B84942" w:rsidRPr="008C2E15" w:rsidRDefault="00B84942" w:rsidP="00B84942">
      <w:pPr>
        <w:pStyle w:val="Belmana2"/>
        <w:rPr>
          <w:lang w:eastAsia="en-GB"/>
        </w:rPr>
      </w:pPr>
      <w:bookmarkStart w:id="78" w:name="_Toc499548029"/>
      <w:bookmarkStart w:id="79" w:name="_Toc514831664"/>
      <w:r w:rsidRPr="008C2E15">
        <w:rPr>
          <w:lang w:eastAsia="en-GB"/>
        </w:rPr>
        <w:t>Impact on collaboration with industry</w:t>
      </w:r>
      <w:bookmarkEnd w:id="78"/>
      <w:bookmarkEnd w:id="79"/>
    </w:p>
    <w:p w:rsidR="00CE63C8" w:rsidRDefault="00B84942" w:rsidP="0036520A">
      <w:pPr>
        <w:pStyle w:val="Belmananormal"/>
      </w:pPr>
      <w:r>
        <w:t>The altered operating models and provision of facilities that encourage and facilitate collaboration has fostered networks and brought in industrial engagement in various forms. This resonates with current trends that are increasingly seeing innovation as being driven by knowledge and resources outside the firm, rather than being generated from within (NCUB, 2012).</w:t>
      </w:r>
    </w:p>
    <w:p w:rsidR="00D33422" w:rsidRDefault="005737F9" w:rsidP="0036520A">
      <w:pPr>
        <w:pStyle w:val="Belmananormal"/>
      </w:pPr>
      <w:r>
        <w:t xml:space="preserve">Larger companies, such as Rolls-Royce, </w:t>
      </w:r>
      <w:r w:rsidR="009E7DDD">
        <w:t xml:space="preserve">carry out </w:t>
      </w:r>
      <w:r w:rsidR="00D33422">
        <w:t>r</w:t>
      </w:r>
      <w:r w:rsidR="009E7DDD">
        <w:t xml:space="preserve">esearch </w:t>
      </w:r>
      <w:r>
        <w:t>in-house</w:t>
      </w:r>
      <w:r w:rsidR="009E7DDD">
        <w:t xml:space="preserve">, </w:t>
      </w:r>
      <w:r>
        <w:t xml:space="preserve">but are increasingly relocating these activities into </w:t>
      </w:r>
      <w:r w:rsidR="00CE63C8">
        <w:t>u</w:t>
      </w:r>
      <w:r>
        <w:t>niversities.</w:t>
      </w:r>
      <w:r w:rsidR="00B84942">
        <w:t xml:space="preserve"> Strategies employed t</w:t>
      </w:r>
      <w:r w:rsidR="001841BE">
        <w:t xml:space="preserve">o </w:t>
      </w:r>
      <w:r w:rsidR="00B84942">
        <w:t xml:space="preserve">overcome </w:t>
      </w:r>
      <w:r w:rsidR="001841BE">
        <w:t>barriers</w:t>
      </w:r>
      <w:r w:rsidR="001F2D93">
        <w:t xml:space="preserve"> </w:t>
      </w:r>
      <w:r w:rsidR="00CE63C8">
        <w:t>between corporate researchers and academic collaborators</w:t>
      </w:r>
      <w:r w:rsidR="00B84942">
        <w:t xml:space="preserve"> include employment of research students as interns and secondees, as well as other technology transfer strategies</w:t>
      </w:r>
      <w:r w:rsidR="00CE63C8">
        <w:t>. This brings</w:t>
      </w:r>
      <w:r w:rsidR="00B84942">
        <w:t xml:space="preserve"> innovation out of the laboratory and to the attention of commercial interests.</w:t>
      </w:r>
      <w:r>
        <w:t xml:space="preserve"> </w:t>
      </w:r>
    </w:p>
    <w:p w:rsidR="005737F9" w:rsidRDefault="00643293" w:rsidP="00643293">
      <w:pPr>
        <w:pStyle w:val="Belmananormal"/>
      </w:pPr>
      <w:r>
        <w:rPr>
          <w:noProof/>
          <w:lang w:eastAsia="en-GB"/>
        </w:rPr>
        <mc:AlternateContent>
          <mc:Choice Requires="wps">
            <w:drawing>
              <wp:anchor distT="45720" distB="45720" distL="114300" distR="114300" simplePos="0" relativeHeight="251692032" behindDoc="0" locked="0" layoutInCell="1" allowOverlap="1">
                <wp:simplePos x="0" y="0"/>
                <wp:positionH relativeFrom="margin">
                  <wp:posOffset>-36195</wp:posOffset>
                </wp:positionH>
                <wp:positionV relativeFrom="paragraph">
                  <wp:posOffset>160655</wp:posOffset>
                </wp:positionV>
                <wp:extent cx="5455920" cy="5957570"/>
                <wp:effectExtent l="1905" t="0" r="0" b="0"/>
                <wp:wrapSquare wrapText="bothSides"/>
                <wp:docPr id="1" name="Text Box 9"/>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455920" cy="5957570"/>
                        </a:xfrm>
                        <a:prstGeom prst="rect">
                          <a:avLst/>
                        </a:prstGeom>
                        <a:solidFill>
                          <a:schemeClr val="bg1">
                            <a:lumMod val="95000"/>
                            <a:lumOff val="0"/>
                          </a:schemeClr>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D441C7" w:rsidRPr="008A2587" w:rsidRDefault="00D441C7" w:rsidP="00CA5BC4">
                            <w:pPr>
                              <w:pStyle w:val="Belmana3"/>
                              <w:numPr>
                                <w:ilvl w:val="0"/>
                                <w:numId w:val="0"/>
                              </w:numPr>
                            </w:pPr>
                            <w:bookmarkStart w:id="80" w:name="_Toc514831665"/>
                            <w:r w:rsidRPr="008A2587">
                              <w:t xml:space="preserve">Industry </w:t>
                            </w:r>
                            <w:r>
                              <w:t>e</w:t>
                            </w:r>
                            <w:r w:rsidRPr="008A2587">
                              <w:t>ngagement at the Maxwell Centre, University of Cambridge</w:t>
                            </w:r>
                            <w:bookmarkEnd w:id="80"/>
                          </w:p>
                          <w:p w:rsidR="00D441C7" w:rsidRPr="0034579B" w:rsidRDefault="00D441C7" w:rsidP="00B87621">
                            <w:pPr>
                              <w:pStyle w:val="Belmananormal"/>
                              <w:numPr>
                                <w:ilvl w:val="0"/>
                                <w:numId w:val="0"/>
                              </w:numPr>
                              <w:rPr>
                                <w:sz w:val="22"/>
                              </w:rPr>
                            </w:pPr>
                            <w:r w:rsidRPr="0034579B">
                              <w:rPr>
                                <w:sz w:val="22"/>
                              </w:rPr>
                              <w:t xml:space="preserve">Since it opened April 2016, the Maxwell Centre has hosted a series of events introducing local and national industry stakeholders to the materials research undertaken by the teams making use of the space and equipment on site. The </w:t>
                            </w:r>
                            <w:r>
                              <w:rPr>
                                <w:sz w:val="22"/>
                              </w:rPr>
                              <w:t>c</w:t>
                            </w:r>
                            <w:r w:rsidRPr="0034579B">
                              <w:rPr>
                                <w:sz w:val="22"/>
                              </w:rPr>
                              <w:t xml:space="preserve">entre has posited itself as a ‘facilitator’, providing a platform for collaboration and presenting the University’s work to external actors. </w:t>
                            </w:r>
                          </w:p>
                          <w:p w:rsidR="00D441C7" w:rsidRPr="0034579B" w:rsidRDefault="00D441C7" w:rsidP="00B87621">
                            <w:pPr>
                              <w:pStyle w:val="Belmananormal"/>
                              <w:numPr>
                                <w:ilvl w:val="0"/>
                                <w:numId w:val="0"/>
                              </w:numPr>
                              <w:rPr>
                                <w:sz w:val="22"/>
                              </w:rPr>
                            </w:pPr>
                            <w:r w:rsidRPr="0034579B">
                              <w:rPr>
                                <w:sz w:val="22"/>
                              </w:rPr>
                              <w:t xml:space="preserve">The Centre is plugged in with the Cambridge Network of businesses, and works with the network to organise industrial seminars where researchers present their work, offer workshops for academics and industry representatives, and organise the flagship Annual Research Showcase. The events attract significant interest, and the data services day attracted 80 individuals from 44 different companies. </w:t>
                            </w:r>
                          </w:p>
                          <w:p w:rsidR="00D441C7" w:rsidRPr="0034579B" w:rsidRDefault="00D441C7" w:rsidP="00B87621">
                            <w:pPr>
                              <w:pStyle w:val="Belmananormal"/>
                              <w:numPr>
                                <w:ilvl w:val="0"/>
                                <w:numId w:val="0"/>
                              </w:numPr>
                              <w:rPr>
                                <w:sz w:val="22"/>
                              </w:rPr>
                            </w:pPr>
                            <w:r w:rsidRPr="0034579B">
                              <w:rPr>
                                <w:sz w:val="22"/>
                              </w:rPr>
                              <w:t>The premises host a comprehensive infrastructure and suite of devices that can convert</w:t>
                            </w:r>
                            <w:r>
                              <w:rPr>
                                <w:sz w:val="22"/>
                              </w:rPr>
                              <w:t xml:space="preserve"> early research to</w:t>
                            </w:r>
                            <w:r w:rsidRPr="0034579B">
                              <w:rPr>
                                <w:sz w:val="22"/>
                              </w:rPr>
                              <w:t xml:space="preserve"> products</w:t>
                            </w:r>
                            <w:r>
                              <w:rPr>
                                <w:sz w:val="22"/>
                              </w:rPr>
                              <w:t xml:space="preserve"> that can be manufactured</w:t>
                            </w:r>
                            <w:r w:rsidRPr="0034579B">
                              <w:rPr>
                                <w:sz w:val="22"/>
                              </w:rPr>
                              <w:t>, and function as a first port of call for external actors. Current collaborations include Jaguar Land</w:t>
                            </w:r>
                            <w:r>
                              <w:rPr>
                                <w:sz w:val="22"/>
                              </w:rPr>
                              <w:t xml:space="preserve"> R</w:t>
                            </w:r>
                            <w:r w:rsidRPr="0034579B">
                              <w:rPr>
                                <w:sz w:val="22"/>
                              </w:rPr>
                              <w:t xml:space="preserve">over, BAE Systems, and ARM as well as smaller tech SMEs. </w:t>
                            </w:r>
                          </w:p>
                          <w:p w:rsidR="00D441C7" w:rsidRDefault="00D441C7" w:rsidP="00B87621">
                            <w:pPr>
                              <w:pStyle w:val="Belmananormal"/>
                              <w:numPr>
                                <w:ilvl w:val="0"/>
                                <w:numId w:val="0"/>
                              </w:numPr>
                              <w:rPr>
                                <w:sz w:val="22"/>
                              </w:rPr>
                            </w:pPr>
                            <w:r w:rsidRPr="0034579B">
                              <w:rPr>
                                <w:sz w:val="22"/>
                              </w:rPr>
                              <w:t xml:space="preserve">The Centre operates a hot-desking system in conjunction with a scheme that leases out equipment provided through the Royce Institute, co-locating researchers and industry representatives. By 2017 the number of full- and part-time residents of the office space amounted to 27 individuals representing 11 companies. </w:t>
                            </w:r>
                          </w:p>
                          <w:p w:rsidR="00D441C7" w:rsidRPr="0034579B" w:rsidRDefault="00D441C7" w:rsidP="009A2542">
                            <w:pPr>
                              <w:pStyle w:val="Belmananormal"/>
                              <w:numPr>
                                <w:ilvl w:val="0"/>
                                <w:numId w:val="0"/>
                              </w:numPr>
                              <w:jc w:val="center"/>
                              <w:rPr>
                                <w:sz w:val="22"/>
                              </w:rPr>
                            </w:pPr>
                            <w:r>
                              <w:rPr>
                                <w:noProof/>
                                <w:lang w:eastAsia="en-GB"/>
                              </w:rPr>
                              <w:drawing>
                                <wp:inline distT="0" distB="0" distL="0" distR="0">
                                  <wp:extent cx="5283206" cy="1863725"/>
                                  <wp:effectExtent l="0" t="0" r="0" b="3175"/>
                                  <wp:docPr id="16" name="Picture 16">
                                    <a:hlinkClick xmlns:a="http://schemas.openxmlformats.org/drawingml/2006/main" r:id="rId40"/>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40"/>
                                          </pic:cNvPr>
                                          <pic:cNvPicPr/>
                                        </pic:nvPicPr>
                                        <pic:blipFill rotWithShape="1">
                                          <a:blip r:embed="rId41"/>
                                          <a:srcRect t="16659" b="11062"/>
                                          <a:stretch/>
                                        </pic:blipFill>
                                        <pic:spPr bwMode="auto">
                                          <a:xfrm>
                                            <a:off x="0" y="0"/>
                                            <a:ext cx="5293114" cy="1867220"/>
                                          </a:xfrm>
                                          <a:prstGeom prst="rect">
                                            <a:avLst/>
                                          </a:prstGeom>
                                          <a:ln>
                                            <a:noFill/>
                                          </a:ln>
                                          <a:extLst>
                                            <a:ext uri="{53640926-AAD7-44D8-BBD7-CCE9431645EC}">
                                              <a14:shadowObscured xmlns:a14="http://schemas.microsoft.com/office/drawing/2010/main"/>
                                            </a:ext>
                                          </a:extLst>
                                        </pic:spPr>
                                      </pic:pic>
                                    </a:graphicData>
                                  </a:graphic>
                                </wp:inline>
                              </w:drawing>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id="Text Box 9" o:spid="_x0000_s1031" type="#_x0000_t202" style="position:absolute;left:0;text-align:left;margin-left:-2.85pt;margin-top:12.65pt;width:429.6pt;height:469.1pt;z-index:251692032;visibility:visible;mso-wrap-style:square;mso-width-percent:0;mso-height-percent:0;mso-wrap-distance-left:9pt;mso-wrap-distance-top:3.6pt;mso-wrap-distance-right:9pt;mso-wrap-distance-bottom:3.6pt;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" fillcolor="#f2f2f2 [3052]" stroked="f">
                <v:textbox>
                  <w:txbxContent>
                    <w:p w:rsidR="00D441C7" w:rsidRPr="008A2587" w:rsidRDefault="00D441C7" w:rsidP="00CA5BC4">
                      <w:pPr>
                        <w:pStyle w:val="Belmana3"/>
                        <w:numPr>
                          <w:ilvl w:val="0"/>
                          <w:numId w:val="0"/>
                        </w:numPr>
                      </w:pPr>
                      <w:bookmarkStart w:id="84" w:name="_Toc514831665"/>
                      <w:r w:rsidRPr="008A2587">
                        <w:t xml:space="preserve">Industry </w:t>
                      </w:r>
                      <w:r>
                        <w:t>e</w:t>
                      </w:r>
                      <w:r w:rsidRPr="008A2587">
                        <w:t>ngagement at the Maxwell Centre, University of Cambridge</w:t>
                      </w:r>
                      <w:bookmarkEnd w:id="84"/>
                    </w:p>
                    <w:p w:rsidR="00D441C7" w:rsidRPr="0034579B" w:rsidRDefault="00D441C7" w:rsidP="00B87621">
                      <w:pPr>
                        <w:pStyle w:val="Belmananormal"/>
                        <w:numPr>
                          <w:ilvl w:val="0"/>
                          <w:numId w:val="0"/>
                        </w:numPr>
                        <w:rPr>
                          <w:sz w:val="22"/>
                        </w:rPr>
                      </w:pPr>
                      <w:r w:rsidRPr="0034579B">
                        <w:rPr>
                          <w:sz w:val="22"/>
                        </w:rPr>
                        <w:t xml:space="preserve">Since it opened April 2016, the Maxwell Centre has hosted a series of events introducing local and national industry stakeholders to the materials research undertaken by the teams making use of the space and equipment on site. The </w:t>
                      </w:r>
                      <w:r>
                        <w:rPr>
                          <w:sz w:val="22"/>
                        </w:rPr>
                        <w:t>c</w:t>
                      </w:r>
                      <w:r w:rsidRPr="0034579B">
                        <w:rPr>
                          <w:sz w:val="22"/>
                        </w:rPr>
                        <w:t xml:space="preserve">entre has posited itself as a ‘facilitator’, providing a platform for collaboration and presenting the University’s work to external actors. </w:t>
                      </w:r>
                    </w:p>
                    <w:p w:rsidR="00D441C7" w:rsidRPr="0034579B" w:rsidRDefault="00D441C7" w:rsidP="00B87621">
                      <w:pPr>
                        <w:pStyle w:val="Belmananormal"/>
                        <w:numPr>
                          <w:ilvl w:val="0"/>
                          <w:numId w:val="0"/>
                        </w:numPr>
                        <w:rPr>
                          <w:sz w:val="22"/>
                        </w:rPr>
                      </w:pPr>
                      <w:r w:rsidRPr="0034579B">
                        <w:rPr>
                          <w:sz w:val="22"/>
                        </w:rPr>
                        <w:t xml:space="preserve">The Centre is plugged in with the Cambridge Network of businesses, and works with the network to organise industrial seminars where researchers present their work, offer workshops for academics and industry representatives, and organise the flagship Annual Research Showcase. The events attract significant interest, and the data services day attracted 80 individuals from 44 different companies. </w:t>
                      </w:r>
                    </w:p>
                    <w:p w:rsidR="00D441C7" w:rsidRPr="0034579B" w:rsidRDefault="00D441C7" w:rsidP="00B87621">
                      <w:pPr>
                        <w:pStyle w:val="Belmananormal"/>
                        <w:numPr>
                          <w:ilvl w:val="0"/>
                          <w:numId w:val="0"/>
                        </w:numPr>
                        <w:rPr>
                          <w:sz w:val="22"/>
                        </w:rPr>
                      </w:pPr>
                      <w:r w:rsidRPr="0034579B">
                        <w:rPr>
                          <w:sz w:val="22"/>
                        </w:rPr>
                        <w:t>The premises host a comprehensive infrastructure and suite of devices that can convert</w:t>
                      </w:r>
                      <w:r>
                        <w:rPr>
                          <w:sz w:val="22"/>
                        </w:rPr>
                        <w:t xml:space="preserve"> early research to</w:t>
                      </w:r>
                      <w:r w:rsidRPr="0034579B">
                        <w:rPr>
                          <w:sz w:val="22"/>
                        </w:rPr>
                        <w:t xml:space="preserve"> products</w:t>
                      </w:r>
                      <w:r>
                        <w:rPr>
                          <w:sz w:val="22"/>
                        </w:rPr>
                        <w:t xml:space="preserve"> that can be manufactured</w:t>
                      </w:r>
                      <w:r w:rsidRPr="0034579B">
                        <w:rPr>
                          <w:sz w:val="22"/>
                        </w:rPr>
                        <w:t>, and function as a first port of call for external actors. Current collaborations include Jaguar Land</w:t>
                      </w:r>
                      <w:r>
                        <w:rPr>
                          <w:sz w:val="22"/>
                        </w:rPr>
                        <w:t xml:space="preserve"> R</w:t>
                      </w:r>
                      <w:r w:rsidRPr="0034579B">
                        <w:rPr>
                          <w:sz w:val="22"/>
                        </w:rPr>
                        <w:t xml:space="preserve">over, BAE Systems, and ARM as well as smaller tech SMEs. </w:t>
                      </w:r>
                    </w:p>
                    <w:p w:rsidR="00D441C7" w:rsidRDefault="00D441C7" w:rsidP="00B87621">
                      <w:pPr>
                        <w:pStyle w:val="Belmananormal"/>
                        <w:numPr>
                          <w:ilvl w:val="0"/>
                          <w:numId w:val="0"/>
                        </w:numPr>
                        <w:rPr>
                          <w:sz w:val="22"/>
                        </w:rPr>
                      </w:pPr>
                      <w:r w:rsidRPr="0034579B">
                        <w:rPr>
                          <w:sz w:val="22"/>
                        </w:rPr>
                        <w:t xml:space="preserve">The Centre operates a hot-desking system in conjunction with a scheme that leases out equipment provided through the Royce Institute, co-locating researchers and industry representatives. By 2017 the number of full- and part-time residents of the office space amounted to 27 individuals representing 11 companies. </w:t>
                      </w:r>
                    </w:p>
                    <w:p w:rsidR="00D441C7" w:rsidRPr="0034579B" w:rsidRDefault="00D441C7" w:rsidP="009A2542">
                      <w:pPr>
                        <w:pStyle w:val="Belmananormal"/>
                        <w:numPr>
                          <w:ilvl w:val="0"/>
                          <w:numId w:val="0"/>
                        </w:numPr>
                        <w:jc w:val="center"/>
                        <w:rPr>
                          <w:sz w:val="22"/>
                        </w:rPr>
                      </w:pPr>
                      <w:r>
                        <w:rPr>
                          <w:noProof/>
                          <w:lang w:eastAsia="en-GB"/>
                        </w:rPr>
                        <w:drawing>
                          <wp:inline distT="0" distB="0" distL="0" distR="0">
                            <wp:extent cx="5283206" cy="1863725"/>
                            <wp:effectExtent l="0" t="0" r="0" b="3175"/>
                            <wp:docPr id="16" name="Picture 16">
                              <a:hlinkClick xmlns:a="http://schemas.openxmlformats.org/drawingml/2006/main" r:id="rId4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7" name="Picture 27">
                                      <a:hlinkClick r:id="rId42"/>
                                    </pic:cNvPr>
                                    <pic:cNvPicPr/>
                                  </pic:nvPicPr>
                                  <pic:blipFill rotWithShape="1">
                                    <a:blip r:embed="rId43"/>
                                    <a:srcRect t="16659" b="11062"/>
                                    <a:stretch/>
                                  </pic:blipFill>
                                  <pic:spPr bwMode="auto">
                                    <a:xfrm>
                                      <a:off x="0" y="0"/>
                                      <a:ext cx="5293114" cy="1867220"/>
                                    </a:xfrm>
                                    <a:prstGeom prst="rect">
                                      <a:avLst/>
                                    </a:prstGeom>
                                    <a:ln>
                                      <a:noFill/>
                                    </a:ln>
                                    <a:extLst>
                                      <a:ext uri="{53640926-AAD7-44D8-BBD7-CCE9431645EC}">
                                        <a14:shadowObscured xmlns:a14="http://schemas.microsoft.com/office/drawing/2010/main"/>
                                      </a:ext>
                                    </a:extLst>
                                  </pic:spPr>
                                </pic:pic>
                              </a:graphicData>
                            </a:graphic>
                          </wp:inline>
                        </w:drawing>
                      </w:r>
                    </w:p>
                  </w:txbxContent>
                </v:textbox>
                <w10:wrap type="square" anchorx="margin"/>
              </v:shape>
            </w:pict>
          </mc:Fallback>
        </mc:AlternateContent>
      </w:r>
      <w:r>
        <w:t>T</w:t>
      </w:r>
      <w:r w:rsidR="005737F9">
        <w:t>he case stud</w:t>
      </w:r>
      <w:r w:rsidR="001F2D93">
        <w:t>ies</w:t>
      </w:r>
      <w:r w:rsidR="005737F9">
        <w:t xml:space="preserve"> also highlight how integ</w:t>
      </w:r>
      <w:r>
        <w:t xml:space="preserve">rating research into production </w:t>
      </w:r>
      <w:r w:rsidR="005737F9">
        <w:t xml:space="preserve">processes in a timely manner needs the research to be tested in operational settings. HTRC has been able to replicate almost all the equipment of a working plant in the </w:t>
      </w:r>
      <w:r w:rsidR="00E773E3">
        <w:t>c</w:t>
      </w:r>
      <w:r w:rsidR="005737F9">
        <w:t xml:space="preserve">entre, allowing both academic and industry researchers to test ideas as if in a factory. This means researchers can develop their innovations to higher levels of manufacturing readiness without going to a plant, where disrupting operations may be expensive. </w:t>
      </w:r>
    </w:p>
    <w:p w:rsidR="00B84942" w:rsidRPr="008C2E15" w:rsidRDefault="005737F9" w:rsidP="005112C6">
      <w:pPr>
        <w:pStyle w:val="Belmananormal"/>
      </w:pPr>
      <w:r>
        <w:t>This n</w:t>
      </w:r>
      <w:r w:rsidR="00B9177D">
        <w:t>eed for research to be able to test innovations in an operating environment is common across the case studies. For drug discovery, high-value manufacturing and engineering/telecommunications, there is increased automation in the operational settings making it less convenient to test research outputs.</w:t>
      </w:r>
    </w:p>
    <w:tbl>
      <w:tblPr>
        <w:tblStyle w:val="TableGrid"/>
        <w:tblW w:w="935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29"/>
        <w:gridCol w:w="4275"/>
        <w:gridCol w:w="283"/>
      </w:tblGrid>
      <w:tr w:rsidR="00B84942" w:rsidRPr="003E74FB">
        <w:trPr>
          <w:trHeight w:val="146"/>
        </w:trPr>
        <w:tc>
          <w:tcPr>
            <w:tcW w:w="9355" w:type="dxa"/>
            <w:gridSpan w:val="4"/>
            <w:tcBorders>
              <w:bottom w:val="single" w:sz="4" w:space="0" w:color="993365"/>
            </w:tcBorders>
          </w:tcPr>
          <w:p w:rsidR="00B84942" w:rsidRPr="003E74FB" w:rsidRDefault="00B84942" w:rsidP="00FE29DB">
            <w:pPr>
              <w:pStyle w:val="BelmanaTableTitle"/>
              <w:rPr>
                <w:i/>
              </w:rPr>
            </w:pPr>
            <w:bookmarkStart w:id="81" w:name="_Toc499548095"/>
            <w:r w:rsidRPr="003E74FB">
              <w:t>Table</w:t>
            </w:r>
            <w:r w:rsidR="00735EA0">
              <w:rPr>
                <w:i/>
              </w:rPr>
              <w:t xml:space="preserve"> </w:t>
            </w:r>
            <w:r w:rsidR="00620B55">
              <w:t>10</w:t>
            </w:r>
            <w:r w:rsidRPr="003E74FB">
              <w:t xml:space="preserve">: Impact on </w:t>
            </w:r>
            <w:r w:rsidR="00E773E3">
              <w:t>c</w:t>
            </w:r>
            <w:r w:rsidRPr="003E74FB">
              <w:t xml:space="preserve">ollaboration with </w:t>
            </w:r>
            <w:r w:rsidR="00E773E3">
              <w:t>i</w:t>
            </w:r>
            <w:r w:rsidRPr="003E74FB">
              <w:t>ndustry</w:t>
            </w:r>
            <w:bookmarkEnd w:id="81"/>
          </w:p>
        </w:tc>
      </w:tr>
      <w:tr w:rsidR="00B84942" w:rsidRPr="003E74FB">
        <w:trPr>
          <w:gridAfter w:val="1"/>
          <w:wAfter w:w="283" w:type="dxa"/>
          <w:trHeight w:val="397"/>
        </w:trPr>
        <w:tc>
          <w:tcPr>
            <w:tcW w:w="2268" w:type="dxa"/>
            <w:tcBorders>
              <w:top w:val="single" w:sz="4" w:space="0" w:color="993365"/>
              <w:bottom w:val="single" w:sz="4" w:space="0" w:color="993365"/>
              <w:right w:val="single" w:sz="4" w:space="0" w:color="FFFFFF" w:themeColor="background1"/>
            </w:tcBorders>
            <w:shd w:val="clear" w:color="auto" w:fill="993365"/>
          </w:tcPr>
          <w:p w:rsidR="00B84942" w:rsidRPr="003E74FB" w:rsidRDefault="00E773E3" w:rsidP="00506E38">
            <w:pPr>
              <w:pStyle w:val="Belmana4normal"/>
              <w:rPr>
                <w:b/>
                <w:color w:val="FFFFFF" w:themeColor="background1"/>
                <w:sz w:val="20"/>
                <w:szCs w:val="20"/>
              </w:rPr>
            </w:pPr>
            <w:r>
              <w:rPr>
                <w:b/>
                <w:color w:val="FFFFFF" w:themeColor="background1"/>
                <w:sz w:val="20"/>
                <w:szCs w:val="20"/>
              </w:rPr>
              <w:t>HEI</w:t>
            </w:r>
          </w:p>
        </w:tc>
        <w:tc>
          <w:tcPr>
            <w:tcW w:w="2529"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tcPr>
          <w:p w:rsidR="00B84942" w:rsidRPr="003E74FB" w:rsidRDefault="00B84942" w:rsidP="00506E38">
            <w:pPr>
              <w:pStyle w:val="Belmana4normal"/>
              <w:rPr>
                <w:b/>
                <w:color w:val="FFFFFF" w:themeColor="background1"/>
                <w:sz w:val="20"/>
                <w:szCs w:val="20"/>
              </w:rPr>
            </w:pPr>
            <w:r w:rsidRPr="003E74FB">
              <w:rPr>
                <w:b/>
                <w:color w:val="FFFFFF" w:themeColor="background1"/>
                <w:sz w:val="20"/>
                <w:szCs w:val="20"/>
              </w:rPr>
              <w:t>Project</w:t>
            </w:r>
          </w:p>
        </w:tc>
        <w:tc>
          <w:tcPr>
            <w:tcW w:w="4275" w:type="dxa"/>
            <w:tcBorders>
              <w:top w:val="single" w:sz="4" w:space="0" w:color="993365"/>
              <w:left w:val="single" w:sz="4" w:space="0" w:color="FFFFFF" w:themeColor="background1"/>
              <w:bottom w:val="single" w:sz="4" w:space="0" w:color="993365"/>
            </w:tcBorders>
            <w:shd w:val="clear" w:color="auto" w:fill="993365"/>
          </w:tcPr>
          <w:p w:rsidR="00B84942" w:rsidRPr="003E74FB" w:rsidRDefault="00B84942" w:rsidP="00506E38">
            <w:pPr>
              <w:pStyle w:val="Belmana4normal"/>
              <w:rPr>
                <w:b/>
                <w:color w:val="FFFFFF" w:themeColor="background1"/>
                <w:sz w:val="20"/>
                <w:szCs w:val="20"/>
              </w:rPr>
            </w:pPr>
            <w:r w:rsidRPr="003E74FB">
              <w:rPr>
                <w:b/>
                <w:color w:val="FFFFFF" w:themeColor="background1"/>
                <w:sz w:val="20"/>
                <w:szCs w:val="20"/>
              </w:rPr>
              <w:t>Output</w:t>
            </w:r>
          </w:p>
        </w:tc>
      </w:tr>
      <w:tr w:rsidR="00B84942" w:rsidRPr="003E74FB">
        <w:trPr>
          <w:gridAfter w:val="1"/>
          <w:wAfter w:w="283" w:type="dxa"/>
          <w:trHeight w:val="546"/>
        </w:trPr>
        <w:tc>
          <w:tcPr>
            <w:tcW w:w="2268" w:type="dxa"/>
            <w:tcBorders>
              <w:top w:val="single" w:sz="4" w:space="0" w:color="993365"/>
            </w:tcBorders>
          </w:tcPr>
          <w:p w:rsidR="00B84942" w:rsidRPr="007B5FBA" w:rsidRDefault="00B84942" w:rsidP="00506E38">
            <w:pPr>
              <w:pStyle w:val="Belmana4normal"/>
              <w:jc w:val="left"/>
              <w:rPr>
                <w:sz w:val="20"/>
                <w:szCs w:val="20"/>
              </w:rPr>
            </w:pPr>
            <w:r w:rsidRPr="007B5FBA">
              <w:rPr>
                <w:sz w:val="20"/>
                <w:szCs w:val="20"/>
              </w:rPr>
              <w:t>University of Manchester</w:t>
            </w:r>
          </w:p>
        </w:tc>
        <w:tc>
          <w:tcPr>
            <w:tcW w:w="2529" w:type="dxa"/>
            <w:tcBorders>
              <w:top w:val="single" w:sz="4" w:space="0" w:color="993365"/>
            </w:tcBorders>
          </w:tcPr>
          <w:p w:rsidR="00B84942" w:rsidRPr="007B5FBA" w:rsidRDefault="00B84942" w:rsidP="00506E38">
            <w:pPr>
              <w:pStyle w:val="Belmana4normal"/>
              <w:jc w:val="left"/>
              <w:rPr>
                <w:sz w:val="20"/>
                <w:szCs w:val="20"/>
              </w:rPr>
            </w:pPr>
            <w:r w:rsidRPr="007B5FBA">
              <w:rPr>
                <w:sz w:val="20"/>
                <w:szCs w:val="20"/>
              </w:rPr>
              <w:t>Multidisciplinary Characterisation Facility</w:t>
            </w:r>
          </w:p>
        </w:tc>
        <w:tc>
          <w:tcPr>
            <w:tcW w:w="4275" w:type="dxa"/>
            <w:tcBorders>
              <w:top w:val="single" w:sz="4" w:space="0" w:color="993365"/>
            </w:tcBorders>
          </w:tcPr>
          <w:p w:rsidR="00B84942" w:rsidRPr="007B5FBA" w:rsidRDefault="00E773E3" w:rsidP="00506E38">
            <w:pPr>
              <w:pStyle w:val="Belmana4normal"/>
              <w:jc w:val="left"/>
              <w:rPr>
                <w:sz w:val="20"/>
                <w:szCs w:val="20"/>
              </w:rPr>
            </w:pPr>
            <w:r>
              <w:rPr>
                <w:sz w:val="20"/>
                <w:szCs w:val="20"/>
              </w:rPr>
              <w:t>Three</w:t>
            </w:r>
            <w:r w:rsidR="00B84942" w:rsidRPr="007B5FBA">
              <w:rPr>
                <w:sz w:val="20"/>
                <w:szCs w:val="20"/>
              </w:rPr>
              <w:t xml:space="preserve"> partnerships with BP</w:t>
            </w:r>
          </w:p>
        </w:tc>
      </w:tr>
      <w:tr w:rsidR="00B84942" w:rsidRPr="003E74FB">
        <w:trPr>
          <w:gridAfter w:val="1"/>
          <w:wAfter w:w="283" w:type="dxa"/>
          <w:trHeight w:val="2194"/>
        </w:trPr>
        <w:tc>
          <w:tcPr>
            <w:tcW w:w="2268" w:type="dxa"/>
          </w:tcPr>
          <w:p w:rsidR="00B84942" w:rsidRPr="007B5FBA" w:rsidRDefault="00B84942" w:rsidP="00506E38">
            <w:pPr>
              <w:pStyle w:val="Belmana4normal"/>
              <w:jc w:val="left"/>
              <w:rPr>
                <w:sz w:val="20"/>
                <w:szCs w:val="20"/>
              </w:rPr>
            </w:pPr>
            <w:r w:rsidRPr="007B5FBA">
              <w:rPr>
                <w:sz w:val="20"/>
                <w:szCs w:val="20"/>
              </w:rPr>
              <w:t>University of Surrey</w:t>
            </w:r>
          </w:p>
        </w:tc>
        <w:tc>
          <w:tcPr>
            <w:tcW w:w="2529" w:type="dxa"/>
          </w:tcPr>
          <w:p w:rsidR="00B84942" w:rsidRPr="007B5FBA" w:rsidRDefault="00B84942" w:rsidP="00506E38">
            <w:pPr>
              <w:pStyle w:val="Belmana4normal"/>
              <w:jc w:val="left"/>
              <w:rPr>
                <w:sz w:val="20"/>
                <w:szCs w:val="20"/>
              </w:rPr>
            </w:pPr>
            <w:r w:rsidRPr="007B5FBA">
              <w:rPr>
                <w:sz w:val="20"/>
                <w:szCs w:val="20"/>
              </w:rPr>
              <w:t>5G Innovation Centre</w:t>
            </w:r>
          </w:p>
        </w:tc>
        <w:tc>
          <w:tcPr>
            <w:tcW w:w="4275" w:type="dxa"/>
          </w:tcPr>
          <w:p w:rsidR="00B84942" w:rsidRPr="007B5FBA" w:rsidRDefault="00B84942" w:rsidP="00506E38">
            <w:pPr>
              <w:pStyle w:val="Belmana4normal"/>
              <w:rPr>
                <w:sz w:val="20"/>
                <w:szCs w:val="20"/>
              </w:rPr>
            </w:pPr>
            <w:r w:rsidRPr="007B5FBA">
              <w:rPr>
                <w:sz w:val="20"/>
                <w:szCs w:val="20"/>
              </w:rPr>
              <w:t xml:space="preserve">Company membership of centre increased to 58 within two years. New partnerships with non-telecoms companies (McLaren, NPL, </w:t>
            </w:r>
            <w:proofErr w:type="gramStart"/>
            <w:r w:rsidRPr="007B5FBA">
              <w:rPr>
                <w:sz w:val="20"/>
                <w:szCs w:val="20"/>
              </w:rPr>
              <w:t>Ordinance</w:t>
            </w:r>
            <w:proofErr w:type="gramEnd"/>
            <w:r w:rsidRPr="007B5FBA">
              <w:rPr>
                <w:sz w:val="20"/>
                <w:szCs w:val="20"/>
              </w:rPr>
              <w:t xml:space="preserve"> Survey). Collaborate with Digital Catapult, </w:t>
            </w:r>
            <w:r w:rsidR="00E773E3">
              <w:rPr>
                <w:sz w:val="20"/>
                <w:szCs w:val="20"/>
              </w:rPr>
              <w:t xml:space="preserve">which </w:t>
            </w:r>
            <w:r w:rsidRPr="007B5FBA">
              <w:rPr>
                <w:sz w:val="20"/>
                <w:szCs w:val="20"/>
              </w:rPr>
              <w:t>seconded full-time employee to 5GIC</w:t>
            </w:r>
            <w:r w:rsidR="00E773E3">
              <w:rPr>
                <w:sz w:val="20"/>
                <w:szCs w:val="20"/>
              </w:rPr>
              <w:t>.</w:t>
            </w:r>
            <w:r w:rsidRPr="007B5FBA">
              <w:rPr>
                <w:sz w:val="20"/>
                <w:szCs w:val="20"/>
              </w:rPr>
              <w:t xml:space="preserve"> Membership scheme operates on different tiers: £145 for SMEs, up to £60,000 p.a. for "platinum" members, free for academics by invitation</w:t>
            </w:r>
          </w:p>
        </w:tc>
      </w:tr>
      <w:tr w:rsidR="00B84942" w:rsidRPr="003E74FB">
        <w:trPr>
          <w:gridAfter w:val="1"/>
          <w:wAfter w:w="283" w:type="dxa"/>
          <w:trHeight w:val="1333"/>
        </w:trPr>
        <w:tc>
          <w:tcPr>
            <w:tcW w:w="2268" w:type="dxa"/>
          </w:tcPr>
          <w:p w:rsidR="00B84942" w:rsidRPr="007B5FBA" w:rsidRDefault="00B84942" w:rsidP="00506E38">
            <w:pPr>
              <w:pStyle w:val="Belmana4normal"/>
              <w:jc w:val="left"/>
              <w:rPr>
                <w:sz w:val="20"/>
                <w:szCs w:val="20"/>
              </w:rPr>
            </w:pPr>
            <w:r w:rsidRPr="007B5FBA">
              <w:rPr>
                <w:sz w:val="20"/>
                <w:szCs w:val="20"/>
              </w:rPr>
              <w:t>University of Birmingham</w:t>
            </w:r>
          </w:p>
        </w:tc>
        <w:tc>
          <w:tcPr>
            <w:tcW w:w="2529" w:type="dxa"/>
          </w:tcPr>
          <w:p w:rsidR="00B84942" w:rsidRPr="007B5FBA" w:rsidRDefault="00B84942" w:rsidP="00506E38">
            <w:pPr>
              <w:pStyle w:val="Belmana4normal"/>
              <w:jc w:val="left"/>
              <w:rPr>
                <w:sz w:val="20"/>
                <w:szCs w:val="20"/>
              </w:rPr>
            </w:pPr>
            <w:r w:rsidRPr="007B5FBA">
              <w:rPr>
                <w:sz w:val="20"/>
                <w:szCs w:val="20"/>
              </w:rPr>
              <w:t>High Temperature Research Centre</w:t>
            </w:r>
          </w:p>
        </w:tc>
        <w:tc>
          <w:tcPr>
            <w:tcW w:w="4275" w:type="dxa"/>
          </w:tcPr>
          <w:p w:rsidR="00674BC0" w:rsidRDefault="00B84942" w:rsidP="00CA5BC4">
            <w:pPr>
              <w:pStyle w:val="Belmana4normal"/>
              <w:jc w:val="left"/>
              <w:rPr>
                <w:sz w:val="20"/>
                <w:szCs w:val="20"/>
              </w:rPr>
            </w:pPr>
            <w:r w:rsidRPr="007B5FBA">
              <w:rPr>
                <w:sz w:val="20"/>
                <w:szCs w:val="20"/>
              </w:rPr>
              <w:t>Secured Rolls-Royce investment of initially c</w:t>
            </w:r>
            <w:proofErr w:type="gramStart"/>
            <w:r w:rsidRPr="007B5FBA">
              <w:rPr>
                <w:sz w:val="20"/>
                <w:szCs w:val="20"/>
              </w:rPr>
              <w:t>.£</w:t>
            </w:r>
            <w:proofErr w:type="gramEnd"/>
            <w:r w:rsidRPr="007B5FBA">
              <w:rPr>
                <w:sz w:val="20"/>
                <w:szCs w:val="20"/>
              </w:rPr>
              <w:t xml:space="preserve">15M over 5 years into UK R&amp;D in investment casting and development to be undertaken in the new </w:t>
            </w:r>
            <w:r w:rsidR="00E773E3">
              <w:rPr>
                <w:sz w:val="20"/>
                <w:szCs w:val="20"/>
              </w:rPr>
              <w:t>i</w:t>
            </w:r>
            <w:r w:rsidRPr="007B5FBA">
              <w:rPr>
                <w:sz w:val="20"/>
                <w:szCs w:val="20"/>
              </w:rPr>
              <w:t xml:space="preserve">nstitute. </w:t>
            </w:r>
            <w:r w:rsidR="00E773E3">
              <w:rPr>
                <w:sz w:val="20"/>
                <w:szCs w:val="20"/>
              </w:rPr>
              <w:t>A</w:t>
            </w:r>
            <w:r w:rsidRPr="007B5FBA">
              <w:rPr>
                <w:sz w:val="20"/>
                <w:szCs w:val="20"/>
              </w:rPr>
              <w:t>lready extended by £6M and 2 years</w:t>
            </w:r>
          </w:p>
        </w:tc>
      </w:tr>
      <w:tr w:rsidR="00B84942" w:rsidRPr="003E74FB">
        <w:trPr>
          <w:gridAfter w:val="1"/>
          <w:wAfter w:w="283" w:type="dxa"/>
          <w:trHeight w:val="714"/>
        </w:trPr>
        <w:tc>
          <w:tcPr>
            <w:tcW w:w="2268" w:type="dxa"/>
          </w:tcPr>
          <w:p w:rsidR="00B84942" w:rsidRPr="007B5FBA" w:rsidRDefault="00B84942" w:rsidP="00506E38">
            <w:pPr>
              <w:pStyle w:val="Belmana4normal"/>
              <w:jc w:val="left"/>
              <w:rPr>
                <w:sz w:val="20"/>
                <w:szCs w:val="20"/>
              </w:rPr>
            </w:pPr>
            <w:r w:rsidRPr="007B5FBA">
              <w:rPr>
                <w:sz w:val="20"/>
                <w:szCs w:val="20"/>
              </w:rPr>
              <w:t>University of Cambridge</w:t>
            </w:r>
          </w:p>
        </w:tc>
        <w:tc>
          <w:tcPr>
            <w:tcW w:w="2529" w:type="dxa"/>
          </w:tcPr>
          <w:p w:rsidR="00B84942" w:rsidRPr="007B5FBA" w:rsidRDefault="00B84942" w:rsidP="00506E38">
            <w:pPr>
              <w:pStyle w:val="Belmana4normal"/>
              <w:jc w:val="left"/>
              <w:rPr>
                <w:sz w:val="20"/>
                <w:szCs w:val="20"/>
              </w:rPr>
            </w:pPr>
            <w:r w:rsidRPr="007B5FBA">
              <w:rPr>
                <w:sz w:val="20"/>
                <w:szCs w:val="20"/>
              </w:rPr>
              <w:t>Maxwell Centre</w:t>
            </w:r>
          </w:p>
        </w:tc>
        <w:tc>
          <w:tcPr>
            <w:tcW w:w="4275" w:type="dxa"/>
          </w:tcPr>
          <w:p w:rsidR="00B84942" w:rsidRPr="007B5FBA" w:rsidRDefault="00B84942" w:rsidP="00506E38">
            <w:pPr>
              <w:pStyle w:val="Belmana4normal"/>
              <w:jc w:val="left"/>
              <w:rPr>
                <w:sz w:val="20"/>
                <w:szCs w:val="20"/>
              </w:rPr>
            </w:pPr>
            <w:r w:rsidRPr="007B5FBA">
              <w:rPr>
                <w:sz w:val="20"/>
                <w:szCs w:val="20"/>
              </w:rPr>
              <w:t>Attracted interest from industry, ranging from start-ups and SMEs to multinationals</w:t>
            </w:r>
          </w:p>
        </w:tc>
      </w:tr>
      <w:tr w:rsidR="00B84942" w:rsidRPr="003E74FB">
        <w:trPr>
          <w:gridAfter w:val="1"/>
          <w:wAfter w:w="283" w:type="dxa"/>
          <w:trHeight w:val="568"/>
        </w:trPr>
        <w:tc>
          <w:tcPr>
            <w:tcW w:w="2268" w:type="dxa"/>
          </w:tcPr>
          <w:p w:rsidR="00B84942" w:rsidRPr="007B5FBA" w:rsidRDefault="00B84942" w:rsidP="00506E38">
            <w:pPr>
              <w:pStyle w:val="Belmana4normal"/>
              <w:jc w:val="left"/>
              <w:rPr>
                <w:sz w:val="20"/>
                <w:szCs w:val="20"/>
              </w:rPr>
            </w:pPr>
            <w:r w:rsidRPr="007B5FBA">
              <w:rPr>
                <w:sz w:val="20"/>
                <w:szCs w:val="20"/>
              </w:rPr>
              <w:t>Imperial College London</w:t>
            </w:r>
          </w:p>
        </w:tc>
        <w:tc>
          <w:tcPr>
            <w:tcW w:w="2529" w:type="dxa"/>
          </w:tcPr>
          <w:p w:rsidR="00B84942" w:rsidRPr="007B5FBA" w:rsidRDefault="00B84942" w:rsidP="00506E38">
            <w:pPr>
              <w:pStyle w:val="Belmana4normal"/>
              <w:jc w:val="left"/>
              <w:rPr>
                <w:sz w:val="20"/>
                <w:szCs w:val="20"/>
              </w:rPr>
            </w:pPr>
            <w:r w:rsidRPr="007B5FBA">
              <w:rPr>
                <w:sz w:val="20"/>
                <w:szCs w:val="20"/>
              </w:rPr>
              <w:t>Imperial West Technology Campus</w:t>
            </w:r>
          </w:p>
        </w:tc>
        <w:tc>
          <w:tcPr>
            <w:tcW w:w="4275" w:type="dxa"/>
          </w:tcPr>
          <w:p w:rsidR="00B84942" w:rsidRPr="007B5FBA" w:rsidRDefault="00B84942" w:rsidP="00506E38">
            <w:pPr>
              <w:pStyle w:val="Belmana4normal"/>
              <w:jc w:val="left"/>
              <w:rPr>
                <w:sz w:val="20"/>
                <w:szCs w:val="20"/>
              </w:rPr>
            </w:pPr>
            <w:r w:rsidRPr="007B5FBA">
              <w:rPr>
                <w:sz w:val="20"/>
                <w:szCs w:val="20"/>
              </w:rPr>
              <w:t xml:space="preserve">Co-location of </w:t>
            </w:r>
            <w:r w:rsidR="00E773E3">
              <w:rPr>
                <w:sz w:val="20"/>
                <w:szCs w:val="20"/>
              </w:rPr>
              <w:t>three</w:t>
            </w:r>
            <w:r w:rsidRPr="007B5FBA">
              <w:rPr>
                <w:sz w:val="20"/>
                <w:szCs w:val="20"/>
              </w:rPr>
              <w:t xml:space="preserve"> multinational businesses</w:t>
            </w:r>
          </w:p>
        </w:tc>
      </w:tr>
      <w:tr w:rsidR="00B84942" w:rsidRPr="003E74FB">
        <w:trPr>
          <w:gridAfter w:val="1"/>
          <w:wAfter w:w="283" w:type="dxa"/>
          <w:trHeight w:val="846"/>
        </w:trPr>
        <w:tc>
          <w:tcPr>
            <w:tcW w:w="2268" w:type="dxa"/>
          </w:tcPr>
          <w:p w:rsidR="00B84942" w:rsidRPr="007B5FBA" w:rsidRDefault="00B84942" w:rsidP="00506E38">
            <w:pPr>
              <w:pStyle w:val="Belmana4normal"/>
              <w:jc w:val="left"/>
              <w:rPr>
                <w:sz w:val="20"/>
                <w:szCs w:val="20"/>
              </w:rPr>
            </w:pPr>
            <w:r w:rsidRPr="007B5FBA">
              <w:rPr>
                <w:sz w:val="20"/>
                <w:szCs w:val="20"/>
              </w:rPr>
              <w:t>University of Dundee</w:t>
            </w:r>
          </w:p>
        </w:tc>
        <w:tc>
          <w:tcPr>
            <w:tcW w:w="2529" w:type="dxa"/>
          </w:tcPr>
          <w:p w:rsidR="00B84942" w:rsidRPr="007B5FBA" w:rsidRDefault="00B84942" w:rsidP="00506E38">
            <w:pPr>
              <w:pStyle w:val="Belmana4normal"/>
              <w:jc w:val="left"/>
              <w:rPr>
                <w:sz w:val="20"/>
                <w:szCs w:val="20"/>
              </w:rPr>
            </w:pPr>
            <w:r w:rsidRPr="007B5FBA">
              <w:rPr>
                <w:sz w:val="20"/>
                <w:szCs w:val="20"/>
              </w:rPr>
              <w:t>Centre for Translational and Interdisciplinary Research</w:t>
            </w:r>
          </w:p>
        </w:tc>
        <w:tc>
          <w:tcPr>
            <w:tcW w:w="4275" w:type="dxa"/>
          </w:tcPr>
          <w:p w:rsidR="00B84942" w:rsidRPr="007B5FBA" w:rsidRDefault="00E773E3" w:rsidP="00506E38">
            <w:pPr>
              <w:pStyle w:val="Belmana4normal"/>
              <w:jc w:val="left"/>
              <w:rPr>
                <w:sz w:val="20"/>
                <w:szCs w:val="20"/>
              </w:rPr>
            </w:pPr>
            <w:r>
              <w:rPr>
                <w:sz w:val="20"/>
                <w:szCs w:val="20"/>
              </w:rPr>
              <w:t>Nine</w:t>
            </w:r>
            <w:r w:rsidR="00B84942" w:rsidRPr="007B5FBA">
              <w:rPr>
                <w:sz w:val="20"/>
                <w:szCs w:val="20"/>
              </w:rPr>
              <w:t xml:space="preserve"> new collaborations with pharmaceutical companies</w:t>
            </w:r>
          </w:p>
        </w:tc>
      </w:tr>
      <w:tr w:rsidR="00B84942" w:rsidRPr="003E74FB">
        <w:trPr>
          <w:gridAfter w:val="1"/>
          <w:wAfter w:w="283" w:type="dxa"/>
          <w:trHeight w:val="1269"/>
        </w:trPr>
        <w:tc>
          <w:tcPr>
            <w:tcW w:w="2268" w:type="dxa"/>
            <w:tcBorders>
              <w:bottom w:val="single" w:sz="4" w:space="0" w:color="993365"/>
            </w:tcBorders>
          </w:tcPr>
          <w:p w:rsidR="00B84942" w:rsidRPr="007B5FBA" w:rsidRDefault="00B84942" w:rsidP="00506E38">
            <w:pPr>
              <w:pStyle w:val="Belmana4normal"/>
              <w:jc w:val="left"/>
              <w:rPr>
                <w:sz w:val="20"/>
                <w:szCs w:val="20"/>
              </w:rPr>
            </w:pPr>
            <w:r w:rsidRPr="007B5FBA">
              <w:rPr>
                <w:sz w:val="20"/>
                <w:szCs w:val="20"/>
              </w:rPr>
              <w:t>University of Strathclyde</w:t>
            </w:r>
          </w:p>
        </w:tc>
        <w:tc>
          <w:tcPr>
            <w:tcW w:w="2529" w:type="dxa"/>
            <w:tcBorders>
              <w:bottom w:val="single" w:sz="4" w:space="0" w:color="993365"/>
            </w:tcBorders>
          </w:tcPr>
          <w:p w:rsidR="00B84942" w:rsidRPr="007B5FBA" w:rsidRDefault="00B84942" w:rsidP="00506E38">
            <w:pPr>
              <w:pStyle w:val="Belmana4normal"/>
              <w:jc w:val="left"/>
              <w:rPr>
                <w:sz w:val="20"/>
                <w:szCs w:val="20"/>
              </w:rPr>
            </w:pPr>
            <w:r w:rsidRPr="007B5FBA">
              <w:rPr>
                <w:sz w:val="20"/>
                <w:szCs w:val="20"/>
              </w:rPr>
              <w:t>Continuous Manufacturing and Crystallisation Research for Pharmaceutical Products</w:t>
            </w:r>
          </w:p>
        </w:tc>
        <w:tc>
          <w:tcPr>
            <w:tcW w:w="4275" w:type="dxa"/>
            <w:tcBorders>
              <w:bottom w:val="single" w:sz="4" w:space="0" w:color="993365"/>
            </w:tcBorders>
          </w:tcPr>
          <w:p w:rsidR="00B84942" w:rsidRPr="007B5FBA" w:rsidRDefault="00E773E3" w:rsidP="00506E38">
            <w:pPr>
              <w:pStyle w:val="Belmana4normal"/>
              <w:jc w:val="left"/>
              <w:rPr>
                <w:sz w:val="20"/>
                <w:szCs w:val="20"/>
              </w:rPr>
            </w:pPr>
            <w:r>
              <w:rPr>
                <w:sz w:val="20"/>
                <w:szCs w:val="20"/>
              </w:rPr>
              <w:t xml:space="preserve">Ten </w:t>
            </w:r>
            <w:r w:rsidR="00B84942" w:rsidRPr="007B5FBA">
              <w:rPr>
                <w:sz w:val="20"/>
                <w:szCs w:val="20"/>
              </w:rPr>
              <w:t xml:space="preserve">recruits into industry </w:t>
            </w:r>
          </w:p>
        </w:tc>
      </w:tr>
    </w:tbl>
    <w:p w:rsidR="005112C6" w:rsidRPr="005E79E3" w:rsidRDefault="00B84942" w:rsidP="005E79E3">
      <w:pPr>
        <w:pStyle w:val="Belmana4normal"/>
        <w:rPr>
          <w:sz w:val="16"/>
        </w:rPr>
      </w:pPr>
      <w:r w:rsidRPr="008C2E15">
        <w:rPr>
          <w:sz w:val="16"/>
        </w:rPr>
        <w:t>Source: Project Completion Reports</w:t>
      </w:r>
      <w:bookmarkStart w:id="82" w:name="_Toc499548030"/>
    </w:p>
    <w:p w:rsidR="005112C6" w:rsidRPr="008C2E15" w:rsidRDefault="005112C6" w:rsidP="00DF111D">
      <w:pPr>
        <w:pStyle w:val="Belmananormal"/>
      </w:pPr>
      <w:r w:rsidRPr="008C2E15">
        <w:t xml:space="preserve">Table </w:t>
      </w:r>
      <w:r w:rsidR="00620B55">
        <w:t>10</w:t>
      </w:r>
      <w:r w:rsidRPr="008C2E15">
        <w:t xml:space="preserve"> presents impacts </w:t>
      </w:r>
      <w:r>
        <w:t xml:space="preserve">on collaboration with industry </w:t>
      </w:r>
      <w:r w:rsidRPr="008C2E15">
        <w:t>by project</w:t>
      </w:r>
      <w:r>
        <w:t xml:space="preserve"> using more quantitative data</w:t>
      </w:r>
      <w:r w:rsidRPr="008C2E15">
        <w:t xml:space="preserve">. A limitation with the reported data is that it is not possible to make a qualitative judgement whether the development of more industry collaborations is fostering knowledge sharing and leading to more innovation and growth. </w:t>
      </w:r>
      <w:r>
        <w:t>The easy-to-measure aspects of collaborations, such as number of partnerships, number of projects and extent of staff exchange provide a good insight into the level of collaboration, but probably insufficient to measure all the complexity of the impacts.</w:t>
      </w:r>
    </w:p>
    <w:p w:rsidR="00B84942" w:rsidRPr="008C2E15" w:rsidRDefault="00B84942" w:rsidP="00B84942">
      <w:pPr>
        <w:pStyle w:val="Belmana2"/>
      </w:pPr>
      <w:bookmarkStart w:id="83" w:name="_Toc514831666"/>
      <w:r w:rsidRPr="008C2E15">
        <w:t xml:space="preserve">Impact on start-up/spin-out </w:t>
      </w:r>
      <w:r w:rsidR="00E773E3">
        <w:t>and</w:t>
      </w:r>
      <w:r w:rsidR="00E773E3" w:rsidRPr="008C2E15">
        <w:t xml:space="preserve"> </w:t>
      </w:r>
      <w:r w:rsidRPr="008C2E15">
        <w:t>SME</w:t>
      </w:r>
      <w:r w:rsidR="00E773E3">
        <w:t>s</w:t>
      </w:r>
      <w:bookmarkEnd w:id="82"/>
      <w:bookmarkEnd w:id="83"/>
    </w:p>
    <w:p w:rsidR="00B84942" w:rsidRPr="008C2E15" w:rsidRDefault="00B84942" w:rsidP="005721FF">
      <w:pPr>
        <w:pStyle w:val="Belmananormal"/>
      </w:pPr>
      <w:r w:rsidRPr="008C2E15">
        <w:t>Four projects noted positi</w:t>
      </w:r>
      <w:r w:rsidR="00620B55">
        <w:t>ve developments, summarised in T</w:t>
      </w:r>
      <w:r w:rsidRPr="008C2E15">
        <w:t>able 1</w:t>
      </w:r>
      <w:r w:rsidR="00620B55">
        <w:t>1</w:t>
      </w:r>
      <w:r w:rsidRPr="008C2E15">
        <w:t>. One start-up company is in the process of establishing itself alongside an industry partner to commercialise a technology developed within the UKRPIF-funded facility. Other impacts involve increased knowledge transfers, technology adoption and engagement with private companies.</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29"/>
        <w:gridCol w:w="4559"/>
        <w:gridCol w:w="142"/>
      </w:tblGrid>
      <w:tr w:rsidR="00B84942" w:rsidRPr="003E74FB">
        <w:trPr>
          <w:trHeight w:val="85"/>
        </w:trPr>
        <w:tc>
          <w:tcPr>
            <w:tcW w:w="9498" w:type="dxa"/>
            <w:gridSpan w:val="4"/>
            <w:tcBorders>
              <w:bottom w:val="single" w:sz="4" w:space="0" w:color="993365"/>
            </w:tcBorders>
          </w:tcPr>
          <w:p w:rsidR="00674BC0" w:rsidRDefault="00B84942">
            <w:pPr>
              <w:pStyle w:val="BelmanaTableTitle"/>
              <w:rPr>
                <w:i/>
              </w:rPr>
            </w:pPr>
            <w:bookmarkStart w:id="84" w:name="_Toc499548096"/>
            <w:r w:rsidRPr="003E74FB">
              <w:t xml:space="preserve">Table </w:t>
            </w:r>
            <w:r w:rsidR="00620B55">
              <w:t>11</w:t>
            </w:r>
            <w:r w:rsidRPr="003E74FB">
              <w:t xml:space="preserve">: Impact on </w:t>
            </w:r>
            <w:r w:rsidR="00E773E3">
              <w:t>s</w:t>
            </w:r>
            <w:r w:rsidRPr="003E74FB">
              <w:t>tart-up/</w:t>
            </w:r>
            <w:r w:rsidR="00E773E3">
              <w:t>s</w:t>
            </w:r>
            <w:r w:rsidRPr="003E74FB">
              <w:t xml:space="preserve">pin-out </w:t>
            </w:r>
            <w:r w:rsidR="00E773E3">
              <w:t xml:space="preserve">and </w:t>
            </w:r>
            <w:r w:rsidRPr="003E74FB">
              <w:t>SME</w:t>
            </w:r>
            <w:r w:rsidR="00E773E3">
              <w:t>s</w:t>
            </w:r>
            <w:bookmarkEnd w:id="84"/>
          </w:p>
        </w:tc>
      </w:tr>
      <w:tr w:rsidR="00B84942" w:rsidRPr="003E74FB" w:rsidTr="00CA5BC4">
        <w:trPr>
          <w:gridAfter w:val="1"/>
          <w:wAfter w:w="142" w:type="dxa"/>
          <w:trHeight w:val="397"/>
        </w:trPr>
        <w:tc>
          <w:tcPr>
            <w:tcW w:w="2268" w:type="dxa"/>
            <w:tcBorders>
              <w:top w:val="single" w:sz="4" w:space="0" w:color="993365"/>
              <w:right w:val="single" w:sz="4" w:space="0" w:color="FFFFFF" w:themeColor="background1"/>
            </w:tcBorders>
            <w:shd w:val="clear" w:color="auto" w:fill="993365"/>
          </w:tcPr>
          <w:p w:rsidR="00B84942" w:rsidRPr="003E74FB" w:rsidRDefault="00E773E3" w:rsidP="00506E38">
            <w:pPr>
              <w:pStyle w:val="Belmana4normal"/>
              <w:rPr>
                <w:b/>
                <w:color w:val="FFFFFF" w:themeColor="background1"/>
                <w:sz w:val="20"/>
                <w:szCs w:val="20"/>
              </w:rPr>
            </w:pPr>
            <w:r>
              <w:rPr>
                <w:b/>
                <w:color w:val="FFFFFF" w:themeColor="background1"/>
                <w:sz w:val="20"/>
                <w:szCs w:val="20"/>
              </w:rPr>
              <w:t>HEI</w:t>
            </w:r>
          </w:p>
        </w:tc>
        <w:tc>
          <w:tcPr>
            <w:tcW w:w="2529" w:type="dxa"/>
            <w:tcBorders>
              <w:top w:val="single" w:sz="4" w:space="0" w:color="993365"/>
              <w:left w:val="single" w:sz="4" w:space="0" w:color="FFFFFF" w:themeColor="background1"/>
              <w:right w:val="single" w:sz="4" w:space="0" w:color="FFFFFF" w:themeColor="background1"/>
            </w:tcBorders>
            <w:shd w:val="clear" w:color="auto" w:fill="993365"/>
          </w:tcPr>
          <w:p w:rsidR="00B84942" w:rsidRPr="003E74FB" w:rsidRDefault="00B84942" w:rsidP="00506E38">
            <w:pPr>
              <w:pStyle w:val="Belmana4normal"/>
              <w:rPr>
                <w:b/>
                <w:color w:val="FFFFFF" w:themeColor="background1"/>
                <w:sz w:val="20"/>
                <w:szCs w:val="20"/>
              </w:rPr>
            </w:pPr>
            <w:r w:rsidRPr="003E74FB">
              <w:rPr>
                <w:b/>
                <w:color w:val="FFFFFF" w:themeColor="background1"/>
                <w:sz w:val="20"/>
                <w:szCs w:val="20"/>
              </w:rPr>
              <w:t>Project</w:t>
            </w:r>
          </w:p>
        </w:tc>
        <w:tc>
          <w:tcPr>
            <w:tcW w:w="4559" w:type="dxa"/>
            <w:tcBorders>
              <w:top w:val="single" w:sz="4" w:space="0" w:color="993365"/>
              <w:left w:val="single" w:sz="4" w:space="0" w:color="FFFFFF" w:themeColor="background1"/>
            </w:tcBorders>
            <w:shd w:val="clear" w:color="auto" w:fill="993365"/>
          </w:tcPr>
          <w:p w:rsidR="00B84942" w:rsidRPr="003E74FB" w:rsidRDefault="00B84942" w:rsidP="00506E38">
            <w:pPr>
              <w:pStyle w:val="Belmana4normal"/>
              <w:rPr>
                <w:b/>
                <w:color w:val="FFFFFF" w:themeColor="background1"/>
                <w:sz w:val="20"/>
                <w:szCs w:val="20"/>
              </w:rPr>
            </w:pPr>
            <w:r w:rsidRPr="003E74FB">
              <w:rPr>
                <w:b/>
                <w:color w:val="FFFFFF" w:themeColor="background1"/>
                <w:sz w:val="20"/>
                <w:szCs w:val="20"/>
              </w:rPr>
              <w:t>Output</w:t>
            </w:r>
          </w:p>
        </w:tc>
      </w:tr>
      <w:tr w:rsidR="00B84942" w:rsidRPr="003E74FB" w:rsidTr="00CA5BC4">
        <w:trPr>
          <w:gridAfter w:val="1"/>
          <w:wAfter w:w="142" w:type="dxa"/>
          <w:trHeight w:val="992"/>
        </w:trPr>
        <w:tc>
          <w:tcPr>
            <w:tcW w:w="2268" w:type="dxa"/>
          </w:tcPr>
          <w:p w:rsidR="00B84942" w:rsidRPr="007B5FBA" w:rsidRDefault="00B84942" w:rsidP="00B87621">
            <w:pPr>
              <w:pStyle w:val="Belmana4normal"/>
              <w:jc w:val="left"/>
              <w:rPr>
                <w:sz w:val="20"/>
                <w:szCs w:val="20"/>
              </w:rPr>
            </w:pPr>
            <w:r w:rsidRPr="007B5FBA">
              <w:rPr>
                <w:sz w:val="20"/>
                <w:szCs w:val="20"/>
              </w:rPr>
              <w:t>University of Swansea</w:t>
            </w:r>
          </w:p>
        </w:tc>
        <w:tc>
          <w:tcPr>
            <w:tcW w:w="2529" w:type="dxa"/>
          </w:tcPr>
          <w:p w:rsidR="00B84942" w:rsidRPr="007B5FBA" w:rsidRDefault="00B84942" w:rsidP="00506E38">
            <w:pPr>
              <w:pStyle w:val="Belmana4normal"/>
              <w:jc w:val="left"/>
              <w:rPr>
                <w:sz w:val="20"/>
                <w:szCs w:val="20"/>
              </w:rPr>
            </w:pPr>
            <w:r w:rsidRPr="007B5FBA">
              <w:rPr>
                <w:sz w:val="20"/>
                <w:szCs w:val="20"/>
              </w:rPr>
              <w:t>Energy Safety Research Institute</w:t>
            </w:r>
            <w:r w:rsidR="00D9048E">
              <w:rPr>
                <w:sz w:val="20"/>
                <w:szCs w:val="20"/>
              </w:rPr>
              <w:t xml:space="preserve"> (ESRI)</w:t>
            </w:r>
          </w:p>
        </w:tc>
        <w:tc>
          <w:tcPr>
            <w:tcW w:w="4559" w:type="dxa"/>
          </w:tcPr>
          <w:p w:rsidR="00B84942" w:rsidRPr="007B5FBA" w:rsidRDefault="00B84942" w:rsidP="00506E38">
            <w:pPr>
              <w:pStyle w:val="Belmana4normal"/>
              <w:jc w:val="left"/>
              <w:rPr>
                <w:sz w:val="20"/>
                <w:szCs w:val="20"/>
              </w:rPr>
            </w:pPr>
            <w:r w:rsidRPr="007B5FBA">
              <w:rPr>
                <w:sz w:val="20"/>
                <w:szCs w:val="20"/>
              </w:rPr>
              <w:t>ESRI is in process of creating a start-up company with an industry partner to commercialise technology developed within ESRI</w:t>
            </w:r>
          </w:p>
        </w:tc>
      </w:tr>
      <w:tr w:rsidR="00B84942" w:rsidRPr="003E74FB">
        <w:trPr>
          <w:gridAfter w:val="1"/>
          <w:wAfter w:w="142" w:type="dxa"/>
          <w:trHeight w:val="832"/>
        </w:trPr>
        <w:tc>
          <w:tcPr>
            <w:tcW w:w="2268" w:type="dxa"/>
          </w:tcPr>
          <w:p w:rsidR="00B84942" w:rsidRPr="007B5FBA" w:rsidRDefault="00B84942" w:rsidP="00B87621">
            <w:pPr>
              <w:pStyle w:val="Belmana4normal"/>
              <w:jc w:val="left"/>
              <w:rPr>
                <w:sz w:val="20"/>
                <w:szCs w:val="20"/>
              </w:rPr>
            </w:pPr>
            <w:r w:rsidRPr="007B5FBA">
              <w:rPr>
                <w:sz w:val="20"/>
                <w:szCs w:val="20"/>
              </w:rPr>
              <w:t>Queen’s University of Belfast</w:t>
            </w:r>
          </w:p>
        </w:tc>
        <w:tc>
          <w:tcPr>
            <w:tcW w:w="2529" w:type="dxa"/>
          </w:tcPr>
          <w:p w:rsidR="00B84942" w:rsidRPr="007B5FBA" w:rsidRDefault="00B84942" w:rsidP="00506E38">
            <w:pPr>
              <w:pStyle w:val="Belmana4normal"/>
              <w:jc w:val="left"/>
              <w:rPr>
                <w:sz w:val="20"/>
                <w:szCs w:val="20"/>
              </w:rPr>
            </w:pPr>
            <w:r w:rsidRPr="007B5FBA">
              <w:rPr>
                <w:sz w:val="20"/>
                <w:szCs w:val="20"/>
              </w:rPr>
              <w:t>Institute of Health Science</w:t>
            </w:r>
          </w:p>
        </w:tc>
        <w:tc>
          <w:tcPr>
            <w:tcW w:w="4559" w:type="dxa"/>
          </w:tcPr>
          <w:p w:rsidR="00674BC0" w:rsidRDefault="00B84942" w:rsidP="00CA5BC4">
            <w:pPr>
              <w:pStyle w:val="Belmana4normal"/>
              <w:rPr>
                <w:sz w:val="20"/>
                <w:szCs w:val="20"/>
              </w:rPr>
            </w:pPr>
            <w:r w:rsidRPr="007B5FBA">
              <w:rPr>
                <w:sz w:val="20"/>
                <w:szCs w:val="20"/>
              </w:rPr>
              <w:t xml:space="preserve">Increased knowledge exchange activity with </w:t>
            </w:r>
            <w:r w:rsidR="00D9048E">
              <w:rPr>
                <w:sz w:val="20"/>
                <w:szCs w:val="20"/>
              </w:rPr>
              <w:t xml:space="preserve">two </w:t>
            </w:r>
            <w:r w:rsidRPr="007B5FBA">
              <w:rPr>
                <w:sz w:val="20"/>
                <w:szCs w:val="20"/>
              </w:rPr>
              <w:t>SMEs</w:t>
            </w:r>
          </w:p>
        </w:tc>
      </w:tr>
      <w:tr w:rsidR="00B84942" w:rsidRPr="003E74FB">
        <w:trPr>
          <w:gridAfter w:val="1"/>
          <w:wAfter w:w="142" w:type="dxa"/>
          <w:trHeight w:val="858"/>
        </w:trPr>
        <w:tc>
          <w:tcPr>
            <w:tcW w:w="2268" w:type="dxa"/>
          </w:tcPr>
          <w:p w:rsidR="00B84942" w:rsidRPr="007B5FBA" w:rsidRDefault="00B84942" w:rsidP="00B87621">
            <w:pPr>
              <w:pStyle w:val="Belmana4normal"/>
              <w:jc w:val="left"/>
              <w:rPr>
                <w:sz w:val="20"/>
                <w:szCs w:val="20"/>
              </w:rPr>
            </w:pPr>
            <w:r w:rsidRPr="007B5FBA">
              <w:rPr>
                <w:sz w:val="20"/>
                <w:szCs w:val="20"/>
              </w:rPr>
              <w:t>University of Dundee</w:t>
            </w:r>
          </w:p>
        </w:tc>
        <w:tc>
          <w:tcPr>
            <w:tcW w:w="2529" w:type="dxa"/>
          </w:tcPr>
          <w:p w:rsidR="00B84942" w:rsidRPr="007B5FBA" w:rsidRDefault="00B84942" w:rsidP="00506E38">
            <w:pPr>
              <w:pStyle w:val="Belmana4normal"/>
              <w:jc w:val="left"/>
              <w:rPr>
                <w:sz w:val="20"/>
                <w:szCs w:val="20"/>
              </w:rPr>
            </w:pPr>
            <w:r w:rsidRPr="007B5FBA">
              <w:rPr>
                <w:sz w:val="20"/>
                <w:szCs w:val="20"/>
              </w:rPr>
              <w:t>Centre for Translational and Interdisciplinary Research</w:t>
            </w:r>
          </w:p>
        </w:tc>
        <w:tc>
          <w:tcPr>
            <w:tcW w:w="4559" w:type="dxa"/>
          </w:tcPr>
          <w:p w:rsidR="00674BC0" w:rsidRDefault="00B84942" w:rsidP="00CA5BC4">
            <w:pPr>
              <w:pStyle w:val="Belmana4normal"/>
              <w:jc w:val="left"/>
              <w:rPr>
                <w:sz w:val="20"/>
                <w:szCs w:val="20"/>
              </w:rPr>
            </w:pPr>
            <w:r w:rsidRPr="007B5FBA">
              <w:rPr>
                <w:sz w:val="20"/>
                <w:szCs w:val="20"/>
              </w:rPr>
              <w:t xml:space="preserve">Engagement with </w:t>
            </w:r>
            <w:r w:rsidR="00D9048E">
              <w:rPr>
                <w:sz w:val="20"/>
                <w:szCs w:val="20"/>
              </w:rPr>
              <w:t>six</w:t>
            </w:r>
            <w:r w:rsidRPr="007B5FBA">
              <w:rPr>
                <w:sz w:val="20"/>
                <w:szCs w:val="20"/>
              </w:rPr>
              <w:t>SMEs</w:t>
            </w:r>
          </w:p>
        </w:tc>
      </w:tr>
      <w:tr w:rsidR="00B84942" w:rsidRPr="003E74FB">
        <w:trPr>
          <w:gridAfter w:val="1"/>
          <w:wAfter w:w="142" w:type="dxa"/>
          <w:trHeight w:val="984"/>
        </w:trPr>
        <w:tc>
          <w:tcPr>
            <w:tcW w:w="2268" w:type="dxa"/>
            <w:tcBorders>
              <w:bottom w:val="single" w:sz="4" w:space="0" w:color="993365"/>
            </w:tcBorders>
          </w:tcPr>
          <w:p w:rsidR="00B84942" w:rsidRPr="007B5FBA" w:rsidRDefault="00B84942" w:rsidP="00B87621">
            <w:pPr>
              <w:pStyle w:val="Belmana4normal"/>
              <w:jc w:val="left"/>
              <w:rPr>
                <w:sz w:val="20"/>
                <w:szCs w:val="20"/>
              </w:rPr>
            </w:pPr>
            <w:r w:rsidRPr="007B5FBA">
              <w:rPr>
                <w:sz w:val="20"/>
                <w:szCs w:val="20"/>
              </w:rPr>
              <w:t>University of Strathclyde</w:t>
            </w:r>
          </w:p>
        </w:tc>
        <w:tc>
          <w:tcPr>
            <w:tcW w:w="2529" w:type="dxa"/>
            <w:tcBorders>
              <w:bottom w:val="single" w:sz="4" w:space="0" w:color="993365"/>
            </w:tcBorders>
          </w:tcPr>
          <w:p w:rsidR="00B84942" w:rsidRPr="007B5FBA" w:rsidRDefault="00B84942" w:rsidP="00506E38">
            <w:pPr>
              <w:pStyle w:val="Belmana4normal"/>
              <w:jc w:val="left"/>
              <w:rPr>
                <w:sz w:val="20"/>
                <w:szCs w:val="20"/>
              </w:rPr>
            </w:pPr>
            <w:r w:rsidRPr="007B5FBA">
              <w:rPr>
                <w:sz w:val="20"/>
                <w:szCs w:val="20"/>
              </w:rPr>
              <w:t>Continuous Manufacturing and Crystallisation for Pharmaceutical Products</w:t>
            </w:r>
          </w:p>
        </w:tc>
        <w:tc>
          <w:tcPr>
            <w:tcW w:w="4559" w:type="dxa"/>
            <w:tcBorders>
              <w:bottom w:val="single" w:sz="4" w:space="0" w:color="993365"/>
            </w:tcBorders>
          </w:tcPr>
          <w:p w:rsidR="00674BC0" w:rsidRDefault="00B84942" w:rsidP="00CA5BC4">
            <w:pPr>
              <w:pStyle w:val="Belmana4normal"/>
              <w:jc w:val="left"/>
              <w:rPr>
                <w:sz w:val="20"/>
                <w:szCs w:val="20"/>
              </w:rPr>
            </w:pPr>
            <w:r w:rsidRPr="007B5FBA">
              <w:rPr>
                <w:sz w:val="20"/>
                <w:szCs w:val="20"/>
              </w:rPr>
              <w:t>Technological adoption by companies</w:t>
            </w:r>
            <w:r w:rsidR="00D9048E">
              <w:rPr>
                <w:sz w:val="20"/>
                <w:szCs w:val="20"/>
              </w:rPr>
              <w:t>;</w:t>
            </w:r>
            <w:r w:rsidRPr="007B5FBA">
              <w:rPr>
                <w:sz w:val="20"/>
                <w:szCs w:val="20"/>
              </w:rPr>
              <w:t xml:space="preserve"> </w:t>
            </w:r>
            <w:r w:rsidR="00D9048E">
              <w:rPr>
                <w:sz w:val="20"/>
                <w:szCs w:val="20"/>
              </w:rPr>
              <w:t>six</w:t>
            </w:r>
            <w:r w:rsidRPr="007B5FBA">
              <w:rPr>
                <w:sz w:val="20"/>
                <w:szCs w:val="20"/>
              </w:rPr>
              <w:t>examples to date</w:t>
            </w:r>
          </w:p>
        </w:tc>
      </w:tr>
    </w:tbl>
    <w:p w:rsidR="00B84942" w:rsidRPr="008C2E15" w:rsidRDefault="00B84942" w:rsidP="00B84942">
      <w:pPr>
        <w:pStyle w:val="Belmana4normal"/>
        <w:rPr>
          <w:sz w:val="16"/>
        </w:rPr>
      </w:pPr>
      <w:r w:rsidRPr="008C2E15">
        <w:rPr>
          <w:sz w:val="16"/>
        </w:rPr>
        <w:t>Source: Project Completion Reports</w:t>
      </w:r>
    </w:p>
    <w:p w:rsidR="00B9177D" w:rsidRDefault="00B84942" w:rsidP="00B9177D">
      <w:pPr>
        <w:pStyle w:val="Belmananormal"/>
      </w:pPr>
      <w:r>
        <w:t>Case study findings likewise indicated that funded institutions are beginning to generate spin-outs, as in</w:t>
      </w:r>
      <w:r w:rsidR="00B9177D">
        <w:t xml:space="preserve">dividuals and teams are </w:t>
      </w:r>
      <w:r>
        <w:t>access</w:t>
      </w:r>
      <w:r w:rsidR="00B9177D">
        <w:t>ing</w:t>
      </w:r>
      <w:r>
        <w:t xml:space="preserve"> state</w:t>
      </w:r>
      <w:r w:rsidR="00D9048E">
        <w:t>-</w:t>
      </w:r>
      <w:r>
        <w:t>of</w:t>
      </w:r>
      <w:r w:rsidR="00D9048E">
        <w:t>-</w:t>
      </w:r>
      <w:r>
        <w:t>the</w:t>
      </w:r>
      <w:r w:rsidR="00D9048E">
        <w:t>-</w:t>
      </w:r>
      <w:r>
        <w:t xml:space="preserve">art equipment and facilities. </w:t>
      </w:r>
      <w:r w:rsidR="00B9177D">
        <w:t xml:space="preserve">In all studies, some provision had been made to allow SMEs to be incubated, with the SMEs having strong research links to the academic centres. </w:t>
      </w:r>
      <w:r>
        <w:t xml:space="preserve">However, the project completion and procurement is still in a too early stage to get a reliable sense of magnitude. </w:t>
      </w:r>
    </w:p>
    <w:p w:rsidR="00B84942" w:rsidRPr="008C2E15" w:rsidRDefault="00B84942" w:rsidP="00B84942">
      <w:pPr>
        <w:pStyle w:val="Belmana2"/>
      </w:pPr>
      <w:bookmarkStart w:id="85" w:name="_Toc514831667"/>
      <w:r w:rsidRPr="008C2E15">
        <w:t>Impact on student numbers</w:t>
      </w:r>
      <w:bookmarkEnd w:id="85"/>
    </w:p>
    <w:p w:rsidR="00B84942" w:rsidRPr="008C2E15" w:rsidRDefault="00B84942" w:rsidP="005721FF">
      <w:pPr>
        <w:pStyle w:val="Belmananormal"/>
      </w:pPr>
      <w:r w:rsidRPr="008C2E15">
        <w:t xml:space="preserve">Evidence of the </w:t>
      </w:r>
      <w:r w:rsidR="001039F9">
        <w:t xml:space="preserve">quantity, and indicating </w:t>
      </w:r>
      <w:r w:rsidR="00DD068C" w:rsidRPr="008C2E15">
        <w:t>quality</w:t>
      </w:r>
      <w:r w:rsidR="00DD068C">
        <w:t>, of</w:t>
      </w:r>
      <w:r w:rsidRPr="008C2E15">
        <w:t xml:space="preserve"> the students </w:t>
      </w:r>
      <w:r>
        <w:t xml:space="preserve">recruited </w:t>
      </w:r>
      <w:r w:rsidR="00B9177D">
        <w:t>because of</w:t>
      </w:r>
      <w:r>
        <w:t xml:space="preserve"> the UKRPIF project</w:t>
      </w:r>
      <w:r w:rsidR="00D9048E">
        <w:t>s</w:t>
      </w:r>
      <w:r>
        <w:t xml:space="preserve"> </w:t>
      </w:r>
      <w:r w:rsidRPr="008C2E15">
        <w:t xml:space="preserve">can be seen by the prevalence of industry sponsorship in two of the projects </w:t>
      </w:r>
      <w:r>
        <w:t>show</w:t>
      </w:r>
      <w:r w:rsidR="00620B55">
        <w:t xml:space="preserve">n in Table </w:t>
      </w:r>
      <w:r w:rsidR="001039F9">
        <w:t>12</w:t>
      </w:r>
      <w:r>
        <w:t xml:space="preserve"> </w:t>
      </w:r>
      <w:r w:rsidRPr="008C2E15">
        <w:t>– the National Research Centre for Structural Integrity</w:t>
      </w:r>
      <w:r>
        <w:t>,</w:t>
      </w:r>
      <w:r w:rsidRPr="008C2E15">
        <w:t xml:space="preserve"> and Experimentation Facilities in Engineering Science</w:t>
      </w:r>
      <w:r>
        <w:t>.</w:t>
      </w:r>
    </w:p>
    <w:tbl>
      <w:tblPr>
        <w:tblStyle w:val="TableGrid"/>
        <w:tblW w:w="9498"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68"/>
        <w:gridCol w:w="2529"/>
        <w:gridCol w:w="4701"/>
      </w:tblGrid>
      <w:tr w:rsidR="00B84942" w:rsidRPr="00735EA0">
        <w:trPr>
          <w:trHeight w:val="85"/>
        </w:trPr>
        <w:tc>
          <w:tcPr>
            <w:tcW w:w="9498" w:type="dxa"/>
            <w:gridSpan w:val="3"/>
            <w:tcBorders>
              <w:bottom w:val="single" w:sz="4" w:space="0" w:color="993365"/>
            </w:tcBorders>
          </w:tcPr>
          <w:p w:rsidR="00B84942" w:rsidRPr="00735EA0" w:rsidRDefault="00B84942" w:rsidP="00735EA0">
            <w:pPr>
              <w:pStyle w:val="BelmanaTableTitle"/>
            </w:pPr>
            <w:r w:rsidRPr="00735EA0">
              <w:t>Table</w:t>
            </w:r>
            <w:r w:rsidR="00620B55">
              <w:t xml:space="preserve"> 12</w:t>
            </w:r>
            <w:r w:rsidRPr="00735EA0">
              <w:t xml:space="preserve">: Impact on </w:t>
            </w:r>
            <w:r w:rsidR="00D9048E">
              <w:t>s</w:t>
            </w:r>
            <w:r w:rsidRPr="00735EA0">
              <w:t xml:space="preserve">tudent </w:t>
            </w:r>
            <w:r w:rsidR="00D9048E">
              <w:t>n</w:t>
            </w:r>
            <w:r w:rsidRPr="00735EA0">
              <w:t>umbers</w:t>
            </w:r>
          </w:p>
        </w:tc>
      </w:tr>
      <w:tr w:rsidR="00B84942" w:rsidRPr="003E74FB">
        <w:trPr>
          <w:trHeight w:val="397"/>
        </w:trPr>
        <w:tc>
          <w:tcPr>
            <w:tcW w:w="2268" w:type="dxa"/>
            <w:tcBorders>
              <w:top w:val="single" w:sz="4" w:space="0" w:color="993365"/>
              <w:bottom w:val="single" w:sz="4" w:space="0" w:color="993365"/>
              <w:right w:val="single" w:sz="4" w:space="0" w:color="FFFFFF" w:themeColor="background1"/>
            </w:tcBorders>
            <w:shd w:val="clear" w:color="auto" w:fill="993365"/>
          </w:tcPr>
          <w:p w:rsidR="00B84942" w:rsidRPr="002A4A4B" w:rsidRDefault="00B84942" w:rsidP="00506E38">
            <w:pPr>
              <w:pStyle w:val="Belmana4normal"/>
              <w:rPr>
                <w:b/>
                <w:color w:val="FFFFFF" w:themeColor="background1"/>
                <w:sz w:val="20"/>
                <w:szCs w:val="20"/>
              </w:rPr>
            </w:pPr>
            <w:r w:rsidRPr="008D5BBE">
              <w:rPr>
                <w:b/>
                <w:color w:val="FFFFFF" w:themeColor="background1"/>
                <w:sz w:val="20"/>
                <w:szCs w:val="20"/>
              </w:rPr>
              <w:t>University</w:t>
            </w:r>
          </w:p>
        </w:tc>
        <w:tc>
          <w:tcPr>
            <w:tcW w:w="2529" w:type="dxa"/>
            <w:tcBorders>
              <w:top w:val="single" w:sz="4" w:space="0" w:color="993365"/>
              <w:left w:val="single" w:sz="4" w:space="0" w:color="FFFFFF" w:themeColor="background1"/>
              <w:bottom w:val="single" w:sz="4" w:space="0" w:color="993365"/>
              <w:right w:val="single" w:sz="4" w:space="0" w:color="FFFFFF" w:themeColor="background1"/>
            </w:tcBorders>
            <w:shd w:val="clear" w:color="auto" w:fill="993365"/>
          </w:tcPr>
          <w:p w:rsidR="00B84942" w:rsidRPr="007A16AF" w:rsidRDefault="00B84942" w:rsidP="00506E38">
            <w:pPr>
              <w:pStyle w:val="Belmana4normal"/>
              <w:jc w:val="left"/>
              <w:rPr>
                <w:b/>
                <w:color w:val="FFFFFF" w:themeColor="background1"/>
                <w:sz w:val="20"/>
                <w:szCs w:val="20"/>
              </w:rPr>
            </w:pPr>
            <w:r w:rsidRPr="007A16AF">
              <w:rPr>
                <w:b/>
                <w:color w:val="FFFFFF" w:themeColor="background1"/>
                <w:sz w:val="20"/>
                <w:szCs w:val="20"/>
              </w:rPr>
              <w:t>Project</w:t>
            </w:r>
          </w:p>
        </w:tc>
        <w:tc>
          <w:tcPr>
            <w:tcW w:w="4701" w:type="dxa"/>
            <w:tcBorders>
              <w:top w:val="single" w:sz="4" w:space="0" w:color="993365"/>
              <w:left w:val="single" w:sz="4" w:space="0" w:color="FFFFFF" w:themeColor="background1"/>
              <w:bottom w:val="single" w:sz="4" w:space="0" w:color="993365"/>
            </w:tcBorders>
            <w:shd w:val="clear" w:color="auto" w:fill="993365"/>
          </w:tcPr>
          <w:p w:rsidR="00B84942" w:rsidRPr="007B5FBA" w:rsidRDefault="00B84942" w:rsidP="00506E38">
            <w:pPr>
              <w:pStyle w:val="Belmana4normal"/>
              <w:rPr>
                <w:b/>
                <w:color w:val="FFFFFF" w:themeColor="background1"/>
                <w:sz w:val="20"/>
                <w:szCs w:val="20"/>
              </w:rPr>
            </w:pPr>
            <w:r w:rsidRPr="007A16AF">
              <w:rPr>
                <w:b/>
                <w:color w:val="FFFFFF" w:themeColor="background1"/>
                <w:sz w:val="20"/>
                <w:szCs w:val="20"/>
              </w:rPr>
              <w:t>Output</w:t>
            </w:r>
          </w:p>
        </w:tc>
      </w:tr>
      <w:tr w:rsidR="00B84942" w:rsidRPr="003E74FB">
        <w:trPr>
          <w:trHeight w:val="834"/>
        </w:trPr>
        <w:tc>
          <w:tcPr>
            <w:tcW w:w="2268" w:type="dxa"/>
            <w:tcBorders>
              <w:top w:val="single" w:sz="4" w:space="0" w:color="993365"/>
            </w:tcBorders>
          </w:tcPr>
          <w:p w:rsidR="00B84942" w:rsidRPr="007B5FBA" w:rsidRDefault="00B84942" w:rsidP="00506E38">
            <w:pPr>
              <w:pStyle w:val="Belmana4normal"/>
              <w:jc w:val="left"/>
              <w:rPr>
                <w:sz w:val="20"/>
                <w:szCs w:val="20"/>
              </w:rPr>
            </w:pPr>
            <w:r w:rsidRPr="007B5FBA">
              <w:rPr>
                <w:sz w:val="20"/>
                <w:szCs w:val="20"/>
              </w:rPr>
              <w:t>University of Swansea</w:t>
            </w:r>
          </w:p>
        </w:tc>
        <w:tc>
          <w:tcPr>
            <w:tcW w:w="2529" w:type="dxa"/>
            <w:tcBorders>
              <w:top w:val="single" w:sz="4" w:space="0" w:color="993365"/>
            </w:tcBorders>
          </w:tcPr>
          <w:p w:rsidR="00B84942" w:rsidRPr="007B5FBA" w:rsidRDefault="00B84942" w:rsidP="00506E38">
            <w:pPr>
              <w:pStyle w:val="Belmana4normal"/>
              <w:jc w:val="left"/>
              <w:rPr>
                <w:sz w:val="20"/>
                <w:szCs w:val="20"/>
              </w:rPr>
            </w:pPr>
            <w:r w:rsidRPr="007B5FBA">
              <w:rPr>
                <w:sz w:val="20"/>
                <w:szCs w:val="20"/>
              </w:rPr>
              <w:t>Energy Safety Research Institute</w:t>
            </w:r>
          </w:p>
        </w:tc>
        <w:tc>
          <w:tcPr>
            <w:tcW w:w="4701" w:type="dxa"/>
            <w:tcBorders>
              <w:top w:val="single" w:sz="4" w:space="0" w:color="993365"/>
            </w:tcBorders>
          </w:tcPr>
          <w:p w:rsidR="00B84942" w:rsidRPr="007B5FBA" w:rsidRDefault="00D9048E" w:rsidP="00506E38">
            <w:pPr>
              <w:pStyle w:val="Belmana4normal"/>
              <w:rPr>
                <w:sz w:val="20"/>
                <w:szCs w:val="20"/>
              </w:rPr>
            </w:pPr>
            <w:r>
              <w:rPr>
                <w:sz w:val="20"/>
                <w:szCs w:val="20"/>
              </w:rPr>
              <w:t>Six</w:t>
            </w:r>
            <w:r w:rsidR="00B84942" w:rsidRPr="007B5FBA">
              <w:rPr>
                <w:sz w:val="20"/>
                <w:szCs w:val="20"/>
              </w:rPr>
              <w:t xml:space="preserve"> </w:t>
            </w:r>
            <w:r>
              <w:rPr>
                <w:sz w:val="20"/>
                <w:szCs w:val="20"/>
              </w:rPr>
              <w:t>p</w:t>
            </w:r>
            <w:r w:rsidR="00B84942" w:rsidRPr="007B5FBA">
              <w:rPr>
                <w:sz w:val="20"/>
                <w:szCs w:val="20"/>
              </w:rPr>
              <w:t>ost-</w:t>
            </w:r>
            <w:r>
              <w:rPr>
                <w:sz w:val="20"/>
                <w:szCs w:val="20"/>
              </w:rPr>
              <w:t>d</w:t>
            </w:r>
            <w:r w:rsidR="00B84942" w:rsidRPr="007B5FBA">
              <w:rPr>
                <w:sz w:val="20"/>
                <w:szCs w:val="20"/>
              </w:rPr>
              <w:t xml:space="preserve">octoral </w:t>
            </w:r>
            <w:r>
              <w:rPr>
                <w:sz w:val="20"/>
                <w:szCs w:val="20"/>
              </w:rPr>
              <w:t>r</w:t>
            </w:r>
            <w:r w:rsidR="00B84942" w:rsidRPr="007B5FBA">
              <w:rPr>
                <w:sz w:val="20"/>
                <w:szCs w:val="20"/>
              </w:rPr>
              <w:t xml:space="preserve">esearch </w:t>
            </w:r>
            <w:r>
              <w:rPr>
                <w:sz w:val="20"/>
                <w:szCs w:val="20"/>
              </w:rPr>
              <w:t>a</w:t>
            </w:r>
            <w:r w:rsidR="00B84942" w:rsidRPr="007B5FBA">
              <w:rPr>
                <w:sz w:val="20"/>
                <w:szCs w:val="20"/>
              </w:rPr>
              <w:t>ssociate</w:t>
            </w:r>
            <w:r>
              <w:rPr>
                <w:sz w:val="20"/>
                <w:szCs w:val="20"/>
              </w:rPr>
              <w:t>s</w:t>
            </w:r>
            <w:r w:rsidR="00B84942" w:rsidRPr="007B5FBA">
              <w:rPr>
                <w:sz w:val="20"/>
                <w:szCs w:val="20"/>
              </w:rPr>
              <w:t xml:space="preserve"> employed. </w:t>
            </w:r>
            <w:r>
              <w:rPr>
                <w:sz w:val="20"/>
                <w:szCs w:val="20"/>
              </w:rPr>
              <w:t>Seven</w:t>
            </w:r>
            <w:r w:rsidR="00B84942" w:rsidRPr="007B5FBA">
              <w:rPr>
                <w:sz w:val="20"/>
                <w:szCs w:val="20"/>
              </w:rPr>
              <w:t xml:space="preserve"> </w:t>
            </w:r>
            <w:r w:rsidRPr="007B5FBA">
              <w:rPr>
                <w:sz w:val="20"/>
                <w:szCs w:val="20"/>
              </w:rPr>
              <w:t xml:space="preserve">postgraduate research assistants </w:t>
            </w:r>
            <w:r w:rsidR="00B84942" w:rsidRPr="007B5FBA">
              <w:rPr>
                <w:sz w:val="20"/>
                <w:szCs w:val="20"/>
              </w:rPr>
              <w:t>recruited and all in line to complete</w:t>
            </w:r>
          </w:p>
        </w:tc>
      </w:tr>
      <w:tr w:rsidR="00B84942" w:rsidRPr="003E74FB">
        <w:trPr>
          <w:trHeight w:val="1001"/>
        </w:trPr>
        <w:tc>
          <w:tcPr>
            <w:tcW w:w="2268" w:type="dxa"/>
          </w:tcPr>
          <w:p w:rsidR="00B84942" w:rsidRPr="007B5FBA" w:rsidRDefault="00B84942" w:rsidP="00506E38">
            <w:pPr>
              <w:pStyle w:val="Belmana4normal"/>
              <w:jc w:val="left"/>
              <w:rPr>
                <w:sz w:val="20"/>
                <w:szCs w:val="20"/>
              </w:rPr>
            </w:pPr>
            <w:r w:rsidRPr="007B5FBA">
              <w:rPr>
                <w:sz w:val="20"/>
                <w:szCs w:val="20"/>
              </w:rPr>
              <w:t>University of Birmingham</w:t>
            </w:r>
          </w:p>
        </w:tc>
        <w:tc>
          <w:tcPr>
            <w:tcW w:w="2529" w:type="dxa"/>
          </w:tcPr>
          <w:p w:rsidR="00B84942" w:rsidRPr="007B5FBA" w:rsidRDefault="00B84942" w:rsidP="00506E38">
            <w:pPr>
              <w:pStyle w:val="Belmana4normal"/>
              <w:jc w:val="left"/>
              <w:rPr>
                <w:sz w:val="20"/>
                <w:szCs w:val="20"/>
              </w:rPr>
            </w:pPr>
            <w:r w:rsidRPr="007B5FBA">
              <w:rPr>
                <w:sz w:val="20"/>
                <w:szCs w:val="20"/>
              </w:rPr>
              <w:t>High Temperature Research Centre</w:t>
            </w:r>
          </w:p>
        </w:tc>
        <w:tc>
          <w:tcPr>
            <w:tcW w:w="4701" w:type="dxa"/>
          </w:tcPr>
          <w:p w:rsidR="00B84942" w:rsidRPr="007B5FBA" w:rsidRDefault="00B84942" w:rsidP="00506E38">
            <w:pPr>
              <w:pStyle w:val="Belmana4normal"/>
              <w:jc w:val="left"/>
              <w:rPr>
                <w:sz w:val="20"/>
                <w:szCs w:val="20"/>
              </w:rPr>
            </w:pPr>
            <w:r w:rsidRPr="007B5FBA">
              <w:rPr>
                <w:sz w:val="20"/>
                <w:szCs w:val="20"/>
              </w:rPr>
              <w:t>Offer</w:t>
            </w:r>
            <w:r w:rsidR="009E7DDD">
              <w:rPr>
                <w:sz w:val="20"/>
                <w:szCs w:val="20"/>
              </w:rPr>
              <w:t>s</w:t>
            </w:r>
            <w:r w:rsidRPr="007B5FBA">
              <w:rPr>
                <w:sz w:val="20"/>
                <w:szCs w:val="20"/>
              </w:rPr>
              <w:t xml:space="preserve"> PhD studentships, and these are already under way. Also offer</w:t>
            </w:r>
            <w:r w:rsidR="009E7DDD">
              <w:rPr>
                <w:sz w:val="20"/>
                <w:szCs w:val="20"/>
              </w:rPr>
              <w:t>s</w:t>
            </w:r>
            <w:r w:rsidRPr="007B5FBA">
              <w:rPr>
                <w:sz w:val="20"/>
                <w:szCs w:val="20"/>
              </w:rPr>
              <w:t xml:space="preserve"> apprenticeships. University </w:t>
            </w:r>
            <w:r w:rsidR="009E7DDD">
              <w:rPr>
                <w:sz w:val="20"/>
                <w:szCs w:val="20"/>
              </w:rPr>
              <w:t xml:space="preserve">has </w:t>
            </w:r>
            <w:r w:rsidRPr="007B5FBA">
              <w:rPr>
                <w:sz w:val="20"/>
                <w:szCs w:val="20"/>
              </w:rPr>
              <w:t>invested an additional £2M in academic research and related staff</w:t>
            </w:r>
          </w:p>
        </w:tc>
      </w:tr>
      <w:tr w:rsidR="00B84942" w:rsidRPr="003E74FB">
        <w:trPr>
          <w:trHeight w:val="2410"/>
        </w:trPr>
        <w:tc>
          <w:tcPr>
            <w:tcW w:w="2268" w:type="dxa"/>
          </w:tcPr>
          <w:p w:rsidR="00B84942" w:rsidRPr="007B5FBA" w:rsidRDefault="00B84942" w:rsidP="00506E38">
            <w:pPr>
              <w:pStyle w:val="Belmana4normal"/>
              <w:jc w:val="left"/>
              <w:rPr>
                <w:sz w:val="20"/>
                <w:szCs w:val="20"/>
              </w:rPr>
            </w:pPr>
            <w:r w:rsidRPr="007B5FBA">
              <w:rPr>
                <w:sz w:val="20"/>
                <w:szCs w:val="20"/>
              </w:rPr>
              <w:t>Queen’s University Belfast</w:t>
            </w:r>
          </w:p>
        </w:tc>
        <w:tc>
          <w:tcPr>
            <w:tcW w:w="2529" w:type="dxa"/>
          </w:tcPr>
          <w:p w:rsidR="00B84942" w:rsidRPr="007B5FBA" w:rsidRDefault="00B84942" w:rsidP="00506E38">
            <w:pPr>
              <w:pStyle w:val="Belmana4normal"/>
              <w:jc w:val="left"/>
              <w:rPr>
                <w:sz w:val="20"/>
                <w:szCs w:val="20"/>
              </w:rPr>
            </w:pPr>
            <w:r w:rsidRPr="007B5FBA">
              <w:rPr>
                <w:sz w:val="20"/>
                <w:szCs w:val="20"/>
              </w:rPr>
              <w:t>Institute of Health Sciences</w:t>
            </w:r>
          </w:p>
        </w:tc>
        <w:tc>
          <w:tcPr>
            <w:tcW w:w="4701" w:type="dxa"/>
          </w:tcPr>
          <w:p w:rsidR="00B84942" w:rsidRPr="007B5FBA" w:rsidRDefault="00B84942" w:rsidP="00506E38">
            <w:pPr>
              <w:pStyle w:val="Belmana4normal"/>
              <w:jc w:val="left"/>
              <w:rPr>
                <w:sz w:val="20"/>
                <w:szCs w:val="20"/>
              </w:rPr>
            </w:pPr>
            <w:r w:rsidRPr="007B5FBA">
              <w:rPr>
                <w:sz w:val="20"/>
                <w:szCs w:val="20"/>
              </w:rPr>
              <w:t>Recruitment of internationally recognised clinician scientists</w:t>
            </w:r>
            <w:r w:rsidR="00D9048E">
              <w:rPr>
                <w:sz w:val="20"/>
                <w:szCs w:val="20"/>
              </w:rPr>
              <w:t>:</w:t>
            </w:r>
            <w:r w:rsidRPr="007B5FBA">
              <w:rPr>
                <w:sz w:val="20"/>
                <w:szCs w:val="20"/>
              </w:rPr>
              <w:t xml:space="preserve"> </w:t>
            </w:r>
            <w:r w:rsidR="00D9048E">
              <w:rPr>
                <w:sz w:val="20"/>
                <w:szCs w:val="20"/>
              </w:rPr>
              <w:t>five</w:t>
            </w:r>
            <w:r w:rsidRPr="007B5FBA">
              <w:rPr>
                <w:sz w:val="20"/>
                <w:szCs w:val="20"/>
              </w:rPr>
              <w:t xml:space="preserve"> new staff.</w:t>
            </w:r>
          </w:p>
          <w:p w:rsidR="00B84942" w:rsidRPr="007B5FBA" w:rsidRDefault="00B84942" w:rsidP="00506E38">
            <w:pPr>
              <w:pStyle w:val="Belmana4normal"/>
              <w:jc w:val="left"/>
              <w:rPr>
                <w:sz w:val="20"/>
                <w:szCs w:val="20"/>
              </w:rPr>
            </w:pPr>
            <w:r w:rsidRPr="007B5FBA">
              <w:rPr>
                <w:sz w:val="20"/>
                <w:szCs w:val="20"/>
              </w:rPr>
              <w:t>Increased by 10 since 2012 and quantity of postgraduate students is currently 126.</w:t>
            </w:r>
          </w:p>
          <w:p w:rsidR="00B84942" w:rsidRPr="007B5FBA" w:rsidRDefault="00B84942" w:rsidP="00506E38">
            <w:pPr>
              <w:pStyle w:val="Belmana4normal"/>
              <w:jc w:val="left"/>
              <w:rPr>
                <w:sz w:val="20"/>
                <w:szCs w:val="20"/>
              </w:rPr>
            </w:pPr>
            <w:r w:rsidRPr="007B5FBA">
              <w:rPr>
                <w:sz w:val="20"/>
                <w:szCs w:val="20"/>
              </w:rPr>
              <w:t xml:space="preserve">Increased number of international postgraduate students </w:t>
            </w:r>
            <w:r w:rsidR="00D9048E">
              <w:rPr>
                <w:sz w:val="20"/>
                <w:szCs w:val="20"/>
              </w:rPr>
              <w:t xml:space="preserve">by </w:t>
            </w:r>
            <w:r w:rsidRPr="007B5FBA">
              <w:rPr>
                <w:sz w:val="20"/>
                <w:szCs w:val="20"/>
              </w:rPr>
              <w:t>9</w:t>
            </w:r>
          </w:p>
          <w:p w:rsidR="00674BC0" w:rsidRDefault="00B84942" w:rsidP="00CA5BC4">
            <w:pPr>
              <w:pStyle w:val="Belmana4normal"/>
              <w:jc w:val="left"/>
              <w:rPr>
                <w:sz w:val="20"/>
                <w:szCs w:val="20"/>
              </w:rPr>
            </w:pPr>
            <w:r w:rsidRPr="007B5FBA">
              <w:rPr>
                <w:sz w:val="20"/>
                <w:szCs w:val="20"/>
              </w:rPr>
              <w:t xml:space="preserve">Early indication that facilities attract better quality students by their prior academic qualifications. Too early to </w:t>
            </w:r>
            <w:r w:rsidR="00D9048E">
              <w:rPr>
                <w:sz w:val="20"/>
                <w:szCs w:val="20"/>
              </w:rPr>
              <w:t xml:space="preserve">measure </w:t>
            </w:r>
            <w:r w:rsidRPr="007B5FBA">
              <w:rPr>
                <w:sz w:val="20"/>
                <w:szCs w:val="20"/>
              </w:rPr>
              <w:t>their quality from their research output yet</w:t>
            </w:r>
          </w:p>
        </w:tc>
      </w:tr>
      <w:tr w:rsidR="00B84942" w:rsidRPr="003E74FB">
        <w:trPr>
          <w:trHeight w:val="1267"/>
        </w:trPr>
        <w:tc>
          <w:tcPr>
            <w:tcW w:w="2268" w:type="dxa"/>
          </w:tcPr>
          <w:p w:rsidR="00B84942" w:rsidRPr="007B5FBA" w:rsidRDefault="00B84942" w:rsidP="00506E38">
            <w:pPr>
              <w:pStyle w:val="Belmana4normal"/>
              <w:jc w:val="left"/>
              <w:rPr>
                <w:sz w:val="20"/>
                <w:szCs w:val="20"/>
              </w:rPr>
            </w:pPr>
            <w:r w:rsidRPr="007B5FBA">
              <w:rPr>
                <w:sz w:val="20"/>
                <w:szCs w:val="20"/>
              </w:rPr>
              <w:t>University of Brunel</w:t>
            </w:r>
          </w:p>
        </w:tc>
        <w:tc>
          <w:tcPr>
            <w:tcW w:w="2529" w:type="dxa"/>
          </w:tcPr>
          <w:p w:rsidR="00B84942" w:rsidRPr="007B5FBA" w:rsidRDefault="00B84942" w:rsidP="00506E38">
            <w:pPr>
              <w:pStyle w:val="Belmana4normal"/>
              <w:jc w:val="left"/>
              <w:rPr>
                <w:sz w:val="20"/>
                <w:szCs w:val="20"/>
              </w:rPr>
            </w:pPr>
            <w:r w:rsidRPr="007B5FBA">
              <w:rPr>
                <w:sz w:val="20"/>
                <w:szCs w:val="20"/>
              </w:rPr>
              <w:t>National Research Centre for Structural Integrity</w:t>
            </w:r>
          </w:p>
        </w:tc>
        <w:tc>
          <w:tcPr>
            <w:tcW w:w="4701" w:type="dxa"/>
          </w:tcPr>
          <w:p w:rsidR="00B84942" w:rsidRPr="007B5FBA" w:rsidRDefault="00B84942" w:rsidP="00506E38">
            <w:pPr>
              <w:pStyle w:val="Belmana4normal"/>
              <w:jc w:val="left"/>
              <w:rPr>
                <w:sz w:val="20"/>
                <w:szCs w:val="20"/>
              </w:rPr>
            </w:pPr>
            <w:r w:rsidRPr="007B5FBA">
              <w:rPr>
                <w:sz w:val="20"/>
                <w:szCs w:val="20"/>
              </w:rPr>
              <w:t>To date 41 students have completed or are currently completing the MSc course, over 80% of whom were sponsored by industry for their major project. 83 NSIRC PhD students currently enrolled; 26 studentships being advertised</w:t>
            </w:r>
          </w:p>
        </w:tc>
      </w:tr>
      <w:tr w:rsidR="00B84942" w:rsidRPr="003E74FB">
        <w:trPr>
          <w:trHeight w:val="846"/>
        </w:trPr>
        <w:tc>
          <w:tcPr>
            <w:tcW w:w="2268" w:type="dxa"/>
            <w:tcBorders>
              <w:bottom w:val="single" w:sz="4" w:space="0" w:color="993365"/>
            </w:tcBorders>
          </w:tcPr>
          <w:p w:rsidR="00B84942" w:rsidRPr="007B5FBA" w:rsidRDefault="00B84942" w:rsidP="00506E38">
            <w:pPr>
              <w:pStyle w:val="Belmana4normal"/>
              <w:jc w:val="left"/>
              <w:rPr>
                <w:sz w:val="20"/>
                <w:szCs w:val="20"/>
              </w:rPr>
            </w:pPr>
            <w:r w:rsidRPr="007B5FBA">
              <w:rPr>
                <w:sz w:val="20"/>
                <w:szCs w:val="20"/>
              </w:rPr>
              <w:t>University of Southampton</w:t>
            </w:r>
          </w:p>
        </w:tc>
        <w:tc>
          <w:tcPr>
            <w:tcW w:w="2529" w:type="dxa"/>
            <w:tcBorders>
              <w:bottom w:val="single" w:sz="4" w:space="0" w:color="993365"/>
            </w:tcBorders>
          </w:tcPr>
          <w:p w:rsidR="00B84942" w:rsidRPr="007B5FBA" w:rsidRDefault="00B84942" w:rsidP="00506E38">
            <w:pPr>
              <w:pStyle w:val="Belmana4normal"/>
              <w:jc w:val="left"/>
              <w:rPr>
                <w:sz w:val="20"/>
                <w:szCs w:val="20"/>
              </w:rPr>
            </w:pPr>
            <w:r w:rsidRPr="007B5FBA">
              <w:rPr>
                <w:sz w:val="20"/>
                <w:szCs w:val="20"/>
              </w:rPr>
              <w:t>Experimentation Facilities in Engineering Science</w:t>
            </w:r>
          </w:p>
        </w:tc>
        <w:tc>
          <w:tcPr>
            <w:tcW w:w="4701" w:type="dxa"/>
            <w:tcBorders>
              <w:bottom w:val="single" w:sz="4" w:space="0" w:color="993365"/>
            </w:tcBorders>
          </w:tcPr>
          <w:p w:rsidR="00674BC0" w:rsidRDefault="00B84942" w:rsidP="00CA5BC4">
            <w:pPr>
              <w:pStyle w:val="Belmana4normal"/>
              <w:jc w:val="left"/>
              <w:rPr>
                <w:sz w:val="20"/>
                <w:szCs w:val="20"/>
              </w:rPr>
            </w:pPr>
            <w:r w:rsidRPr="007B5FBA">
              <w:rPr>
                <w:sz w:val="20"/>
                <w:szCs w:val="20"/>
              </w:rPr>
              <w:t xml:space="preserve">New </w:t>
            </w:r>
            <w:r w:rsidR="00D9048E">
              <w:rPr>
                <w:sz w:val="20"/>
                <w:szCs w:val="20"/>
              </w:rPr>
              <w:t>d</w:t>
            </w:r>
            <w:r w:rsidRPr="007B5FBA">
              <w:rPr>
                <w:sz w:val="20"/>
                <w:szCs w:val="20"/>
              </w:rPr>
              <w:t xml:space="preserve">octoral training cohorts with industry sponsorship over next </w:t>
            </w:r>
            <w:r w:rsidR="00D9048E">
              <w:rPr>
                <w:sz w:val="20"/>
                <w:szCs w:val="20"/>
              </w:rPr>
              <w:t xml:space="preserve">five </w:t>
            </w:r>
            <w:r w:rsidRPr="007B5FBA">
              <w:rPr>
                <w:sz w:val="20"/>
                <w:szCs w:val="20"/>
              </w:rPr>
              <w:t>years with focus on impact on UK GDP</w:t>
            </w:r>
          </w:p>
        </w:tc>
      </w:tr>
    </w:tbl>
    <w:p w:rsidR="00B84942" w:rsidRPr="008C2E15" w:rsidRDefault="00B84942" w:rsidP="00B84942">
      <w:pPr>
        <w:pStyle w:val="Belmana4normal"/>
        <w:rPr>
          <w:sz w:val="16"/>
        </w:rPr>
      </w:pPr>
      <w:r w:rsidRPr="008C2E15">
        <w:rPr>
          <w:sz w:val="16"/>
        </w:rPr>
        <w:t>Source: Project Completion Reports</w:t>
      </w:r>
    </w:p>
    <w:p w:rsidR="00B84942" w:rsidRPr="008C2E15" w:rsidRDefault="00B84942" w:rsidP="00B84942">
      <w:pPr>
        <w:pStyle w:val="Belmana4normal"/>
      </w:pPr>
    </w:p>
    <w:p w:rsidR="00DD068C" w:rsidRDefault="00DD068C">
      <w:pPr>
        <w:rPr>
          <w:rFonts w:ascii="Arial" w:hAnsi="Arial" w:cs="Arial"/>
        </w:rPr>
      </w:pPr>
      <w:r>
        <w:br w:type="page"/>
      </w:r>
    </w:p>
    <w:p w:rsidR="005F4A25" w:rsidRPr="008C2E15" w:rsidRDefault="005F4A25" w:rsidP="00D146CA">
      <w:pPr>
        <w:pStyle w:val="BelmanaHeadNumbered"/>
      </w:pPr>
      <w:bookmarkStart w:id="86" w:name="_Toc514831668"/>
      <w:bookmarkStart w:id="87" w:name="_Toc499548031"/>
      <w:r w:rsidRPr="00D9048E">
        <w:t>C</w:t>
      </w:r>
      <w:r>
        <w:t>onclusion</w:t>
      </w:r>
      <w:bookmarkEnd w:id="86"/>
    </w:p>
    <w:p w:rsidR="00CA2577" w:rsidRPr="008C2E15" w:rsidRDefault="00CA2577" w:rsidP="00CA2577">
      <w:pPr>
        <w:pStyle w:val="Belmana2"/>
      </w:pPr>
      <w:bookmarkStart w:id="88" w:name="_Toc514831669"/>
      <w:r w:rsidRPr="008C2E15">
        <w:t xml:space="preserve">Emerging </w:t>
      </w:r>
      <w:r w:rsidR="009B5623">
        <w:t>o</w:t>
      </w:r>
      <w:r w:rsidRPr="008C2E15">
        <w:t>utputs</w:t>
      </w:r>
      <w:bookmarkEnd w:id="88"/>
      <w:r w:rsidRPr="008C2E15">
        <w:t xml:space="preserve"> </w:t>
      </w:r>
    </w:p>
    <w:p w:rsidR="00CA2577" w:rsidRPr="008C2E15" w:rsidRDefault="00CA2577" w:rsidP="00CA2577">
      <w:pPr>
        <w:pStyle w:val="Belmananormal"/>
        <w:numPr>
          <w:ilvl w:val="0"/>
          <w:numId w:val="26"/>
        </w:numPr>
      </w:pPr>
      <w:r w:rsidRPr="008C2E15">
        <w:t>This re</w:t>
      </w:r>
      <w:r w:rsidR="00F91368">
        <w:t>port</w:t>
      </w:r>
      <w:r w:rsidRPr="008C2E15">
        <w:t xml:space="preserve"> represents an early-stage evaluation of the UKRPIF and</w:t>
      </w:r>
      <w:r w:rsidR="009B5623">
        <w:t>,</w:t>
      </w:r>
      <w:r w:rsidRPr="008C2E15">
        <w:t xml:space="preserve"> as such, it should be recognised that many of the outputs are still emerging. Nevertheless, </w:t>
      </w:r>
      <w:r w:rsidR="00985407">
        <w:t>the report shows a</w:t>
      </w:r>
      <w:r w:rsidRPr="008C2E15">
        <w:t xml:space="preserve"> promising early picture for the UKRPIF in terms of outcomes.</w:t>
      </w:r>
    </w:p>
    <w:p w:rsidR="00CA2577" w:rsidRPr="008C2E15" w:rsidRDefault="00CA2577" w:rsidP="00CA2577">
      <w:pPr>
        <w:pStyle w:val="Belmananormal"/>
        <w:spacing w:after="60"/>
      </w:pPr>
      <w:r w:rsidRPr="008C2E15">
        <w:t>The first two UKRPIF objectives of enhancing research facilities in HEIs undertaking world-leading research and encouraging strategic partnerships between HEIs and other organisations active in research are being met in many ways:</w:t>
      </w:r>
    </w:p>
    <w:p w:rsidR="00CA2577" w:rsidRPr="008C2E15" w:rsidRDefault="009B5623" w:rsidP="00CA2577">
      <w:pPr>
        <w:pStyle w:val="Belmana4normal"/>
        <w:numPr>
          <w:ilvl w:val="0"/>
          <w:numId w:val="6"/>
        </w:numPr>
        <w:spacing w:after="60"/>
      </w:pPr>
      <w:r>
        <w:t xml:space="preserve">Fifteen </w:t>
      </w:r>
      <w:r w:rsidR="00CA2577" w:rsidRPr="008C2E15">
        <w:t xml:space="preserve">funded projects </w:t>
      </w:r>
      <w:r>
        <w:t xml:space="preserve">have been complete for </w:t>
      </w:r>
      <w:r w:rsidR="00CA2577" w:rsidRPr="008C2E15">
        <w:t>at least a year with innovative research already underway</w:t>
      </w:r>
      <w:r>
        <w:t>.</w:t>
      </w:r>
    </w:p>
    <w:p w:rsidR="00CA2577" w:rsidRPr="008C2E15" w:rsidRDefault="00CA2577" w:rsidP="00CA2577">
      <w:pPr>
        <w:pStyle w:val="Belmana4normal"/>
        <w:numPr>
          <w:ilvl w:val="0"/>
          <w:numId w:val="6"/>
        </w:numPr>
        <w:spacing w:after="60"/>
      </w:pPr>
      <w:r>
        <w:t>O</w:t>
      </w:r>
      <w:r w:rsidRPr="008C2E15">
        <w:t xml:space="preserve">f those </w:t>
      </w:r>
      <w:r>
        <w:t>15</w:t>
      </w:r>
      <w:r w:rsidRPr="008C2E15">
        <w:t xml:space="preserve">, nine state an impact in terms of more collaborations with other </w:t>
      </w:r>
      <w:r w:rsidR="009B5623">
        <w:t xml:space="preserve">HEIs </w:t>
      </w:r>
      <w:r w:rsidRPr="008C2E15">
        <w:t xml:space="preserve">and/or industry. These include arrangements to allow the free movement of researchers between HEIs, co-location of multinational businesses or the use of the newly completed </w:t>
      </w:r>
      <w:r w:rsidR="00B12DFE">
        <w:t>facilities</w:t>
      </w:r>
      <w:r w:rsidRPr="008C2E15">
        <w:t xml:space="preserve"> by private companies.</w:t>
      </w:r>
    </w:p>
    <w:p w:rsidR="00CA2577" w:rsidRPr="008C2E15" w:rsidRDefault="00CA2577" w:rsidP="00CA2577">
      <w:pPr>
        <w:pStyle w:val="Belmana4normal"/>
        <w:numPr>
          <w:ilvl w:val="0"/>
          <w:numId w:val="6"/>
        </w:numPr>
      </w:pPr>
      <w:r w:rsidRPr="008C2E15">
        <w:t>The third objective of stimulating investment in higher education research is also demonstrated by the additional co-investment leveraged to the project</w:t>
      </w:r>
      <w:r w:rsidR="009B5623">
        <w:t>s</w:t>
      </w:r>
      <w:r w:rsidRPr="008C2E15">
        <w:t xml:space="preserve"> from private and public funding sources.</w:t>
      </w:r>
    </w:p>
    <w:p w:rsidR="00CA2577" w:rsidRDefault="00CA2577" w:rsidP="00CA2577">
      <w:pPr>
        <w:pStyle w:val="Belmananormal"/>
      </w:pPr>
      <w:r w:rsidRPr="008C2E15">
        <w:t>The monitoring processes that are in place confirm that the co-investment is on track and that projects are not at risk of failing to meet the double match</w:t>
      </w:r>
      <w:r w:rsidR="009B5623">
        <w:t>-</w:t>
      </w:r>
      <w:r w:rsidRPr="008C2E15">
        <w:t>funding criteria to date. Another promising development is that twelve of the projects have lever</w:t>
      </w:r>
      <w:r>
        <w:t>aged</w:t>
      </w:r>
      <w:r w:rsidRPr="008C2E15">
        <w:t xml:space="preserve"> co-investment beyond what was stipulated in their original bids either from their original co-investors or new sources. The important matter of the “additionality” of this investment, as opposed to diverting resources from other research activity, cannot, however, be analysed through recourse to monitoring data alone.  </w:t>
      </w:r>
    </w:p>
    <w:p w:rsidR="00CA2577" w:rsidRPr="008C2E15" w:rsidRDefault="00CA2577" w:rsidP="00CA2577">
      <w:pPr>
        <w:pStyle w:val="Belmananormal"/>
      </w:pPr>
      <w:r w:rsidRPr="008C2E15">
        <w:t>Surveys and interviews shed light on the issue of additionality although they have limitations</w:t>
      </w:r>
      <w:r>
        <w:t>, and</w:t>
      </w:r>
      <w:r w:rsidRPr="008C2E15">
        <w:t xml:space="preserve"> project leaders may be able to provide convincing cases as to why their UKRPIF sponsored projects are additional.</w:t>
      </w:r>
      <w:r>
        <w:t xml:space="preserve"> The interviews undertaken for the case studies highlighted the importance of the </w:t>
      </w:r>
      <w:r w:rsidR="00985407">
        <w:t>structure of UKRPIF, a fund focusing on capital investment and expecting significant co-investment. This has meant HEIs have focused their thinking around how to enhance collaboration, whether to restructure the way research us undertaken and ways to optimise equipment within the new medium-scale facilities</w:t>
      </w:r>
      <w:r>
        <w:t xml:space="preserve">. </w:t>
      </w:r>
    </w:p>
    <w:p w:rsidR="00CA2577" w:rsidRPr="008C2E15" w:rsidRDefault="00CA2577" w:rsidP="00CA2577">
      <w:pPr>
        <w:pStyle w:val="Belmananormal"/>
      </w:pPr>
      <w:r w:rsidRPr="008C2E15">
        <w:t xml:space="preserve">It is perhaps too early to confirm if UKRPIF-supported projects are meeting the fourth objective, that of strengthening the research base that contributes to economic growth. What can be said is that the UKRPIF has maintained a good regional </w:t>
      </w:r>
      <w:r w:rsidR="009B5623">
        <w:t xml:space="preserve">spread </w:t>
      </w:r>
      <w:r w:rsidRPr="008C2E15">
        <w:t>(</w:t>
      </w:r>
      <w:r w:rsidR="009B5623">
        <w:t xml:space="preserve">although </w:t>
      </w:r>
      <w:r w:rsidRPr="008C2E15">
        <w:t>North East England is one notable omission) and academic spread which could lead to balanced growth in the medium- to long-term as well meeting national strategic priorities. Further, there are promising and measurable signs from the technological advancements underway which can be seen in additional human capital formation as indicated by the rise in student numbers, increased number of collaborations between universities and industry which may stimulate new commercial ideas, start-ups in the process of establishing themselves and SME engagement and technological absorption from several firms.</w:t>
      </w:r>
    </w:p>
    <w:p w:rsidR="00CA2577" w:rsidRDefault="00CA2577" w:rsidP="00CA2577">
      <w:pPr>
        <w:pStyle w:val="Belmananormal"/>
      </w:pPr>
      <w:r w:rsidRPr="008C2E15">
        <w:t>Any future economic evaluation of UKRPIF should seek to confirm that this early promise is converted into a lasting economic impact.</w:t>
      </w:r>
      <w:r>
        <w:t xml:space="preserve"> </w:t>
      </w:r>
      <w:r w:rsidR="009B5623">
        <w:t>S</w:t>
      </w:r>
      <w:r>
        <w:t xml:space="preserve">ome recommendations </w:t>
      </w:r>
      <w:r w:rsidR="009B5623">
        <w:t xml:space="preserve">are made below </w:t>
      </w:r>
      <w:r>
        <w:t>about where an evaluation approach can build on existing approaches to evaluating investments into research facilities.</w:t>
      </w:r>
    </w:p>
    <w:p w:rsidR="009E7DDD" w:rsidRPr="00DA060C" w:rsidRDefault="009E7DDD" w:rsidP="009E7DDD">
      <w:pPr>
        <w:pStyle w:val="Belmana2"/>
      </w:pPr>
      <w:bookmarkStart w:id="89" w:name="_Toc514831670"/>
      <w:r w:rsidRPr="00DA060C">
        <w:t xml:space="preserve">Evaluation </w:t>
      </w:r>
      <w:r w:rsidR="009B5623">
        <w:t>g</w:t>
      </w:r>
      <w:r w:rsidRPr="00DA060C">
        <w:t xml:space="preserve">oing </w:t>
      </w:r>
      <w:r w:rsidR="009B5623">
        <w:t>f</w:t>
      </w:r>
      <w:r w:rsidRPr="00DA060C">
        <w:t>orward</w:t>
      </w:r>
      <w:bookmarkEnd w:id="89"/>
    </w:p>
    <w:p w:rsidR="009E7DDD" w:rsidRPr="00DA060C" w:rsidRDefault="009E7DDD" w:rsidP="009E7DDD">
      <w:pPr>
        <w:pStyle w:val="Belmananormal"/>
      </w:pPr>
      <w:r w:rsidRPr="00DA060C">
        <w:t xml:space="preserve">At the stage of </w:t>
      </w:r>
      <w:r w:rsidR="00497874">
        <w:t xml:space="preserve">this </w:t>
      </w:r>
      <w:r w:rsidRPr="00DA060C">
        <w:t xml:space="preserve">interim evaluation, which was completed </w:t>
      </w:r>
      <w:r w:rsidR="009B5623">
        <w:t xml:space="preserve">in </w:t>
      </w:r>
      <w:r w:rsidRPr="00DA060C">
        <w:t>November 2017, it was not possible to gather hard metrics to address additionality and deadweight. Review of existing reporting, the Research Excellence Framework</w:t>
      </w:r>
      <w:r w:rsidR="00FF7256">
        <w:t xml:space="preserve"> (REF)</w:t>
      </w:r>
      <w:r w:rsidRPr="00DA060C">
        <w:t>, milestones and deliverables presented in bids and completion report</w:t>
      </w:r>
      <w:r w:rsidR="00497874">
        <w:t>s</w:t>
      </w:r>
      <w:r w:rsidRPr="00DA060C">
        <w:t>, and face</w:t>
      </w:r>
      <w:r w:rsidR="00497874">
        <w:t>-</w:t>
      </w:r>
      <w:r w:rsidRPr="00DA060C">
        <w:t>to</w:t>
      </w:r>
      <w:r w:rsidR="00497874">
        <w:t>-</w:t>
      </w:r>
      <w:r w:rsidRPr="00DA060C">
        <w:t>face consultation</w:t>
      </w:r>
      <w:r w:rsidR="00497874">
        <w:t>s</w:t>
      </w:r>
      <w:r w:rsidRPr="00DA060C">
        <w:t xml:space="preserve"> with experts gave rise to some key recommendations to be applied when evaluating the programme in the future.</w:t>
      </w:r>
    </w:p>
    <w:p w:rsidR="00775875" w:rsidRPr="00DA060C" w:rsidRDefault="00775875" w:rsidP="00CA5BC4">
      <w:pPr>
        <w:pStyle w:val="BelmanaCS3"/>
      </w:pPr>
      <w:bookmarkStart w:id="90" w:name="_Toc514831671"/>
      <w:r w:rsidRPr="00DA060C">
        <w:t>Qua</w:t>
      </w:r>
      <w:r>
        <w:t>nti</w:t>
      </w:r>
      <w:r w:rsidRPr="00DA060C">
        <w:t>tative</w:t>
      </w:r>
      <w:bookmarkEnd w:id="90"/>
      <w:r w:rsidRPr="00DA060C">
        <w:t xml:space="preserve"> </w:t>
      </w:r>
    </w:p>
    <w:p w:rsidR="009E7DDD" w:rsidRPr="00DA060C" w:rsidRDefault="009E7DDD" w:rsidP="009E7DDD">
      <w:pPr>
        <w:pStyle w:val="Belmananormal"/>
        <w:spacing w:after="60"/>
      </w:pPr>
      <w:r w:rsidRPr="00DA060C">
        <w:t>This research has a quantitative strand and the future data collection and evaluation options would include:</w:t>
      </w:r>
    </w:p>
    <w:p w:rsidR="009E7DDD" w:rsidRPr="00DA060C" w:rsidRDefault="009E7DDD" w:rsidP="009E7DDD">
      <w:pPr>
        <w:pStyle w:val="Belmananormal"/>
        <w:numPr>
          <w:ilvl w:val="0"/>
          <w:numId w:val="13"/>
        </w:numPr>
        <w:spacing w:after="60"/>
      </w:pPr>
      <w:r w:rsidRPr="00DA060C">
        <w:t>A deadweight assessment of the UKRPIF and its associated activities;</w:t>
      </w:r>
    </w:p>
    <w:p w:rsidR="009E7DDD" w:rsidRPr="00DA060C" w:rsidRDefault="009E7DDD" w:rsidP="009E7DDD">
      <w:pPr>
        <w:pStyle w:val="Belmananormal"/>
        <w:numPr>
          <w:ilvl w:val="0"/>
          <w:numId w:val="13"/>
        </w:numPr>
        <w:spacing w:after="60"/>
      </w:pPr>
      <w:r w:rsidRPr="00DA060C">
        <w:t>An assessment of displacement generated by the investment;</w:t>
      </w:r>
    </w:p>
    <w:p w:rsidR="009E7DDD" w:rsidRPr="00DA060C" w:rsidRDefault="00775875" w:rsidP="009E7DDD">
      <w:pPr>
        <w:pStyle w:val="Belmananormal"/>
        <w:numPr>
          <w:ilvl w:val="0"/>
          <w:numId w:val="13"/>
        </w:numPr>
        <w:spacing w:after="60"/>
      </w:pPr>
      <w:r>
        <w:t>An estimate of</w:t>
      </w:r>
      <w:r w:rsidR="009E7DDD" w:rsidRPr="00DA060C">
        <w:t xml:space="preserve"> the number of jobs created and/or safeguarded in the HEIs when the UKRPIF is complete. This can be incorporated into project reporting, and would provide a baseline;</w:t>
      </w:r>
    </w:p>
    <w:p w:rsidR="009E7DDD" w:rsidRPr="00DA060C" w:rsidRDefault="009E7DDD" w:rsidP="009E7DDD">
      <w:pPr>
        <w:pStyle w:val="Belmananormal"/>
        <w:numPr>
          <w:ilvl w:val="0"/>
          <w:numId w:val="13"/>
        </w:numPr>
        <w:spacing w:after="60"/>
      </w:pPr>
      <w:r w:rsidRPr="00DA060C">
        <w:t xml:space="preserve">Linking companies benefiting directly from the </w:t>
      </w:r>
      <w:r w:rsidR="00775875" w:rsidRPr="00DA060C">
        <w:t xml:space="preserve">research infrastructure </w:t>
      </w:r>
      <w:r w:rsidRPr="00DA060C">
        <w:t>to administrative data such as the Business Structure Database to assess growth;</w:t>
      </w:r>
    </w:p>
    <w:p w:rsidR="009E7DDD" w:rsidRPr="00DA060C" w:rsidRDefault="009E7DDD" w:rsidP="009E7DDD">
      <w:pPr>
        <w:pStyle w:val="Belmananormal"/>
        <w:numPr>
          <w:ilvl w:val="0"/>
          <w:numId w:val="13"/>
        </w:numPr>
      </w:pPr>
      <w:r w:rsidRPr="00DA060C">
        <w:t>Conduct</w:t>
      </w:r>
      <w:r w:rsidR="00AD1583">
        <w:t>ing</w:t>
      </w:r>
      <w:r w:rsidRPr="00DA060C">
        <w:t xml:space="preserve"> a multiplier analysis to estimate the impact on the local and national economy.</w:t>
      </w:r>
    </w:p>
    <w:p w:rsidR="009E7DDD" w:rsidRPr="00DA060C" w:rsidRDefault="009E7DDD" w:rsidP="00CA5BC4">
      <w:pPr>
        <w:pStyle w:val="BelmanaCS3"/>
      </w:pPr>
      <w:bookmarkStart w:id="91" w:name="_Toc514831672"/>
      <w:r w:rsidRPr="00DA060C">
        <w:t>Qualitative</w:t>
      </w:r>
      <w:bookmarkEnd w:id="91"/>
      <w:r w:rsidRPr="00DA060C">
        <w:t xml:space="preserve"> </w:t>
      </w:r>
    </w:p>
    <w:p w:rsidR="00674BC0" w:rsidRDefault="009E7DDD" w:rsidP="00CA5BC4">
      <w:pPr>
        <w:pStyle w:val="Belmananormal"/>
        <w:numPr>
          <w:ilvl w:val="0"/>
          <w:numId w:val="13"/>
        </w:numPr>
        <w:spacing w:after="60"/>
        <w:ind w:left="714" w:hanging="357"/>
      </w:pPr>
      <w:r w:rsidRPr="00DA060C">
        <w:t>Survey</w:t>
      </w:r>
      <w:r w:rsidR="00AD1583">
        <w:t>ing</w:t>
      </w:r>
      <w:r w:rsidRPr="00DA060C">
        <w:t xml:space="preserve"> end-users on their use of the facilities and the added value of this access to their research;</w:t>
      </w:r>
    </w:p>
    <w:p w:rsidR="00674BC0" w:rsidRDefault="009E7DDD" w:rsidP="00CA5BC4">
      <w:pPr>
        <w:pStyle w:val="Belmananormal"/>
        <w:numPr>
          <w:ilvl w:val="0"/>
          <w:numId w:val="13"/>
        </w:numPr>
        <w:spacing w:after="60"/>
        <w:ind w:left="714" w:hanging="357"/>
      </w:pPr>
      <w:r w:rsidRPr="00DA060C">
        <w:t>Continu</w:t>
      </w:r>
      <w:r w:rsidR="00AD1583">
        <w:t>ing</w:t>
      </w:r>
      <w:r w:rsidRPr="00DA060C">
        <w:t xml:space="preserve"> the case study approach, following up on the case studies sampled as part of the interim evaluation and sampling an additional selection that have completed development. This phased longitudinal approach will allow researchers to follow up on early findings, trouble-shoot monitoring practices, and re-visit areas of impact measurement that were deemed complex or too early in 2017;</w:t>
      </w:r>
    </w:p>
    <w:p w:rsidR="00674BC0" w:rsidRDefault="009E7DDD" w:rsidP="00CA5BC4">
      <w:pPr>
        <w:pStyle w:val="Belmananormal"/>
        <w:numPr>
          <w:ilvl w:val="0"/>
          <w:numId w:val="13"/>
        </w:numPr>
        <w:spacing w:after="60"/>
        <w:ind w:left="714" w:hanging="357"/>
      </w:pPr>
      <w:r w:rsidRPr="004F0736">
        <w:t>Use the survey vehic</w:t>
      </w:r>
      <w:r w:rsidRPr="00435BD1">
        <w:t>le to map networks and clusters around the developments. This should take into consideration intra-university, inter-university, industry-university and industry-industry collaboration.</w:t>
      </w:r>
    </w:p>
    <w:p w:rsidR="009E7DDD" w:rsidRPr="003D1B9A" w:rsidRDefault="009E7DDD" w:rsidP="009E7DDD">
      <w:pPr>
        <w:pStyle w:val="Belmana2"/>
      </w:pPr>
      <w:bookmarkStart w:id="92" w:name="_Toc514831673"/>
      <w:r w:rsidRPr="003D1B9A">
        <w:t xml:space="preserve">Lessons and </w:t>
      </w:r>
      <w:r w:rsidR="00775875">
        <w:t>r</w:t>
      </w:r>
      <w:r w:rsidRPr="003D1B9A">
        <w:t>eflections</w:t>
      </w:r>
      <w:bookmarkEnd w:id="92"/>
    </w:p>
    <w:p w:rsidR="009E7DDD" w:rsidRPr="003D1B9A" w:rsidRDefault="009E7DDD" w:rsidP="009E7DDD">
      <w:pPr>
        <w:pStyle w:val="Belmananormal"/>
        <w:spacing w:after="60"/>
      </w:pPr>
      <w:r w:rsidRPr="003D1B9A">
        <w:t xml:space="preserve">It is at this stage too early to reliably measure additional outputs and wider impacts due to the limited number of completed projects and the early stage of ones that have been completed. However, the evaluation did highlight some lessons to be considered going forward: </w:t>
      </w:r>
    </w:p>
    <w:p w:rsidR="009E7DDD" w:rsidRPr="003D1B9A" w:rsidRDefault="009E7DDD" w:rsidP="009E7DDD">
      <w:pPr>
        <w:pStyle w:val="Belmananormal"/>
        <w:numPr>
          <w:ilvl w:val="0"/>
          <w:numId w:val="10"/>
        </w:numPr>
        <w:spacing w:after="60"/>
      </w:pPr>
      <w:r w:rsidRPr="003D1B9A">
        <w:t>The standard format for returns was not always followed by projects. This made it challenging to analyse monitoring data and get an overview of the projects. In the future, it would be helpful to enforce the standard template;</w:t>
      </w:r>
    </w:p>
    <w:p w:rsidR="009E7DDD" w:rsidRPr="003D1B9A" w:rsidRDefault="009E7DDD" w:rsidP="009E7DDD">
      <w:pPr>
        <w:pStyle w:val="Belmananormal"/>
        <w:numPr>
          <w:ilvl w:val="0"/>
          <w:numId w:val="10"/>
        </w:numPr>
        <w:spacing w:after="60"/>
      </w:pPr>
      <w:r w:rsidRPr="003D1B9A">
        <w:t>The nature and extent of the co-investment from private and charitable partners is a useful initial benefit measure, but understanding whether such funding would have been received without UKRPIF remains important to determine additionality. Keeping consistent measurement of committed co-investment, and comparing the amount to the initial bid</w:t>
      </w:r>
      <w:r w:rsidR="00D4729B">
        <w:t>,</w:t>
      </w:r>
      <w:r w:rsidRPr="003D1B9A">
        <w:t xml:space="preserve"> may help to indicate additionality;</w:t>
      </w:r>
    </w:p>
    <w:p w:rsidR="009E7DDD" w:rsidRPr="003D1B9A" w:rsidRDefault="009E7DDD" w:rsidP="009E7DDD">
      <w:pPr>
        <w:pStyle w:val="Belmananormal"/>
        <w:numPr>
          <w:ilvl w:val="0"/>
          <w:numId w:val="10"/>
        </w:numPr>
      </w:pPr>
      <w:r w:rsidRPr="003D1B9A">
        <w:t>An important aspect of the interventions is the strategic networks enabled through the application process and collaborative models generated. To fully capture this added value is not possible solely using MI, and qualitative data collection either through in-house monitoring activities or case studies in any later full evaluation is recommended.</w:t>
      </w:r>
    </w:p>
    <w:p w:rsidR="005F4A25" w:rsidRDefault="005F4A25" w:rsidP="005F4A25">
      <w:pPr>
        <w:pStyle w:val="Belmana2"/>
      </w:pPr>
      <w:bookmarkStart w:id="93" w:name="_Toc514831674"/>
      <w:r>
        <w:t xml:space="preserve">An </w:t>
      </w:r>
      <w:r w:rsidR="00D4729B">
        <w:t>a</w:t>
      </w:r>
      <w:r>
        <w:t xml:space="preserve">pproach to </w:t>
      </w:r>
      <w:r w:rsidR="00D4729B">
        <w:t>f</w:t>
      </w:r>
      <w:r>
        <w:t xml:space="preserve">uture </w:t>
      </w:r>
      <w:r w:rsidR="00D4729B">
        <w:t>e</w:t>
      </w:r>
      <w:r>
        <w:t>valuations of UKRPIF</w:t>
      </w:r>
      <w:bookmarkEnd w:id="93"/>
    </w:p>
    <w:p w:rsidR="005F4A25" w:rsidRDefault="005F4A25" w:rsidP="005F4A25">
      <w:pPr>
        <w:pStyle w:val="Belmananormal"/>
      </w:pPr>
      <w:r>
        <w:t xml:space="preserve">A full evaluation of the UKRPIF will be undertaken in the future. </w:t>
      </w:r>
      <w:r w:rsidRPr="008C2E15">
        <w:t>T</w:t>
      </w:r>
      <w:r>
        <w:t xml:space="preserve">his interim evaluation gives some insights into what that evaluation may cover. The study has used the monitoring data collected by HEFCE </w:t>
      </w:r>
      <w:r w:rsidR="009E7DDD">
        <w:t>with</w:t>
      </w:r>
      <w:r>
        <w:t xml:space="preserve"> case studies grounded in qualitative data collected </w:t>
      </w:r>
      <w:r w:rsidR="009E7DDD">
        <w:t>on</w:t>
      </w:r>
      <w:r>
        <w:t xml:space="preserve"> five projects. A key constraint at this interim stage is that </w:t>
      </w:r>
      <w:r w:rsidR="00091598">
        <w:t xml:space="preserve">the </w:t>
      </w:r>
      <w:r>
        <w:t xml:space="preserve">full impacts of the UKRPIF investments are unlikely to have occurred yet, with many impacts still to be completed and in operation. </w:t>
      </w:r>
    </w:p>
    <w:p w:rsidR="005F4A25" w:rsidRDefault="005F4A25" w:rsidP="005F4A25">
      <w:pPr>
        <w:pStyle w:val="Belmananormal"/>
      </w:pPr>
      <w:r>
        <w:t>The approach taken to this interim evaluation is informed by previous research. It provides a good starting point for any future, full evaluation of the UKRPIF and the next section considers some the lessons from past evaluations. The sections after this then consider where any evaluation may need to adapt past approaches. One aspect is the inclusion in UKRPIF of social sciences and the third section looks at the adaptations needed to evaluate such investments.</w:t>
      </w:r>
    </w:p>
    <w:p w:rsidR="005F4A25" w:rsidRPr="008C2E15" w:rsidRDefault="005F4A25" w:rsidP="00CA5BC4">
      <w:pPr>
        <w:pStyle w:val="Belmana3"/>
        <w:numPr>
          <w:ilvl w:val="0"/>
          <w:numId w:val="30"/>
        </w:numPr>
      </w:pPr>
      <w:bookmarkStart w:id="94" w:name="_Toc514831675"/>
      <w:r>
        <w:t>Applying methods from past evaluations</w:t>
      </w:r>
      <w:bookmarkEnd w:id="94"/>
    </w:p>
    <w:p w:rsidR="005F4A25" w:rsidRDefault="005F4A25" w:rsidP="005F4A25">
      <w:pPr>
        <w:pStyle w:val="Belmananormal"/>
      </w:pPr>
      <w:r>
        <w:t xml:space="preserve">Past research facility evaluations have developed a useful and well-understood set of measures to understand outputs, outcomes and impacts. Table </w:t>
      </w:r>
      <w:r w:rsidR="002754DC">
        <w:t>6 presents key performance indicators that might be used to evaluate the performance of UKRPIF projects. It</w:t>
      </w:r>
      <w:r>
        <w:t xml:space="preserve"> indicates how many outputs can be explored using </w:t>
      </w:r>
      <w:r w:rsidRPr="008C2E15">
        <w:t xml:space="preserve">the </w:t>
      </w:r>
      <w:r>
        <w:t>MI, permitting</w:t>
      </w:r>
      <w:r w:rsidRPr="008C2E15">
        <w:t xml:space="preserve"> an assessment of th</w:t>
      </w:r>
      <w:r>
        <w:t>e emerging outputs of the UKRPIF in terms of staffing, facilities usage</w:t>
      </w:r>
      <w:r w:rsidR="00083ED4">
        <w:t>,</w:t>
      </w:r>
      <w:r>
        <w:t xml:space="preserve"> and partnerships and collaborations</w:t>
      </w:r>
      <w:r w:rsidRPr="008C2E15">
        <w:t>.</w:t>
      </w:r>
      <w:r>
        <w:t xml:space="preserve"> </w:t>
      </w:r>
    </w:p>
    <w:p w:rsidR="005F4A25" w:rsidRPr="008C2E15" w:rsidRDefault="005F4A25" w:rsidP="005F4A25">
      <w:pPr>
        <w:pStyle w:val="Belmananormal"/>
      </w:pPr>
      <w:r>
        <w:t>For UKRPIF, t</w:t>
      </w:r>
      <w:r w:rsidRPr="008C2E15">
        <w:t>he monitoring data collection process is</w:t>
      </w:r>
      <w:r>
        <w:t xml:space="preserve"> </w:t>
      </w:r>
      <w:r w:rsidR="002754DC">
        <w:t>well-structured,</w:t>
      </w:r>
      <w:r>
        <w:t xml:space="preserve"> and the projects are routinely reporting their progress. The reporting one year after the completion of the project is particularly detailed and a second collection, three years after completion, should be considered. There is </w:t>
      </w:r>
      <w:r w:rsidRPr="008C2E15">
        <w:t>some scope for collecting additional information on outputs stemming from the programme and to help the undertaking of an economic evaluation of the programme.</w:t>
      </w:r>
    </w:p>
    <w:p w:rsidR="005F4A25" w:rsidRPr="008C2E15" w:rsidRDefault="005F4A25" w:rsidP="005F4A25">
      <w:pPr>
        <w:pStyle w:val="Belmananormal"/>
      </w:pPr>
      <w:r w:rsidRPr="008C2E15">
        <w:t xml:space="preserve">It should be stressed that it is important to integrate a set of KPIs based on the findings from this report. This will allow a more comprehensive and systematic comparison of outputs across the scheme than presented in this report. Therefore, the following additional recommendations for enhancing the monitoring collection are as follows: </w:t>
      </w:r>
    </w:p>
    <w:p w:rsidR="005F4A25" w:rsidRDefault="005F4A25" w:rsidP="005F4A25">
      <w:pPr>
        <w:pStyle w:val="Belmana4normal"/>
        <w:numPr>
          <w:ilvl w:val="0"/>
          <w:numId w:val="8"/>
        </w:numPr>
      </w:pPr>
      <w:r>
        <w:t>T</w:t>
      </w:r>
      <w:r w:rsidRPr="008C2E15">
        <w:t>he monitoring data often lack</w:t>
      </w:r>
      <w:r>
        <w:t>s</w:t>
      </w:r>
      <w:r w:rsidRPr="008C2E15">
        <w:t xml:space="preserve"> information on usage of the </w:t>
      </w:r>
      <w:r>
        <w:t>research infrastructure</w:t>
      </w:r>
      <w:r w:rsidR="00083ED4">
        <w:t>.</w:t>
      </w:r>
      <w:r>
        <w:t xml:space="preserve"> </w:t>
      </w:r>
      <w:r w:rsidR="00083ED4">
        <w:t>T</w:t>
      </w:r>
      <w:r>
        <w:t xml:space="preserve">his may be because few </w:t>
      </w:r>
      <w:r w:rsidR="00083ED4">
        <w:t xml:space="preserve">projects </w:t>
      </w:r>
      <w:r>
        <w:t xml:space="preserve">are fully opened. However, as facilities move into </w:t>
      </w:r>
      <w:r w:rsidR="00083ED4">
        <w:t xml:space="preserve">the </w:t>
      </w:r>
      <w:r>
        <w:t xml:space="preserve">operational phase, </w:t>
      </w:r>
      <w:r w:rsidRPr="008C2E15">
        <w:t>it would be useful to request project leaders to identify and report the users of the services offered. This list should distinguish between proprietary and non-proprietary users</w:t>
      </w:r>
      <w:r w:rsidR="00083ED4">
        <w:t>;</w:t>
      </w:r>
      <w:r w:rsidRPr="008C2E15">
        <w:t xml:space="preserve"> </w:t>
      </w:r>
    </w:p>
    <w:p w:rsidR="005F4A25" w:rsidRPr="008C2E15" w:rsidRDefault="005F4A25" w:rsidP="005F4A25">
      <w:pPr>
        <w:pStyle w:val="Belmana4normal"/>
        <w:numPr>
          <w:ilvl w:val="0"/>
          <w:numId w:val="8"/>
        </w:numPr>
      </w:pPr>
      <w:r>
        <w:t>On collaborations and partnerships, a full evaluation may benefit from mapping the networks in which</w:t>
      </w:r>
      <w:r w:rsidRPr="008C2E15">
        <w:t xml:space="preserve"> the </w:t>
      </w:r>
      <w:r w:rsidRPr="00B25F42">
        <w:t xml:space="preserve">new </w:t>
      </w:r>
      <w:r>
        <w:t>r</w:t>
      </w:r>
      <w:r w:rsidRPr="00B25F42">
        <w:t>esearch</w:t>
      </w:r>
      <w:r>
        <w:t xml:space="preserve"> facilities are located. It </w:t>
      </w:r>
      <w:r w:rsidRPr="00B25F42">
        <w:t>would</w:t>
      </w:r>
      <w:r w:rsidRPr="008C2E15">
        <w:t xml:space="preserve"> be useful to </w:t>
      </w:r>
      <w:r>
        <w:t xml:space="preserve">identify where the </w:t>
      </w:r>
      <w:r w:rsidRPr="008C2E15">
        <w:t>UKRPIF</w:t>
      </w:r>
      <w:r w:rsidR="00083ED4">
        <w:t>-</w:t>
      </w:r>
      <w:r w:rsidRPr="008C2E15">
        <w:t>sponsore</w:t>
      </w:r>
      <w:r>
        <w:t>d projects are in terms of</w:t>
      </w:r>
      <w:r w:rsidRPr="008C2E15">
        <w:t xml:space="preserve"> the existing knowledge or research base in the United Kingdom and </w:t>
      </w:r>
      <w:r>
        <w:t>globally</w:t>
      </w:r>
      <w:r w:rsidRPr="008C2E15">
        <w:t>.</w:t>
      </w:r>
      <w:r>
        <w:t xml:space="preserve"> Gathering robust baseline data would be useful to meaningfully measure change</w:t>
      </w:r>
      <w:r w:rsidR="00083ED4">
        <w:t>;</w:t>
      </w:r>
    </w:p>
    <w:p w:rsidR="005F4A25" w:rsidRPr="008C2E15" w:rsidRDefault="005F4A25" w:rsidP="005F4A25">
      <w:pPr>
        <w:pStyle w:val="Belmana4normal"/>
        <w:numPr>
          <w:ilvl w:val="0"/>
          <w:numId w:val="7"/>
        </w:numPr>
      </w:pPr>
      <w:r w:rsidRPr="008C2E15">
        <w:t xml:space="preserve">The monitoring reports could be adjusted to allow </w:t>
      </w:r>
      <w:r w:rsidR="00083ED4">
        <w:t xml:space="preserve">HEIs </w:t>
      </w:r>
      <w:r w:rsidRPr="008C2E15">
        <w:t xml:space="preserve">to list the SMEs and start-ups benefiting from the UKRPIF-sponsored </w:t>
      </w:r>
      <w:r w:rsidR="00083ED4">
        <w:t>r</w:t>
      </w:r>
      <w:r>
        <w:t xml:space="preserve">esearch </w:t>
      </w:r>
      <w:r w:rsidR="00083ED4">
        <w:t>i</w:t>
      </w:r>
      <w:r>
        <w:t>nfrastructure and categori</w:t>
      </w:r>
      <w:r w:rsidR="00083ED4">
        <w:t>se</w:t>
      </w:r>
      <w:r>
        <w:t xml:space="preserve"> the nature of links</w:t>
      </w:r>
      <w:r w:rsidR="00083ED4">
        <w:t>;</w:t>
      </w:r>
    </w:p>
    <w:p w:rsidR="005F4A25" w:rsidRDefault="005F4A25" w:rsidP="005F4A25">
      <w:pPr>
        <w:pStyle w:val="Belmana4normal"/>
        <w:numPr>
          <w:ilvl w:val="0"/>
          <w:numId w:val="7"/>
        </w:numPr>
      </w:pPr>
      <w:r w:rsidRPr="008C2E15">
        <w:t xml:space="preserve">Project leaders could report on the expected revenues from the commercial activities stemming from the </w:t>
      </w:r>
      <w:r w:rsidR="00083ED4">
        <w:t>r</w:t>
      </w:r>
      <w:r>
        <w:t xml:space="preserve">esearch </w:t>
      </w:r>
      <w:r w:rsidR="00083ED4">
        <w:t>i</w:t>
      </w:r>
      <w:r>
        <w:t>nfrastructure</w:t>
      </w:r>
      <w:r w:rsidRPr="008C2E15">
        <w:t xml:space="preserve">. This is important </w:t>
      </w:r>
      <w:r w:rsidR="00083ED4">
        <w:t xml:space="preserve">because </w:t>
      </w:r>
      <w:r w:rsidRPr="008C2E15">
        <w:t xml:space="preserve">it measures the sustainability of the </w:t>
      </w:r>
      <w:r w:rsidR="00B12DFE">
        <w:t>facilities</w:t>
      </w:r>
      <w:r w:rsidR="00083ED4">
        <w:t>,</w:t>
      </w:r>
      <w:r w:rsidRPr="008C2E15">
        <w:t xml:space="preserve"> as more retained profits could be recycled to support further activities and, in turn, future benefits. It would also be useful for analysing the multiplier effects of the scheme.</w:t>
      </w:r>
    </w:p>
    <w:p w:rsidR="005F4A25" w:rsidRDefault="005F4A25" w:rsidP="00CA5BC4">
      <w:pPr>
        <w:pStyle w:val="Belmana3"/>
      </w:pPr>
      <w:bookmarkStart w:id="95" w:name="_Toc514831676"/>
      <w:r>
        <w:t xml:space="preserve">Developing </w:t>
      </w:r>
      <w:r w:rsidR="00083ED4">
        <w:t>e</w:t>
      </w:r>
      <w:r>
        <w:t xml:space="preserve">valuation </w:t>
      </w:r>
      <w:r w:rsidR="00083ED4">
        <w:t>a</w:t>
      </w:r>
      <w:r>
        <w:t>pproaches</w:t>
      </w:r>
      <w:bookmarkEnd w:id="95"/>
    </w:p>
    <w:p w:rsidR="005F4A25" w:rsidRDefault="005F4A25" w:rsidP="005F4A25">
      <w:pPr>
        <w:pStyle w:val="Belmananormal"/>
      </w:pPr>
      <w:r>
        <w:t>Based on the observations and insights from case study interviews</w:t>
      </w:r>
      <w:r w:rsidR="00083ED4">
        <w:t>,</w:t>
      </w:r>
      <w:r>
        <w:t xml:space="preserve"> a framework to measure the success of the investment</w:t>
      </w:r>
      <w:r w:rsidR="00083ED4">
        <w:t>s has been structured as part of this interim evaluation</w:t>
      </w:r>
      <w:r>
        <w:t xml:space="preserve">. </w:t>
      </w:r>
      <w:r w:rsidR="00083ED4">
        <w:t xml:space="preserve">The framework </w:t>
      </w:r>
      <w:r>
        <w:t>categorise</w:t>
      </w:r>
      <w:r w:rsidR="00083ED4">
        <w:t>s</w:t>
      </w:r>
      <w:r>
        <w:t xml:space="preserve"> areas of future evaluations to which KPIs can be mapped and data collected to assess progress as well as impact. The key areas that should be covered by a comprehensive evaluation are (1) standard research/academic outputs; (2) the development of innovative operating models; (3) the build</w:t>
      </w:r>
      <w:r w:rsidR="00083ED4">
        <w:t>ing</w:t>
      </w:r>
      <w:r>
        <w:t xml:space="preserve"> and use of collaborative space; (4) the quality, as well as use, of equipment and facilities; and (5) commercialisation of research and generation of spin-outs.</w:t>
      </w:r>
    </w:p>
    <w:p w:rsidR="005F4A25" w:rsidRDefault="005F4A25" w:rsidP="005F4A25">
      <w:pPr>
        <w:pStyle w:val="Belmananormal"/>
      </w:pPr>
      <w:r>
        <w:t xml:space="preserve">Several aspects of these areas are covered in the existing reporting </w:t>
      </w:r>
      <w:r w:rsidR="002754DC">
        <w:t>systems or</w:t>
      </w:r>
      <w:r>
        <w:t xml:space="preserve"> can be developed easily from the data already collected. Where this is not the case, an assessment will need to be made on whether any new collection is proportionate. </w:t>
      </w:r>
    </w:p>
    <w:p w:rsidR="005F4A25" w:rsidRDefault="005F4A25" w:rsidP="005F4A25">
      <w:pPr>
        <w:pStyle w:val="Belmananormal"/>
      </w:pPr>
      <w:r w:rsidRPr="00DA060C">
        <w:t>Given that the Researc</w:t>
      </w:r>
      <w:r w:rsidR="00FF7256">
        <w:t xml:space="preserve">h Excellence Framework </w:t>
      </w:r>
      <w:r w:rsidR="009E7DDD" w:rsidRPr="00DA060C">
        <w:t xml:space="preserve">includes the assessment of impact case studies, linking evaluation evidence to the </w:t>
      </w:r>
      <w:r>
        <w:t xml:space="preserve">REF would be sensible. It could also lower </w:t>
      </w:r>
      <w:r w:rsidR="00083ED4">
        <w:t xml:space="preserve">the </w:t>
      </w:r>
      <w:r>
        <w:t>evaluation burden, in that the facilities would already be preparing materials for REF. The case studies highlight new research outputs specific to a research facility’s role, such as standard setting related research. This may be designed into an evaluation.</w:t>
      </w:r>
    </w:p>
    <w:p w:rsidR="005F4A25" w:rsidRDefault="005F4A25" w:rsidP="005F4A25">
      <w:pPr>
        <w:pStyle w:val="Belmananormal"/>
      </w:pPr>
      <w:r>
        <w:t>The second and third areas</w:t>
      </w:r>
      <w:r w:rsidR="00204AB7">
        <w:t xml:space="preserve"> </w:t>
      </w:r>
      <w:r w:rsidR="00F56D53">
        <w:t>are</w:t>
      </w:r>
      <w:r>
        <w:t xml:space="preserve"> </w:t>
      </w:r>
      <w:r w:rsidR="00204AB7">
        <w:t xml:space="preserve">the development of innovative </w:t>
      </w:r>
      <w:r>
        <w:t>operating models</w:t>
      </w:r>
      <w:r w:rsidR="00204AB7">
        <w:t xml:space="preserve"> and </w:t>
      </w:r>
      <w:r w:rsidR="00F56D53">
        <w:t xml:space="preserve">of </w:t>
      </w:r>
      <w:r w:rsidR="00204AB7">
        <w:t>collaborative spaces in research centres</w:t>
      </w:r>
      <w:r w:rsidR="00F56D53">
        <w:t>. Each</w:t>
      </w:r>
      <w:r>
        <w:t xml:space="preserve"> focus</w:t>
      </w:r>
      <w:r w:rsidR="00F56D53">
        <w:t>es</w:t>
      </w:r>
      <w:r>
        <w:t xml:space="preserve"> on the way research is undertaken, including how collaboration is encouraged</w:t>
      </w:r>
      <w:r w:rsidR="00F56D53">
        <w:t xml:space="preserve">. </w:t>
      </w:r>
      <w:r>
        <w:t xml:space="preserve">For this interim evaluation, the case study approach has provided </w:t>
      </w:r>
      <w:r w:rsidR="00F56D53">
        <w:t>evidence about collaboration changing and the future evaluation will need to bring in the views of users and ways in which changing the way research operates has deepened the links between research, its facilities and knowledge exchange.</w:t>
      </w:r>
    </w:p>
    <w:p w:rsidR="005F4A25" w:rsidRDefault="005F4A25" w:rsidP="005F4A25">
      <w:pPr>
        <w:pStyle w:val="Belmananormal"/>
      </w:pPr>
      <w:r>
        <w:t>The fourth aspect a future evaluation will need to consider is the quality of the facilities the UK has developed, in relation to other countries as well as in comparison to other UK facilities. In some disciplines, benchmarking of research facilities is used. This explore</w:t>
      </w:r>
      <w:r w:rsidR="00083ED4">
        <w:t>s</w:t>
      </w:r>
      <w:r>
        <w:t xml:space="preserve"> the scale of the facility, in terms of its throughput, and the complexity of the research that can be undertaken. The case studies indicated that facilities certainly operate recognising this, but measurement will need to be customised and comparisons across UKRPIF </w:t>
      </w:r>
      <w:r w:rsidR="00083ED4">
        <w:t xml:space="preserve">may </w:t>
      </w:r>
      <w:r>
        <w:t>then be difficult.</w:t>
      </w:r>
    </w:p>
    <w:p w:rsidR="00B84942" w:rsidRPr="008C2E15" w:rsidRDefault="005F4A25" w:rsidP="00DA060C">
      <w:pPr>
        <w:pStyle w:val="Belmananormal"/>
      </w:pPr>
      <w:r>
        <w:t>Any future evaluation will need to look at commercialisation. It was apparent in the business cases for projects, the monitoring data and the case studies that   UKRPIF was an opportunity to translate research into delivery and products that could be commercialised. Table</w:t>
      </w:r>
      <w:r w:rsidR="00F56D53">
        <w:t xml:space="preserve"> </w:t>
      </w:r>
      <w:r w:rsidR="0042277D">
        <w:t>6 indicates</w:t>
      </w:r>
      <w:r>
        <w:t xml:space="preserve"> that a relatively mature range of measures is available (IP revenues, products developed, maturity of research in terms of market readiness). However, assessing the additional impact will be difficult. Issues include considering where the “commercialisation” </w:t>
      </w:r>
      <w:r w:rsidR="00BB2145">
        <w:t xml:space="preserve">is </w:t>
      </w:r>
      <w:r>
        <w:t>in a public good, such as incorporating new treatments into NHS delivery.</w:t>
      </w:r>
      <w:bookmarkEnd w:id="87"/>
    </w:p>
    <w:p w:rsidR="003251AC" w:rsidRPr="00353BD5" w:rsidRDefault="00B84942" w:rsidP="00353BD5">
      <w:pPr>
        <w:pStyle w:val="Belmana2"/>
      </w:pPr>
      <w:r w:rsidRPr="008C2E15">
        <w:br w:type="page"/>
      </w:r>
    </w:p>
    <w:p w:rsidR="00B84942" w:rsidRPr="008C2E15" w:rsidRDefault="00B84942" w:rsidP="00E675FC">
      <w:pPr>
        <w:pStyle w:val="Belmana1"/>
      </w:pPr>
      <w:bookmarkStart w:id="96" w:name="_Toc499548080"/>
      <w:bookmarkStart w:id="97" w:name="_Toc514831677"/>
      <w:r w:rsidRPr="008C2E15">
        <w:rPr>
          <w:rStyle w:val="Belmana1Char"/>
          <w:b/>
        </w:rPr>
        <w:t>References</w:t>
      </w:r>
      <w:r w:rsidRPr="008C2E15">
        <w:t>:</w:t>
      </w:r>
      <w:bookmarkEnd w:id="96"/>
      <w:bookmarkEnd w:id="97"/>
    </w:p>
    <w:p w:rsidR="00242BD0" w:rsidRDefault="00242BD0" w:rsidP="00242BD0">
      <w:pPr>
        <w:rPr>
          <w:rFonts w:ascii="Arial" w:hAnsi="Arial" w:cs="Arial"/>
        </w:rPr>
      </w:pPr>
      <w:r>
        <w:rPr>
          <w:rFonts w:ascii="Arial" w:hAnsi="Arial" w:cs="Arial"/>
        </w:rPr>
        <w:t>BEIS (2017) “Appraisal and Evaluation Guidance for Science Capital”, Guidance by BEIS and Partner Organisations.</w:t>
      </w:r>
    </w:p>
    <w:p w:rsidR="00B84942" w:rsidRPr="008C2E15" w:rsidRDefault="00B84942" w:rsidP="00B84942">
      <w:pPr>
        <w:rPr>
          <w:rFonts w:ascii="Arial" w:hAnsi="Arial" w:cs="Arial"/>
        </w:rPr>
      </w:pPr>
      <w:r w:rsidRPr="008C2E15">
        <w:rPr>
          <w:rFonts w:ascii="Arial" w:hAnsi="Arial" w:cs="Arial"/>
        </w:rPr>
        <w:t>BIS (2014) “An Economic Analysis of Spillovers from Programmes of Technological Innovation Support”</w:t>
      </w:r>
      <w:r w:rsidR="000F1C85">
        <w:rPr>
          <w:rFonts w:ascii="Arial" w:hAnsi="Arial" w:cs="Arial"/>
        </w:rPr>
        <w:t>.</w:t>
      </w:r>
      <w:r w:rsidRPr="008C2E15">
        <w:rPr>
          <w:rFonts w:ascii="Arial" w:hAnsi="Arial" w:cs="Arial"/>
        </w:rPr>
        <w:t xml:space="preserve"> BIS Report by ICF GHK, March.</w:t>
      </w:r>
    </w:p>
    <w:p w:rsidR="00B84942" w:rsidRPr="008C2E15" w:rsidRDefault="00B84942" w:rsidP="00B84942">
      <w:pPr>
        <w:rPr>
          <w:rFonts w:ascii="Arial" w:hAnsi="Arial" w:cs="Arial"/>
        </w:rPr>
      </w:pPr>
      <w:r w:rsidRPr="008C2E15">
        <w:rPr>
          <w:rFonts w:ascii="Arial" w:hAnsi="Arial" w:cs="Arial"/>
        </w:rPr>
        <w:t>BIS (2015) “The Dowling Review of Business-University Research Collaborations”. London: Department of Business, Innovation and Skills.</w:t>
      </w:r>
    </w:p>
    <w:p w:rsidR="00242BD0" w:rsidRPr="008C2E15" w:rsidRDefault="00B84942" w:rsidP="00242BD0">
      <w:pPr>
        <w:rPr>
          <w:rFonts w:ascii="Arial" w:hAnsi="Arial" w:cs="Arial"/>
        </w:rPr>
      </w:pPr>
      <w:r w:rsidRPr="008C2E15">
        <w:rPr>
          <w:rFonts w:ascii="Arial" w:hAnsi="Arial" w:cs="Arial"/>
        </w:rPr>
        <w:t>BIS (2016) “Advanced Propulsion Centre Impact Evaluation”</w:t>
      </w:r>
      <w:r w:rsidR="000F1C85">
        <w:rPr>
          <w:rFonts w:ascii="Arial" w:hAnsi="Arial" w:cs="Arial"/>
        </w:rPr>
        <w:t>.</w:t>
      </w:r>
      <w:r w:rsidRPr="008C2E15">
        <w:rPr>
          <w:rFonts w:ascii="Arial" w:hAnsi="Arial" w:cs="Arial"/>
        </w:rPr>
        <w:t xml:space="preserve"> BIS Research paper 273</w:t>
      </w:r>
      <w:r w:rsidR="000F1C85">
        <w:rPr>
          <w:rFonts w:ascii="Arial" w:hAnsi="Arial" w:cs="Arial"/>
        </w:rPr>
        <w:t>.</w:t>
      </w:r>
      <w:r w:rsidR="00242BD0">
        <w:rPr>
          <w:rFonts w:ascii="Arial" w:hAnsi="Arial" w:cs="Arial"/>
        </w:rPr>
        <w:t xml:space="preserve"> </w:t>
      </w:r>
    </w:p>
    <w:p w:rsidR="00B84942" w:rsidRPr="008C2E15" w:rsidRDefault="00B84942" w:rsidP="00B84942">
      <w:pPr>
        <w:rPr>
          <w:rFonts w:ascii="Arial" w:hAnsi="Arial" w:cs="Arial"/>
        </w:rPr>
      </w:pPr>
      <w:r w:rsidRPr="008C2E15">
        <w:rPr>
          <w:rFonts w:ascii="Arial" w:hAnsi="Arial" w:cs="Arial"/>
        </w:rPr>
        <w:t>Frontier (2015) “A Review of HEFCE Capital Expenditure”</w:t>
      </w:r>
      <w:r w:rsidR="000F1C85">
        <w:rPr>
          <w:rFonts w:ascii="Arial" w:hAnsi="Arial" w:cs="Arial"/>
        </w:rPr>
        <w:t>.</w:t>
      </w:r>
    </w:p>
    <w:p w:rsidR="00B84942" w:rsidRPr="008C2E15" w:rsidRDefault="00B84942" w:rsidP="00B84942">
      <w:pPr>
        <w:rPr>
          <w:rFonts w:ascii="Arial" w:hAnsi="Arial" w:cs="Arial"/>
        </w:rPr>
      </w:pPr>
      <w:r w:rsidRPr="008C2E15">
        <w:rPr>
          <w:rFonts w:ascii="Arial" w:hAnsi="Arial" w:cs="Arial"/>
        </w:rPr>
        <w:t>Griniece E., A</w:t>
      </w:r>
      <w:r w:rsidR="000F1C85">
        <w:rPr>
          <w:rFonts w:ascii="Arial" w:hAnsi="Arial" w:cs="Arial"/>
        </w:rPr>
        <w:t>.</w:t>
      </w:r>
      <w:r w:rsidRPr="008C2E15">
        <w:rPr>
          <w:rFonts w:ascii="Arial" w:hAnsi="Arial" w:cs="Arial"/>
        </w:rPr>
        <w:t xml:space="preserve"> Reid and J. Angelis (2015): “Guide to Evaluating and Monitoring Socio-Economic Impact of Investment in Research Infrastructures”. Technopolis Group. Tallinn, Estonia.</w:t>
      </w:r>
    </w:p>
    <w:p w:rsidR="00B84942" w:rsidRPr="008C2E15" w:rsidRDefault="00B84942" w:rsidP="00B84942">
      <w:pPr>
        <w:rPr>
          <w:rFonts w:ascii="Arial" w:hAnsi="Arial" w:cs="Arial"/>
        </w:rPr>
      </w:pPr>
      <w:r w:rsidRPr="008C2E15">
        <w:rPr>
          <w:rFonts w:ascii="Arial" w:hAnsi="Arial" w:cs="Arial"/>
        </w:rPr>
        <w:t>HC (2009) “Engineering: turning ideas into reality”</w:t>
      </w:r>
      <w:r w:rsidR="000F1C85">
        <w:rPr>
          <w:rFonts w:ascii="Arial" w:hAnsi="Arial" w:cs="Arial"/>
        </w:rPr>
        <w:t>.</w:t>
      </w:r>
      <w:r w:rsidRPr="008C2E15">
        <w:rPr>
          <w:rFonts w:ascii="Arial" w:hAnsi="Arial" w:cs="Arial"/>
        </w:rPr>
        <w:t xml:space="preserve"> House of Commons Innovation, Universities, Science and Skills Select Committee, Fourth Report of 2008-09, HC 50, 27 March.</w:t>
      </w:r>
    </w:p>
    <w:p w:rsidR="00B84942" w:rsidRPr="008C2E15" w:rsidRDefault="00B84942" w:rsidP="00B84942">
      <w:pPr>
        <w:rPr>
          <w:rFonts w:ascii="Arial" w:hAnsi="Arial" w:cs="Arial"/>
        </w:rPr>
      </w:pPr>
      <w:r w:rsidRPr="008C2E15">
        <w:rPr>
          <w:rFonts w:ascii="Arial" w:hAnsi="Arial" w:cs="Arial"/>
        </w:rPr>
        <w:t>HC (2010) “The impact of spending cuts on science and scientific research”</w:t>
      </w:r>
      <w:r w:rsidR="000F1C85">
        <w:rPr>
          <w:rFonts w:ascii="Arial" w:hAnsi="Arial" w:cs="Arial"/>
        </w:rPr>
        <w:t>.</w:t>
      </w:r>
      <w:r w:rsidRPr="008C2E15">
        <w:rPr>
          <w:rFonts w:ascii="Arial" w:hAnsi="Arial" w:cs="Arial"/>
        </w:rPr>
        <w:t xml:space="preserve"> House of Commons Science and Technology Select Committee, Sixth report of 2009-10, HC 335, 23 March.</w:t>
      </w:r>
    </w:p>
    <w:p w:rsidR="00B84942" w:rsidRPr="008C2E15" w:rsidRDefault="00B84942" w:rsidP="00B84942">
      <w:pPr>
        <w:rPr>
          <w:rFonts w:ascii="Arial" w:hAnsi="Arial" w:cs="Arial"/>
        </w:rPr>
      </w:pPr>
      <w:r w:rsidRPr="008C2E15">
        <w:rPr>
          <w:rFonts w:ascii="Arial" w:hAnsi="Arial" w:cs="Arial"/>
        </w:rPr>
        <w:t>HC (2011) “Technology and Innovation Centres”</w:t>
      </w:r>
      <w:r w:rsidR="000F1C85">
        <w:rPr>
          <w:rFonts w:ascii="Arial" w:hAnsi="Arial" w:cs="Arial"/>
        </w:rPr>
        <w:t>.</w:t>
      </w:r>
      <w:r w:rsidRPr="008C2E15">
        <w:rPr>
          <w:rFonts w:ascii="Arial" w:hAnsi="Arial" w:cs="Arial"/>
        </w:rPr>
        <w:t xml:space="preserve"> House of Commons Science and Technology Select Committee, 2nd Report of 2010-2012, HC 619, 17 February</w:t>
      </w:r>
      <w:r w:rsidR="00A8747C">
        <w:rPr>
          <w:rFonts w:ascii="Arial" w:hAnsi="Arial" w:cs="Arial"/>
        </w:rPr>
        <w:t>. Available at:</w:t>
      </w:r>
      <w:r w:rsidRPr="008C2E15">
        <w:rPr>
          <w:rFonts w:ascii="Arial" w:hAnsi="Arial" w:cs="Arial"/>
        </w:rPr>
        <w:t xml:space="preserve"> </w:t>
      </w:r>
      <w:hyperlink r:id="rId44" w:history="1">
        <w:r w:rsidRPr="008C2E15">
          <w:rPr>
            <w:rStyle w:val="Hyperlink"/>
            <w:rFonts w:ascii="Arial" w:hAnsi="Arial" w:cs="Arial"/>
          </w:rPr>
          <w:t>http://www.publications.parliament.uk/pa/cm201011/cmselect/cmsctech/619/61902.htm</w:t>
        </w:r>
      </w:hyperlink>
      <w:r w:rsidR="000F1C85">
        <w:t>.</w:t>
      </w:r>
    </w:p>
    <w:p w:rsidR="00B84942" w:rsidRPr="008C2E15" w:rsidRDefault="00B84942" w:rsidP="00B84942">
      <w:pPr>
        <w:rPr>
          <w:rFonts w:ascii="Arial" w:hAnsi="Arial" w:cs="Arial"/>
        </w:rPr>
      </w:pPr>
      <w:r w:rsidRPr="008C2E15">
        <w:rPr>
          <w:rFonts w:ascii="Arial" w:hAnsi="Arial" w:cs="Arial"/>
        </w:rPr>
        <w:t>HC (2013) “Bridging the valley of death: Improving the Commercialisation of Research”</w:t>
      </w:r>
      <w:r w:rsidR="000F1C85">
        <w:rPr>
          <w:rFonts w:ascii="Arial" w:hAnsi="Arial" w:cs="Arial"/>
        </w:rPr>
        <w:t>.</w:t>
      </w:r>
      <w:r w:rsidRPr="008C2E15">
        <w:rPr>
          <w:rFonts w:ascii="Arial" w:hAnsi="Arial" w:cs="Arial"/>
        </w:rPr>
        <w:t xml:space="preserve"> House of Commons Science and Technology Select Committee, 8th Report of 2012-13, HC 348, 4 March.</w:t>
      </w:r>
    </w:p>
    <w:p w:rsidR="00B84942" w:rsidRPr="008C2E15" w:rsidRDefault="00B84942" w:rsidP="00B84942">
      <w:pPr>
        <w:rPr>
          <w:rFonts w:ascii="Arial" w:hAnsi="Arial" w:cs="Arial"/>
        </w:rPr>
      </w:pPr>
      <w:r w:rsidRPr="008C2E15">
        <w:rPr>
          <w:rFonts w:ascii="Arial" w:hAnsi="Arial" w:cs="Arial"/>
        </w:rPr>
        <w:t>HC (2016) “Capital investment in science projects”</w:t>
      </w:r>
      <w:r w:rsidR="000F1C85">
        <w:rPr>
          <w:rFonts w:ascii="Arial" w:hAnsi="Arial" w:cs="Arial"/>
        </w:rPr>
        <w:t>.</w:t>
      </w:r>
      <w:r w:rsidRPr="008C2E15">
        <w:rPr>
          <w:rFonts w:ascii="Arial" w:hAnsi="Arial" w:cs="Arial"/>
        </w:rPr>
        <w:t xml:space="preserve"> House of Commons Committee of Public Accounts, 5th Report of 2016-17, HC 126, 29 June.</w:t>
      </w:r>
    </w:p>
    <w:p w:rsidR="00B84942" w:rsidRPr="008C2E15" w:rsidRDefault="00B84942" w:rsidP="00B84942">
      <w:pPr>
        <w:rPr>
          <w:rFonts w:ascii="Arial" w:hAnsi="Arial" w:cs="Arial"/>
        </w:rPr>
      </w:pPr>
      <w:r w:rsidRPr="008C2E15">
        <w:rPr>
          <w:rFonts w:ascii="Arial" w:hAnsi="Arial" w:cs="Arial"/>
        </w:rPr>
        <w:t>HMT (2011</w:t>
      </w:r>
      <w:r w:rsidR="00FF5870">
        <w:rPr>
          <w:rFonts w:ascii="Arial" w:hAnsi="Arial" w:cs="Arial"/>
        </w:rPr>
        <w:t>a</w:t>
      </w:r>
      <w:r w:rsidRPr="008C2E15">
        <w:rPr>
          <w:rFonts w:ascii="Arial" w:hAnsi="Arial" w:cs="Arial"/>
        </w:rPr>
        <w:t xml:space="preserve">) </w:t>
      </w:r>
      <w:proofErr w:type="gramStart"/>
      <w:r w:rsidRPr="008C2E15">
        <w:rPr>
          <w:rFonts w:ascii="Arial" w:hAnsi="Arial" w:cs="Arial"/>
        </w:rPr>
        <w:t>The</w:t>
      </w:r>
      <w:proofErr w:type="gramEnd"/>
      <w:r w:rsidRPr="008C2E15">
        <w:rPr>
          <w:rFonts w:ascii="Arial" w:hAnsi="Arial" w:cs="Arial"/>
        </w:rPr>
        <w:t xml:space="preserve"> Green Book: Appraisal and Evaluation in Central Government. London, UK: HM Treasury.</w:t>
      </w:r>
    </w:p>
    <w:p w:rsidR="00B84942" w:rsidRPr="008C2E15" w:rsidRDefault="00B84942" w:rsidP="00B84942">
      <w:pPr>
        <w:rPr>
          <w:rFonts w:ascii="Arial" w:hAnsi="Arial" w:cs="Arial"/>
        </w:rPr>
      </w:pPr>
      <w:r w:rsidRPr="008C2E15">
        <w:rPr>
          <w:rFonts w:ascii="Arial" w:hAnsi="Arial" w:cs="Arial"/>
        </w:rPr>
        <w:t>HMT (2011</w:t>
      </w:r>
      <w:r w:rsidR="00FF5870">
        <w:rPr>
          <w:rFonts w:ascii="Arial" w:hAnsi="Arial" w:cs="Arial"/>
        </w:rPr>
        <w:t>b</w:t>
      </w:r>
      <w:r w:rsidRPr="008C2E15">
        <w:rPr>
          <w:rFonts w:ascii="Arial" w:hAnsi="Arial" w:cs="Arial"/>
        </w:rPr>
        <w:t xml:space="preserve">) </w:t>
      </w:r>
      <w:proofErr w:type="gramStart"/>
      <w:r w:rsidRPr="008C2E15">
        <w:rPr>
          <w:rFonts w:ascii="Arial" w:hAnsi="Arial" w:cs="Arial"/>
        </w:rPr>
        <w:t>The</w:t>
      </w:r>
      <w:proofErr w:type="gramEnd"/>
      <w:r w:rsidRPr="008C2E15">
        <w:rPr>
          <w:rFonts w:ascii="Arial" w:hAnsi="Arial" w:cs="Arial"/>
        </w:rPr>
        <w:t xml:space="preserve"> Magenta Book: Guidance for Evaluation. London, UK: HM Treasury.</w:t>
      </w:r>
    </w:p>
    <w:p w:rsidR="00B84942" w:rsidRPr="008C2E15" w:rsidRDefault="00B84942" w:rsidP="00B84942">
      <w:pPr>
        <w:rPr>
          <w:rFonts w:ascii="Arial" w:hAnsi="Arial" w:cs="Arial"/>
        </w:rPr>
      </w:pPr>
      <w:r w:rsidRPr="008C2E15">
        <w:rPr>
          <w:rFonts w:ascii="Arial" w:hAnsi="Arial" w:cs="Arial"/>
        </w:rPr>
        <w:t>Hudson, J. and H. Khazragui (2013) “Into the valley of death: research to innovation”</w:t>
      </w:r>
      <w:r w:rsidR="000F1C85">
        <w:rPr>
          <w:rFonts w:ascii="Arial" w:hAnsi="Arial" w:cs="Arial"/>
        </w:rPr>
        <w:t>.</w:t>
      </w:r>
      <w:r w:rsidRPr="008C2E15">
        <w:rPr>
          <w:rFonts w:ascii="Arial" w:hAnsi="Arial" w:cs="Arial"/>
        </w:rPr>
        <w:t xml:space="preserve"> </w:t>
      </w:r>
      <w:r w:rsidRPr="008C2E15">
        <w:rPr>
          <w:rFonts w:ascii="Arial" w:hAnsi="Arial" w:cs="Arial"/>
          <w:i/>
        </w:rPr>
        <w:t>Drug Discovery today</w:t>
      </w:r>
      <w:r w:rsidRPr="008C2E15">
        <w:rPr>
          <w:rFonts w:ascii="Arial" w:hAnsi="Arial" w:cs="Arial"/>
        </w:rPr>
        <w:t>, Jul 18 (13-14):610.</w:t>
      </w:r>
    </w:p>
    <w:p w:rsidR="00B84942" w:rsidRPr="008C2E15" w:rsidRDefault="003171D7" w:rsidP="00B84942">
      <w:pPr>
        <w:rPr>
          <w:rFonts w:ascii="Arial" w:hAnsi="Arial" w:cs="Arial"/>
        </w:rPr>
      </w:pPr>
      <w:hyperlink r:id="rId45" w:history="1">
        <w:r w:rsidR="00B84942" w:rsidRPr="008C2E15">
          <w:rPr>
            <w:rFonts w:ascii="Arial" w:hAnsi="Arial"/>
          </w:rPr>
          <w:t>Khazragui</w:t>
        </w:r>
      </w:hyperlink>
      <w:r w:rsidR="00B84942" w:rsidRPr="008C2E15">
        <w:rPr>
          <w:rFonts w:ascii="Arial" w:hAnsi="Arial"/>
        </w:rPr>
        <w:t>, H. and J. Hudson (2015) “</w:t>
      </w:r>
      <w:r w:rsidR="00B84942" w:rsidRPr="008C2E15">
        <w:rPr>
          <w:rFonts w:ascii="Arial" w:hAnsi="Arial" w:cs="Arial"/>
        </w:rPr>
        <w:t>Measuring the benefits of university research: impact and the REF in the UK”</w:t>
      </w:r>
      <w:r w:rsidR="000F1C85">
        <w:rPr>
          <w:rFonts w:ascii="Arial" w:hAnsi="Arial" w:cs="Arial"/>
        </w:rPr>
        <w:t>.</w:t>
      </w:r>
      <w:r w:rsidR="00B84942" w:rsidRPr="008C2E15">
        <w:rPr>
          <w:rFonts w:ascii="Arial" w:hAnsi="Arial" w:cs="Arial"/>
        </w:rPr>
        <w:t xml:space="preserve"> </w:t>
      </w:r>
      <w:r w:rsidR="00B84942" w:rsidRPr="008C2E15">
        <w:rPr>
          <w:rFonts w:ascii="Arial" w:hAnsi="Arial" w:cs="Arial"/>
          <w:i/>
        </w:rPr>
        <w:t>Research evaluation</w:t>
      </w:r>
      <w:r w:rsidR="00B84942" w:rsidRPr="008C2E15">
        <w:rPr>
          <w:rFonts w:ascii="Arial" w:hAnsi="Arial" w:cs="Arial"/>
        </w:rPr>
        <w:t>, 24(1): 51-62.</w:t>
      </w:r>
    </w:p>
    <w:p w:rsidR="00B84942" w:rsidRPr="008C2E15" w:rsidRDefault="00B84942" w:rsidP="00B84942">
      <w:pPr>
        <w:rPr>
          <w:rFonts w:ascii="Arial" w:hAnsi="Arial" w:cs="Arial"/>
        </w:rPr>
      </w:pPr>
      <w:r w:rsidRPr="008C2E15">
        <w:rPr>
          <w:rFonts w:ascii="Arial" w:hAnsi="Arial" w:cs="Arial"/>
        </w:rPr>
        <w:t>McMillan (2016) “University Knowledge Exchange (KE) Framework: good practice in technology transfer”. Report to HEFCE from the McMillan review of good practice in technology transfer.</w:t>
      </w:r>
    </w:p>
    <w:p w:rsidR="00B84942" w:rsidRPr="008C2E15" w:rsidRDefault="00B84942" w:rsidP="00B84942">
      <w:pPr>
        <w:rPr>
          <w:rFonts w:ascii="Arial" w:hAnsi="Arial" w:cs="Arial"/>
        </w:rPr>
      </w:pPr>
      <w:r w:rsidRPr="008C2E15">
        <w:rPr>
          <w:rFonts w:ascii="Arial" w:hAnsi="Arial" w:cs="Arial"/>
        </w:rPr>
        <w:t>NAO (2016) “BIS’s capital investment in science projects</w:t>
      </w:r>
      <w:r w:rsidR="0021089D">
        <w:rPr>
          <w:rFonts w:ascii="Arial" w:hAnsi="Arial" w:cs="Arial"/>
        </w:rPr>
        <w:t>”</w:t>
      </w:r>
      <w:r w:rsidRPr="008C2E15">
        <w:rPr>
          <w:rFonts w:ascii="Arial" w:hAnsi="Arial" w:cs="Arial"/>
        </w:rPr>
        <w:t>. Report by the National Audit Office, HC 886 Session 2015-16, 10 March.</w:t>
      </w:r>
      <w:r>
        <w:rPr>
          <w:rFonts w:ascii="Arial" w:hAnsi="Arial" w:cs="Arial"/>
        </w:rPr>
        <w:t xml:space="preserve"> </w:t>
      </w:r>
      <w:r w:rsidR="00AB0A4F">
        <w:rPr>
          <w:rFonts w:ascii="Arial" w:hAnsi="Arial" w:cs="Arial"/>
        </w:rPr>
        <w:t xml:space="preserve">Available at: </w:t>
      </w:r>
      <w:hyperlink r:id="rId46" w:history="1">
        <w:r w:rsidRPr="00AB0A4F">
          <w:rPr>
            <w:rStyle w:val="Hyperlink"/>
            <w:rFonts w:ascii="Arial" w:hAnsi="Arial" w:cs="Arial"/>
          </w:rPr>
          <w:t>https://www.nao.org.uk/report/biss-capital-investment-in-science-projects/</w:t>
        </w:r>
      </w:hyperlink>
      <w:r w:rsidR="00AB0A4F">
        <w:rPr>
          <w:rFonts w:ascii="Arial" w:hAnsi="Arial" w:cs="Arial"/>
        </w:rPr>
        <w:t xml:space="preserve">. </w:t>
      </w:r>
    </w:p>
    <w:p w:rsidR="00B84942" w:rsidRPr="008C2E15" w:rsidRDefault="00B84942" w:rsidP="00B84942">
      <w:pPr>
        <w:rPr>
          <w:rFonts w:ascii="Arial" w:hAnsi="Arial" w:cs="Arial"/>
        </w:rPr>
      </w:pPr>
      <w:r w:rsidRPr="008C2E15">
        <w:rPr>
          <w:rFonts w:ascii="Arial" w:hAnsi="Arial" w:cs="Arial"/>
        </w:rPr>
        <w:t>National Centre for Universities and Business (2016) “State of the Relationship Report”</w:t>
      </w:r>
      <w:r w:rsidR="0021089D">
        <w:rPr>
          <w:rFonts w:ascii="Arial" w:hAnsi="Arial" w:cs="Arial"/>
        </w:rPr>
        <w:t>.</w:t>
      </w:r>
    </w:p>
    <w:p w:rsidR="00B84942" w:rsidRPr="008C2E15" w:rsidRDefault="00B84942" w:rsidP="00B84942">
      <w:pPr>
        <w:rPr>
          <w:rFonts w:ascii="Arial" w:hAnsi="Arial" w:cs="Arial"/>
        </w:rPr>
      </w:pPr>
      <w:r w:rsidRPr="008C2E15">
        <w:rPr>
          <w:rFonts w:ascii="Arial" w:hAnsi="Arial" w:cs="Arial"/>
        </w:rPr>
        <w:t>OECD (2014a) “International Distributed Research Infrastructures: Issues and Options”.</w:t>
      </w:r>
    </w:p>
    <w:p w:rsidR="00B84942" w:rsidRPr="008C2E15" w:rsidRDefault="00B84942" w:rsidP="00B84942">
      <w:pPr>
        <w:rPr>
          <w:rFonts w:ascii="Arial" w:hAnsi="Arial" w:cs="Arial"/>
        </w:rPr>
      </w:pPr>
      <w:r w:rsidRPr="008C2E15">
        <w:rPr>
          <w:rFonts w:ascii="Arial" w:hAnsi="Arial" w:cs="Arial"/>
        </w:rPr>
        <w:t xml:space="preserve">OECD (2014b) “Report on the Impacts of Large Research Infrastructure on Economic Innovation and on Society: Case Studies at CERN”. Available at: </w:t>
      </w:r>
      <w:hyperlink r:id="rId47" w:history="1">
        <w:r w:rsidRPr="008C2E15">
          <w:rPr>
            <w:rFonts w:ascii="Arial" w:hAnsi="Arial" w:cs="Arial"/>
          </w:rPr>
          <w:t>http://www.oecd.org/sti/sci-tech/CERN-case-studies.pdf</w:t>
        </w:r>
      </w:hyperlink>
      <w:r w:rsidR="00AB0A4F">
        <w:t xml:space="preserve">. </w:t>
      </w:r>
    </w:p>
    <w:p w:rsidR="00B84942" w:rsidRPr="008C2E15" w:rsidRDefault="00B84942" w:rsidP="00B84942">
      <w:pPr>
        <w:rPr>
          <w:rFonts w:ascii="Arial" w:hAnsi="Arial" w:cs="Arial"/>
        </w:rPr>
      </w:pPr>
      <w:r w:rsidRPr="008C2E15">
        <w:rPr>
          <w:rFonts w:ascii="Arial" w:hAnsi="Arial" w:cs="Arial"/>
        </w:rPr>
        <w:t>Roschow, R. et al. (2011) “Proposal for a Foresight-enriched Research Infrastructure Impact Assessment Methodology”. Comunicare.ro. ISBN: 978-973-711-318-4</w:t>
      </w:r>
      <w:r w:rsidR="0021089D">
        <w:rPr>
          <w:rFonts w:ascii="Arial" w:hAnsi="Arial" w:cs="Arial"/>
        </w:rPr>
        <w:t>.</w:t>
      </w:r>
    </w:p>
    <w:p w:rsidR="00AD3870" w:rsidRPr="00AD3870" w:rsidRDefault="00B84942" w:rsidP="00AD3870">
      <w:pPr>
        <w:rPr>
          <w:rFonts w:ascii="Arial" w:hAnsi="Arial" w:cs="Arial"/>
        </w:rPr>
      </w:pPr>
      <w:r w:rsidRPr="008C2E15">
        <w:rPr>
          <w:rFonts w:ascii="Arial" w:hAnsi="Arial" w:cs="Arial"/>
        </w:rPr>
        <w:t xml:space="preserve">Simmonds, P. </w:t>
      </w:r>
      <w:proofErr w:type="gramStart"/>
      <w:r w:rsidRPr="008C2E15">
        <w:rPr>
          <w:rFonts w:ascii="Arial" w:hAnsi="Arial" w:cs="Arial"/>
        </w:rPr>
        <w:t>et</w:t>
      </w:r>
      <w:proofErr w:type="gramEnd"/>
      <w:r w:rsidRPr="008C2E15">
        <w:rPr>
          <w:rFonts w:ascii="Arial" w:hAnsi="Arial" w:cs="Arial"/>
        </w:rPr>
        <w:t>.</w:t>
      </w:r>
      <w:r w:rsidR="0021089D">
        <w:rPr>
          <w:rFonts w:ascii="Arial" w:hAnsi="Arial" w:cs="Arial"/>
        </w:rPr>
        <w:t xml:space="preserve"> </w:t>
      </w:r>
      <w:proofErr w:type="gramStart"/>
      <w:r w:rsidRPr="008C2E15">
        <w:rPr>
          <w:rFonts w:ascii="Arial" w:hAnsi="Arial" w:cs="Arial"/>
        </w:rPr>
        <w:t>al</w:t>
      </w:r>
      <w:proofErr w:type="gramEnd"/>
      <w:r w:rsidRPr="008C2E15">
        <w:rPr>
          <w:rFonts w:ascii="Arial" w:hAnsi="Arial" w:cs="Arial"/>
        </w:rPr>
        <w:t xml:space="preserve"> (2013) “Big Science and Innovation”. Technopolis Group report </w:t>
      </w:r>
      <w:r w:rsidRPr="00AD3870">
        <w:rPr>
          <w:rFonts w:ascii="Arial" w:hAnsi="Arial" w:cs="Arial"/>
        </w:rPr>
        <w:t>for the UK Department for Business, Innovation &amp; Skills.</w:t>
      </w:r>
    </w:p>
    <w:p w:rsidR="00B84942" w:rsidRPr="00AD3870" w:rsidRDefault="00B84942" w:rsidP="00AD3870">
      <w:pPr>
        <w:rPr>
          <w:rFonts w:ascii="Arial" w:hAnsi="Arial" w:cs="Arial"/>
        </w:rPr>
      </w:pPr>
      <w:r w:rsidRPr="00AD3870">
        <w:rPr>
          <w:rFonts w:ascii="Arial" w:hAnsi="Arial" w:cs="Arial"/>
        </w:rPr>
        <w:t>Ulrichsen, T., B. Moore and R</w:t>
      </w:r>
      <w:r w:rsidR="0021089D">
        <w:rPr>
          <w:rFonts w:ascii="Arial" w:hAnsi="Arial" w:cs="Arial"/>
        </w:rPr>
        <w:t>.</w:t>
      </w:r>
      <w:r w:rsidRPr="00AD3870">
        <w:rPr>
          <w:rFonts w:ascii="Arial" w:hAnsi="Arial" w:cs="Arial"/>
        </w:rPr>
        <w:t xml:space="preserve"> Spires (</w:t>
      </w:r>
      <w:r w:rsidRPr="00AD3870">
        <w:rPr>
          <w:rFonts w:ascii="Arial" w:hAnsi="Arial" w:cs="Arial"/>
          <w:szCs w:val="24"/>
        </w:rPr>
        <w:t>2012) “</w:t>
      </w:r>
      <w:r w:rsidRPr="00AD3870">
        <w:rPr>
          <w:rFonts w:ascii="Arial" w:hAnsi="Arial" w:cs="Arial"/>
          <w:iCs/>
          <w:szCs w:val="24"/>
        </w:rPr>
        <w:t>Strengthening the Role of English Higher Education Institutions in the Innovation System: Knowledge Exchange and HEIF Funding”</w:t>
      </w:r>
      <w:r w:rsidR="0021089D">
        <w:rPr>
          <w:rFonts w:ascii="Arial" w:hAnsi="Arial" w:cs="Arial"/>
          <w:iCs/>
          <w:szCs w:val="24"/>
        </w:rPr>
        <w:t>.</w:t>
      </w:r>
      <w:r w:rsidRPr="00AD3870">
        <w:rPr>
          <w:rFonts w:ascii="Arial" w:hAnsi="Arial" w:cs="Arial"/>
          <w:iCs/>
          <w:szCs w:val="24"/>
        </w:rPr>
        <w:t xml:space="preserve"> PACEC Report to HEFCE, April.</w:t>
      </w:r>
    </w:p>
    <w:p w:rsidR="00B84942" w:rsidRPr="00856080" w:rsidRDefault="00B84942" w:rsidP="00924EA5">
      <w:pPr>
        <w:pStyle w:val="Belmana4normal"/>
      </w:pPr>
    </w:p>
    <w:sectPr w:rsidR="00B84942" w:rsidRPr="00856080" w:rsidSect="00885558">
      <w:pgSz w:w="11906" w:h="16838"/>
      <w:pgMar w:top="1440" w:right="1440" w:bottom="1440" w:left="1440"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D441C7" w:rsidRDefault="00D441C7" w:rsidP="00856080">
      <w:pPr>
        <w:spacing w:after="0" w:line="240" w:lineRule="auto"/>
      </w:pPr>
      <w:r>
        <w:separator/>
      </w:r>
    </w:p>
  </w:endnote>
  <w:endnote w:type="continuationSeparator" w:id="0">
    <w:p w:rsidR="00D441C7" w:rsidRDefault="00D441C7" w:rsidP="0085608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 w:name="Yu Gothic Light">
    <w:charset w:val="80"/>
    <w:family w:val="swiss"/>
    <w:pitch w:val="variable"/>
    <w:sig w:usb0="E00002FF" w:usb1="2AC7FDFF" w:usb2="00000016" w:usb3="00000000" w:csb0="0002009F" w:csb1="00000000"/>
  </w:font>
  <w:font w:name="Arial">
    <w:panose1 w:val="020B0604020202020204"/>
    <w:charset w:val="00"/>
    <w:family w:val="swiss"/>
    <w:pitch w:val="variable"/>
    <w:sig w:usb0="E0002AFF" w:usb1="C0007843"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 w:name="Yu Mincho">
    <w:altName w:val="游明朝"/>
    <w:charset w:val="80"/>
    <w:family w:val="roman"/>
    <w:pitch w:val="variable"/>
    <w:sig w:usb0="800002E7" w:usb1="2AC7FCFF" w:usb2="00000012" w:usb3="00000000" w:csb0="000200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Cambria Math">
    <w:panose1 w:val="02040503050406030204"/>
    <w:charset w:val="00"/>
    <w:family w:val="roman"/>
    <w:pitch w:val="variable"/>
    <w:sig w:usb0="E00002FF" w:usb1="42002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1C7" w:rsidRPr="004E55A4" w:rsidRDefault="00D441C7" w:rsidP="003A2444">
    <w:pPr>
      <w:pStyle w:val="Foote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011"/>
      <w:gridCol w:w="5325"/>
    </w:tblGrid>
    <w:tr w:rsidR="00D441C7">
      <w:tc>
        <w:tcPr>
          <w:tcW w:w="5011" w:type="dxa"/>
        </w:tcPr>
        <w:p w:rsidR="00D441C7" w:rsidRDefault="00D441C7" w:rsidP="003A2444">
          <w:pPr>
            <w:pStyle w:val="Footer"/>
            <w:ind w:left="1440"/>
          </w:pPr>
          <w:r>
            <w:rPr>
              <w:noProof/>
              <w:color w:val="993367"/>
              <w:lang w:eastAsia="en-GB"/>
            </w:rPr>
            <w:drawing>
              <wp:inline distT="0" distB="0" distL="0" distR="0">
                <wp:extent cx="1264347" cy="840041"/>
                <wp:effectExtent l="0" t="0" r="0" b="0"/>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3" name="Belmana LOGO.jpg"/>
                        <pic:cNvPicPr/>
                      </pic:nvPicPr>
                      <pic:blipFill>
                        <a:blip r:embed="rId1"/>
                        <a:stretch>
                          <a:fillRect/>
                        </a:stretch>
                      </pic:blipFill>
                      <pic:spPr>
                        <a:xfrm>
                          <a:off x="0" y="0"/>
                          <a:ext cx="1279006" cy="849781"/>
                        </a:xfrm>
                        <a:prstGeom prst="rect">
                          <a:avLst/>
                        </a:prstGeom>
                      </pic:spPr>
                    </pic:pic>
                  </a:graphicData>
                </a:graphic>
              </wp:inline>
            </w:drawing>
          </w:r>
        </w:p>
      </w:tc>
      <w:tc>
        <w:tcPr>
          <w:tcW w:w="5325" w:type="dxa"/>
        </w:tcPr>
        <w:p w:rsidR="00D441C7" w:rsidRDefault="00D441C7" w:rsidP="003A2444">
          <w:pPr>
            <w:pStyle w:val="Footer"/>
            <w:ind w:left="1440"/>
            <w:jc w:val="right"/>
          </w:pPr>
          <w:r>
            <w:rPr>
              <w:noProof/>
              <w:lang w:eastAsia="en-GB"/>
            </w:rPr>
            <w:drawing>
              <wp:inline distT="0" distB="0" distL="0" distR="0">
                <wp:extent cx="1778000" cy="700405"/>
                <wp:effectExtent l="0" t="0" r="0" b="4445"/>
                <wp:docPr id="24"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2" name="mdx.png"/>
                        <pic:cNvPicPr/>
                      </pic:nvPicPr>
                      <pic:blipFill>
                        <a:blip r:embed="rId2"/>
                        <a:stretch>
                          <a:fillRect/>
                        </a:stretch>
                      </pic:blipFill>
                      <pic:spPr>
                        <a:xfrm>
                          <a:off x="0" y="0"/>
                          <a:ext cx="1778000" cy="700405"/>
                        </a:xfrm>
                        <a:prstGeom prst="rect">
                          <a:avLst/>
                        </a:prstGeom>
                      </pic:spPr>
                    </pic:pic>
                  </a:graphicData>
                </a:graphic>
              </wp:inline>
            </w:drawing>
          </w:r>
        </w:p>
      </w:tc>
    </w:tr>
  </w:tbl>
  <w:p w:rsidR="00D441C7" w:rsidRPr="004E55A4" w:rsidRDefault="00D441C7" w:rsidP="004E55A4">
    <w:pPr>
      <w:pStyle w:val="Footer"/>
      <w:ind w:left="15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35957989"/>
      <w:docPartObj>
        <w:docPartGallery w:val="Page Numbers (Bottom of Page)"/>
        <w:docPartUnique/>
      </w:docPartObj>
    </w:sdtPr>
    <w:sdtEndPr>
      <w:rPr>
        <w:noProof/>
      </w:rPr>
    </w:sdtEndPr>
    <w:sdtContent>
      <w:p w:rsidR="00D441C7" w:rsidRDefault="00D441C7">
        <w:pPr>
          <w:pStyle w:val="Footer"/>
          <w:jc w:val="right"/>
        </w:pPr>
        <w:r>
          <w:fldChar w:fldCharType="begin"/>
        </w:r>
        <w:r>
          <w:instrText xml:space="preserve"> PAGE   \* MERGEFORMAT </w:instrText>
        </w:r>
        <w:r>
          <w:fldChar w:fldCharType="separate"/>
        </w:r>
        <w:r w:rsidR="003171D7">
          <w:rPr>
            <w:noProof/>
          </w:rPr>
          <w:t>55</w:t>
        </w:r>
        <w:r>
          <w:rPr>
            <w:noProof/>
          </w:rPr>
          <w:fldChar w:fldCharType="end"/>
        </w:r>
      </w:p>
    </w:sdtContent>
  </w:sdt>
  <w:p w:rsidR="00D441C7" w:rsidRPr="009D543D" w:rsidRDefault="00D441C7" w:rsidP="00506E38">
    <w:pPr>
      <w:pStyle w:val="Footer"/>
      <w:jc w:val="right"/>
      <w:rPr>
        <w:rFonts w:ascii="Arial" w:hAnsi="Arial" w:cs="Arial"/>
        <w:sz w:val="18"/>
      </w:rP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1C7" w:rsidRDefault="00D441C7">
    <w:pPr>
      <w:pStyle w:val="Footer"/>
    </w:pPr>
    <w:r>
      <w:rPr>
        <w:noProof/>
        <w:lang w:eastAsia="en-GB"/>
      </w:rPr>
      <mc:AlternateContent>
        <mc:Choice Requires="wps">
          <w:drawing>
            <wp:anchor distT="0" distB="0" distL="114300" distR="114300" simplePos="0" relativeHeight="251662336" behindDoc="0" locked="0" layoutInCell="1" allowOverlap="1">
              <wp:simplePos x="0" y="0"/>
              <wp:positionH relativeFrom="column">
                <wp:posOffset>-81915</wp:posOffset>
              </wp:positionH>
              <wp:positionV relativeFrom="paragraph">
                <wp:posOffset>-1127125</wp:posOffset>
              </wp:positionV>
              <wp:extent cx="1504950" cy="1057275"/>
              <wp:effectExtent l="0" t="0" r="0" b="0"/>
              <wp:wrapNone/>
              <wp:docPr id="134" name="Rectangle 134" hidden="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504950" cy="1057275"/>
                      </a:xfrm>
                      <a:prstGeom prst="rect">
                        <a:avLst/>
                      </a:prstGeom>
                      <a:solidFill>
                        <a:srgbClr val="993366"/>
                      </a:solidFill>
                      <a:ln>
                        <a:solidFill>
                          <a:srgbClr val="993366"/>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page">
                <wp14:pctWidth>0</wp14:pctWidth>
              </wp14:sizeRelH>
              <wp14:sizeRelV relativeFrom="page">
                <wp14:pctHeight>0</wp14:pctHeight>
              </wp14:sizeRelV>
            </wp:anchor>
          </w:drawing>
        </mc:Choice>
        <mc:Fallback xmlns:w16se="http://schemas.microsoft.com/office/word/2015/wordml/symex" xmlns:w16cid="http://schemas.microsoft.com/office/word/2016/wordml/cid"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xmlns:cx1="http://schemas.microsoft.com/office/drawing/2015/9/8/chartex" xmlns:cx="http://schemas.microsoft.com/office/drawing/2014/chartex">
          <w:pict>
            <v:rect w14:anchorId="54E46E31" id="Rectangle 134" o:spid="_x0000_s1026" style="position:absolute;margin-left:-6.45pt;margin-top:-88.75pt;width:118.5pt;height:83.25pt;z-index:251662336;visibility:hidden;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" fillcolor="#936" strokecolor="#936" strokeweight="1pt">
              <v:path arrowok="t"/>
            </v:rect>
          </w:pict>
        </mc:Fallback>
      </mc:AlternateConten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D441C7" w:rsidRDefault="00D441C7" w:rsidP="00856080">
      <w:pPr>
        <w:spacing w:after="0" w:line="240" w:lineRule="auto"/>
      </w:pPr>
      <w:r>
        <w:separator/>
      </w:r>
    </w:p>
  </w:footnote>
  <w:footnote w:type="continuationSeparator" w:id="0">
    <w:p w:rsidR="00D441C7" w:rsidRDefault="00D441C7" w:rsidP="00856080">
      <w:pPr>
        <w:spacing w:after="0" w:line="240" w:lineRule="auto"/>
      </w:pPr>
      <w:r>
        <w:continuationSeparator/>
      </w:r>
    </w:p>
  </w:footnote>
  <w:footnote w:id="1">
    <w:p w:rsidR="00D441C7" w:rsidRPr="00392059" w:rsidRDefault="00D441C7" w:rsidP="00B84942">
      <w:pPr>
        <w:pStyle w:val="FootnoteText"/>
        <w:rPr>
          <w:rFonts w:ascii="Arial" w:hAnsi="Arial" w:cs="Arial"/>
          <w:lang w:val="en-GB"/>
        </w:rPr>
      </w:pPr>
      <w:r w:rsidRPr="001A6F94">
        <w:rPr>
          <w:rStyle w:val="FootnoteReference"/>
          <w:rFonts w:ascii="Arial" w:hAnsi="Arial" w:cs="Arial"/>
        </w:rPr>
        <w:footnoteRef/>
      </w:r>
      <w:r w:rsidRPr="001A6F94">
        <w:rPr>
          <w:rFonts w:ascii="Arial" w:hAnsi="Arial" w:cs="Arial"/>
        </w:rPr>
        <w:t xml:space="preserve"> </w:t>
      </w:r>
      <w:bookmarkStart w:id="23" w:name="_Hlk494796611"/>
      <w:r w:rsidRPr="001A6F94">
        <w:rPr>
          <w:rFonts w:ascii="Arial" w:hAnsi="Arial" w:cs="Arial"/>
          <w:lang w:val="en-GB"/>
        </w:rPr>
        <w:t xml:space="preserve">The maximum funding </w:t>
      </w:r>
      <w:r>
        <w:rPr>
          <w:rFonts w:ascii="Arial" w:hAnsi="Arial" w:cs="Arial"/>
          <w:lang w:val="en-GB"/>
        </w:rPr>
        <w:t xml:space="preserve">HEIs </w:t>
      </w:r>
      <w:r w:rsidRPr="001A6F94">
        <w:rPr>
          <w:rFonts w:ascii="Arial" w:hAnsi="Arial" w:cs="Arial"/>
          <w:lang w:val="en-GB"/>
        </w:rPr>
        <w:t>could apply for was raised from £35</w:t>
      </w:r>
      <w:r>
        <w:rPr>
          <w:rFonts w:ascii="Arial" w:hAnsi="Arial" w:cs="Arial"/>
          <w:lang w:val="en-GB"/>
        </w:rPr>
        <w:t xml:space="preserve">m </w:t>
      </w:r>
      <w:r w:rsidRPr="001A6F94">
        <w:rPr>
          <w:rFonts w:ascii="Arial" w:hAnsi="Arial" w:cs="Arial"/>
          <w:lang w:val="en-GB"/>
        </w:rPr>
        <w:t xml:space="preserve">after </w:t>
      </w:r>
      <w:r>
        <w:rPr>
          <w:rFonts w:ascii="Arial" w:hAnsi="Arial" w:cs="Arial"/>
          <w:lang w:val="en-GB"/>
        </w:rPr>
        <w:t>R</w:t>
      </w:r>
      <w:r w:rsidRPr="001A6F94">
        <w:rPr>
          <w:rFonts w:ascii="Arial" w:hAnsi="Arial" w:cs="Arial"/>
          <w:lang w:val="en-GB"/>
        </w:rPr>
        <w:t>ound 4.</w:t>
      </w:r>
      <w:bookmarkEnd w:id="23"/>
    </w:p>
  </w:footnote>
  <w:footnote w:id="2">
    <w:p w:rsidR="00D441C7" w:rsidRPr="009A2542" w:rsidRDefault="00D441C7">
      <w:pPr>
        <w:pStyle w:val="FootnoteText"/>
        <w:rPr>
          <w:lang w:val="en-GB"/>
        </w:rPr>
      </w:pPr>
      <w:r>
        <w:rPr>
          <w:rStyle w:val="FootnoteReference"/>
        </w:rPr>
        <w:footnoteRef/>
      </w:r>
      <w:r>
        <w:t xml:space="preserve"> </w:t>
      </w:r>
      <w:r>
        <w:rPr>
          <w:lang w:val="en-GB"/>
        </w:rPr>
        <w:t xml:space="preserve">Note that 1.67bn and 1.73bn are rounded figures. </w:t>
      </w:r>
    </w:p>
  </w:footnote>
  <w:footnote w:id="3">
    <w:p w:rsidR="00D441C7" w:rsidRPr="0034579B" w:rsidRDefault="00D441C7" w:rsidP="00B84942">
      <w:pPr>
        <w:pStyle w:val="FootnoteText"/>
        <w:rPr>
          <w:lang w:val="en-GB"/>
        </w:rPr>
      </w:pPr>
      <w:r>
        <w:rPr>
          <w:rStyle w:val="FootnoteReference"/>
        </w:rPr>
        <w:footnoteRef/>
      </w:r>
      <w:r>
        <w:t xml:space="preserve"> </w:t>
      </w:r>
      <w:r>
        <w:rPr>
          <w:lang w:val="en-GB"/>
        </w:rPr>
        <w:t>By the University of Strathclyde, in relation to the UKRPIF project “</w:t>
      </w:r>
      <w:r w:rsidRPr="00EF0F27">
        <w:rPr>
          <w:lang w:val="en-GB"/>
        </w:rPr>
        <w:t>Continuous Manufacturing and Crystalli</w:t>
      </w:r>
      <w:r>
        <w:rPr>
          <w:lang w:val="en-GB"/>
        </w:rPr>
        <w:t>s</w:t>
      </w:r>
      <w:r w:rsidRPr="00EF0F27">
        <w:rPr>
          <w:lang w:val="en-GB"/>
        </w:rPr>
        <w:t>ation Research for Pharmaceutical Products</w:t>
      </w:r>
      <w:r>
        <w:rPr>
          <w:lang w:val="en-GB"/>
        </w:rPr>
        <w:t>”</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1C7" w:rsidRDefault="00D441C7">
    <w:pPr>
      <w:pStyle w:val="Header"/>
    </w:pPr>
  </w:p>
  <w:p w:rsidR="00D441C7" w:rsidRDefault="00D441C7"/>
  <w:p w:rsidR="00D441C7" w:rsidRDefault="00D441C7"/>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1C7" w:rsidRPr="00CF77AD" w:rsidRDefault="00D441C7">
    <w:pPr>
      <w:pStyle w:val="Header"/>
      <w:rPr>
        <w:rFonts w:ascii="Arial" w:hAnsi="Arial" w:cs="Arial"/>
        <w:sz w:val="20"/>
      </w:rPr>
    </w:pPr>
    <w:r w:rsidRPr="00CF77AD">
      <w:rPr>
        <w:rFonts w:ascii="Arial" w:hAnsi="Arial" w:cs="Arial"/>
        <w:sz w:val="20"/>
      </w:rPr>
      <w:tab/>
    </w:r>
    <w:r w:rsidRPr="00CF77AD">
      <w:rPr>
        <w:rFonts w:ascii="Arial" w:hAnsi="Arial" w:cs="Arial"/>
        <w:sz w:val="20"/>
      </w:rPr>
      <w:tab/>
    </w:r>
  </w:p>
  <w:p w:rsidR="00D441C7" w:rsidRPr="00CF77AD" w:rsidRDefault="00D441C7">
    <w:pPr>
      <w:rPr>
        <w:rFonts w:ascii="Arial" w:hAnsi="Arial" w:cs="Arial"/>
        <w:sz w:val="20"/>
      </w:rPr>
    </w:pPr>
  </w:p>
  <w:p w:rsidR="00D441C7" w:rsidRPr="00CF77AD" w:rsidRDefault="00D441C7">
    <w:pPr>
      <w:rPr>
        <w:rFonts w:ascii="Arial" w:hAnsi="Arial" w:cs="Arial"/>
        <w:sz w:val="20"/>
      </w:rP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1C7" w:rsidRDefault="00D441C7">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D441C7" w:rsidRPr="00CF77AD" w:rsidRDefault="00D441C7">
    <w:pPr>
      <w:pStyle w:val="Header"/>
      <w:rPr>
        <w:rFonts w:ascii="Arial" w:hAnsi="Arial" w:cs="Arial"/>
        <w:sz w:val="20"/>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B97482"/>
    <w:multiLevelType w:val="hybridMultilevel"/>
    <w:tmpl w:val="C21E7F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46539A4"/>
    <w:multiLevelType w:val="hybridMultilevel"/>
    <w:tmpl w:val="1EC4894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F92935"/>
    <w:multiLevelType w:val="hybridMultilevel"/>
    <w:tmpl w:val="159A3A52"/>
    <w:lvl w:ilvl="0" w:tplc="A44C72B2">
      <w:start w:val="1"/>
      <w:numFmt w:val="decimal"/>
      <w:pStyle w:val="Belmananormal"/>
      <w:lvlText w:val="%1."/>
      <w:lvlJc w:val="left"/>
      <w:pPr>
        <w:ind w:left="0" w:firstLine="0"/>
      </w:pPr>
      <w:rPr>
        <w:rFonts w:hint="default"/>
        <w:sz w:val="24"/>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1C6C0FF8"/>
    <w:multiLevelType w:val="hybridMultilevel"/>
    <w:tmpl w:val="A7B68CA0"/>
    <w:lvl w:ilvl="0" w:tplc="04090001">
      <w:start w:val="1"/>
      <w:numFmt w:val="bullet"/>
      <w:lvlText w:val=""/>
      <w:lvlJc w:val="left"/>
      <w:pPr>
        <w:ind w:left="786" w:hanging="360"/>
      </w:pPr>
      <w:rPr>
        <w:rFonts w:ascii="Symbol" w:hAnsi="Symbol" w:hint="default"/>
      </w:rPr>
    </w:lvl>
    <w:lvl w:ilvl="1" w:tplc="04090003" w:tentative="1">
      <w:start w:val="1"/>
      <w:numFmt w:val="bullet"/>
      <w:lvlText w:val="o"/>
      <w:lvlJc w:val="left"/>
      <w:pPr>
        <w:ind w:left="1506" w:hanging="360"/>
      </w:pPr>
      <w:rPr>
        <w:rFonts w:ascii="Courier New" w:hAnsi="Courier New" w:cs="Courier New" w:hint="default"/>
      </w:rPr>
    </w:lvl>
    <w:lvl w:ilvl="2" w:tplc="04090005" w:tentative="1">
      <w:start w:val="1"/>
      <w:numFmt w:val="bullet"/>
      <w:lvlText w:val=""/>
      <w:lvlJc w:val="left"/>
      <w:pPr>
        <w:ind w:left="2226" w:hanging="360"/>
      </w:pPr>
      <w:rPr>
        <w:rFonts w:ascii="Wingdings" w:hAnsi="Wingdings" w:hint="default"/>
      </w:rPr>
    </w:lvl>
    <w:lvl w:ilvl="3" w:tplc="04090001" w:tentative="1">
      <w:start w:val="1"/>
      <w:numFmt w:val="bullet"/>
      <w:lvlText w:val=""/>
      <w:lvlJc w:val="left"/>
      <w:pPr>
        <w:ind w:left="2946" w:hanging="360"/>
      </w:pPr>
      <w:rPr>
        <w:rFonts w:ascii="Symbol" w:hAnsi="Symbol" w:hint="default"/>
      </w:rPr>
    </w:lvl>
    <w:lvl w:ilvl="4" w:tplc="04090003" w:tentative="1">
      <w:start w:val="1"/>
      <w:numFmt w:val="bullet"/>
      <w:lvlText w:val="o"/>
      <w:lvlJc w:val="left"/>
      <w:pPr>
        <w:ind w:left="3666" w:hanging="360"/>
      </w:pPr>
      <w:rPr>
        <w:rFonts w:ascii="Courier New" w:hAnsi="Courier New" w:cs="Courier New" w:hint="default"/>
      </w:rPr>
    </w:lvl>
    <w:lvl w:ilvl="5" w:tplc="04090005" w:tentative="1">
      <w:start w:val="1"/>
      <w:numFmt w:val="bullet"/>
      <w:lvlText w:val=""/>
      <w:lvlJc w:val="left"/>
      <w:pPr>
        <w:ind w:left="4386" w:hanging="360"/>
      </w:pPr>
      <w:rPr>
        <w:rFonts w:ascii="Wingdings" w:hAnsi="Wingdings" w:hint="default"/>
      </w:rPr>
    </w:lvl>
    <w:lvl w:ilvl="6" w:tplc="04090001" w:tentative="1">
      <w:start w:val="1"/>
      <w:numFmt w:val="bullet"/>
      <w:lvlText w:val=""/>
      <w:lvlJc w:val="left"/>
      <w:pPr>
        <w:ind w:left="5106" w:hanging="360"/>
      </w:pPr>
      <w:rPr>
        <w:rFonts w:ascii="Symbol" w:hAnsi="Symbol" w:hint="default"/>
      </w:rPr>
    </w:lvl>
    <w:lvl w:ilvl="7" w:tplc="04090003" w:tentative="1">
      <w:start w:val="1"/>
      <w:numFmt w:val="bullet"/>
      <w:lvlText w:val="o"/>
      <w:lvlJc w:val="left"/>
      <w:pPr>
        <w:ind w:left="5826" w:hanging="360"/>
      </w:pPr>
      <w:rPr>
        <w:rFonts w:ascii="Courier New" w:hAnsi="Courier New" w:cs="Courier New" w:hint="default"/>
      </w:rPr>
    </w:lvl>
    <w:lvl w:ilvl="8" w:tplc="04090005" w:tentative="1">
      <w:start w:val="1"/>
      <w:numFmt w:val="bullet"/>
      <w:lvlText w:val=""/>
      <w:lvlJc w:val="left"/>
      <w:pPr>
        <w:ind w:left="6546" w:hanging="360"/>
      </w:pPr>
      <w:rPr>
        <w:rFonts w:ascii="Wingdings" w:hAnsi="Wingdings" w:hint="default"/>
      </w:rPr>
    </w:lvl>
  </w:abstractNum>
  <w:abstractNum w:abstractNumId="4" w15:restartNumberingAfterBreak="0">
    <w:nsid w:val="1C8A0FB9"/>
    <w:multiLevelType w:val="hybridMultilevel"/>
    <w:tmpl w:val="CCFA3F7C"/>
    <w:lvl w:ilvl="0" w:tplc="08090001">
      <w:start w:val="1"/>
      <w:numFmt w:val="bullet"/>
      <w:lvlText w:val=""/>
      <w:lvlJc w:val="left"/>
      <w:pPr>
        <w:ind w:left="720" w:hanging="360"/>
      </w:pPr>
      <w:rPr>
        <w:rFonts w:ascii="Symbol" w:hAnsi="Symbol"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277A1B4D"/>
    <w:multiLevelType w:val="hybridMultilevel"/>
    <w:tmpl w:val="F036D42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2CE05754"/>
    <w:multiLevelType w:val="hybridMultilevel"/>
    <w:tmpl w:val="F54AD54C"/>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7" w15:restartNumberingAfterBreak="0">
    <w:nsid w:val="307A651B"/>
    <w:multiLevelType w:val="multilevel"/>
    <w:tmpl w:val="C0CCC9D4"/>
    <w:styleLink w:val="BelmanaList"/>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30BD08FF"/>
    <w:multiLevelType w:val="hybridMultilevel"/>
    <w:tmpl w:val="B7B05018"/>
    <w:lvl w:ilvl="0" w:tplc="02E8FD56">
      <w:start w:val="1"/>
      <w:numFmt w:val="decimal"/>
      <w:pStyle w:val="BelmanaHeadNumbered"/>
      <w:lvlText w:val="%1."/>
      <w:lvlJc w:val="left"/>
      <w:pPr>
        <w:ind w:left="0" w:firstLine="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3CF436B"/>
    <w:multiLevelType w:val="hybridMultilevel"/>
    <w:tmpl w:val="460A772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4585E7F"/>
    <w:multiLevelType w:val="hybridMultilevel"/>
    <w:tmpl w:val="D18A234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F178CD"/>
    <w:multiLevelType w:val="hybridMultilevel"/>
    <w:tmpl w:val="5694037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4AFF543D"/>
    <w:multiLevelType w:val="hybridMultilevel"/>
    <w:tmpl w:val="BC44FA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4F7E6690"/>
    <w:multiLevelType w:val="hybridMultilevel"/>
    <w:tmpl w:val="C97EA0B6"/>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FFB1B9D"/>
    <w:multiLevelType w:val="hybridMultilevel"/>
    <w:tmpl w:val="F490CE1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512B26E0"/>
    <w:multiLevelType w:val="hybridMultilevel"/>
    <w:tmpl w:val="2922875E"/>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6" w15:restartNumberingAfterBreak="0">
    <w:nsid w:val="57A77874"/>
    <w:multiLevelType w:val="multilevel"/>
    <w:tmpl w:val="98BCD0DE"/>
    <w:lvl w:ilvl="0">
      <w:start w:val="1"/>
      <w:numFmt w:val="upperRoman"/>
      <w:lvlText w:val="%1."/>
      <w:lvlJc w:val="right"/>
      <w:pPr>
        <w:tabs>
          <w:tab w:val="num" w:pos="720"/>
        </w:tabs>
        <w:ind w:left="720" w:hanging="360"/>
      </w:pPr>
      <w:rPr>
        <w:rFonts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7" w15:restartNumberingAfterBreak="0">
    <w:nsid w:val="5D66681B"/>
    <w:multiLevelType w:val="hybridMultilevel"/>
    <w:tmpl w:val="F39076A4"/>
    <w:lvl w:ilvl="0" w:tplc="E470349A">
      <w:start w:val="1"/>
      <w:numFmt w:val="decimal"/>
      <w:pStyle w:val="Belmana3"/>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8" w15:restartNumberingAfterBreak="0">
    <w:nsid w:val="6006191E"/>
    <w:multiLevelType w:val="hybridMultilevel"/>
    <w:tmpl w:val="D624DC22"/>
    <w:lvl w:ilvl="0" w:tplc="08090001">
      <w:start w:val="1"/>
      <w:numFmt w:val="bullet"/>
      <w:lvlText w:val=""/>
      <w:lvlJc w:val="left"/>
      <w:pPr>
        <w:ind w:left="780" w:hanging="360"/>
      </w:pPr>
      <w:rPr>
        <w:rFonts w:ascii="Symbol" w:hAnsi="Symbol" w:hint="default"/>
      </w:rPr>
    </w:lvl>
    <w:lvl w:ilvl="1" w:tplc="08090003" w:tentative="1">
      <w:start w:val="1"/>
      <w:numFmt w:val="bullet"/>
      <w:lvlText w:val="o"/>
      <w:lvlJc w:val="left"/>
      <w:pPr>
        <w:ind w:left="1500" w:hanging="360"/>
      </w:pPr>
      <w:rPr>
        <w:rFonts w:ascii="Courier New" w:hAnsi="Courier New" w:cs="Courier New" w:hint="default"/>
      </w:rPr>
    </w:lvl>
    <w:lvl w:ilvl="2" w:tplc="08090005" w:tentative="1">
      <w:start w:val="1"/>
      <w:numFmt w:val="bullet"/>
      <w:lvlText w:val=""/>
      <w:lvlJc w:val="left"/>
      <w:pPr>
        <w:ind w:left="2220" w:hanging="360"/>
      </w:pPr>
      <w:rPr>
        <w:rFonts w:ascii="Wingdings" w:hAnsi="Wingdings" w:hint="default"/>
      </w:rPr>
    </w:lvl>
    <w:lvl w:ilvl="3" w:tplc="08090001" w:tentative="1">
      <w:start w:val="1"/>
      <w:numFmt w:val="bullet"/>
      <w:lvlText w:val=""/>
      <w:lvlJc w:val="left"/>
      <w:pPr>
        <w:ind w:left="2940" w:hanging="360"/>
      </w:pPr>
      <w:rPr>
        <w:rFonts w:ascii="Symbol" w:hAnsi="Symbol" w:hint="default"/>
      </w:rPr>
    </w:lvl>
    <w:lvl w:ilvl="4" w:tplc="08090003" w:tentative="1">
      <w:start w:val="1"/>
      <w:numFmt w:val="bullet"/>
      <w:lvlText w:val="o"/>
      <w:lvlJc w:val="left"/>
      <w:pPr>
        <w:ind w:left="3660" w:hanging="360"/>
      </w:pPr>
      <w:rPr>
        <w:rFonts w:ascii="Courier New" w:hAnsi="Courier New" w:cs="Courier New" w:hint="default"/>
      </w:rPr>
    </w:lvl>
    <w:lvl w:ilvl="5" w:tplc="08090005" w:tentative="1">
      <w:start w:val="1"/>
      <w:numFmt w:val="bullet"/>
      <w:lvlText w:val=""/>
      <w:lvlJc w:val="left"/>
      <w:pPr>
        <w:ind w:left="4380" w:hanging="360"/>
      </w:pPr>
      <w:rPr>
        <w:rFonts w:ascii="Wingdings" w:hAnsi="Wingdings" w:hint="default"/>
      </w:rPr>
    </w:lvl>
    <w:lvl w:ilvl="6" w:tplc="08090001" w:tentative="1">
      <w:start w:val="1"/>
      <w:numFmt w:val="bullet"/>
      <w:lvlText w:val=""/>
      <w:lvlJc w:val="left"/>
      <w:pPr>
        <w:ind w:left="5100" w:hanging="360"/>
      </w:pPr>
      <w:rPr>
        <w:rFonts w:ascii="Symbol" w:hAnsi="Symbol" w:hint="default"/>
      </w:rPr>
    </w:lvl>
    <w:lvl w:ilvl="7" w:tplc="08090003" w:tentative="1">
      <w:start w:val="1"/>
      <w:numFmt w:val="bullet"/>
      <w:lvlText w:val="o"/>
      <w:lvlJc w:val="left"/>
      <w:pPr>
        <w:ind w:left="5820" w:hanging="360"/>
      </w:pPr>
      <w:rPr>
        <w:rFonts w:ascii="Courier New" w:hAnsi="Courier New" w:cs="Courier New" w:hint="default"/>
      </w:rPr>
    </w:lvl>
    <w:lvl w:ilvl="8" w:tplc="08090005" w:tentative="1">
      <w:start w:val="1"/>
      <w:numFmt w:val="bullet"/>
      <w:lvlText w:val=""/>
      <w:lvlJc w:val="left"/>
      <w:pPr>
        <w:ind w:left="6540" w:hanging="360"/>
      </w:pPr>
      <w:rPr>
        <w:rFonts w:ascii="Wingdings" w:hAnsi="Wingdings" w:hint="default"/>
      </w:rPr>
    </w:lvl>
  </w:abstractNum>
  <w:abstractNum w:abstractNumId="19" w15:restartNumberingAfterBreak="0">
    <w:nsid w:val="69913577"/>
    <w:multiLevelType w:val="hybridMultilevel"/>
    <w:tmpl w:val="A4967B24"/>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0" w15:restartNumberingAfterBreak="0">
    <w:nsid w:val="74E83F3F"/>
    <w:multiLevelType w:val="hybridMultilevel"/>
    <w:tmpl w:val="6AF6CFC8"/>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6AF5A77"/>
    <w:multiLevelType w:val="hybridMultilevel"/>
    <w:tmpl w:val="8DB6184A"/>
    <w:lvl w:ilvl="0" w:tplc="08090005">
      <w:start w:val="1"/>
      <w:numFmt w:val="bullet"/>
      <w:lvlText w:val=""/>
      <w:lvlJc w:val="left"/>
      <w:pPr>
        <w:ind w:left="720" w:hanging="360"/>
      </w:pPr>
      <w:rPr>
        <w:rFonts w:ascii="Wingdings" w:hAnsi="Wingdings"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7"/>
  </w:num>
  <w:num w:numId="2">
    <w:abstractNumId w:val="12"/>
  </w:num>
  <w:num w:numId="3">
    <w:abstractNumId w:val="5"/>
  </w:num>
  <w:num w:numId="4">
    <w:abstractNumId w:val="0"/>
  </w:num>
  <w:num w:numId="5">
    <w:abstractNumId w:val="4"/>
  </w:num>
  <w:num w:numId="6">
    <w:abstractNumId w:val="18"/>
  </w:num>
  <w:num w:numId="7">
    <w:abstractNumId w:val="9"/>
  </w:num>
  <w:num w:numId="8">
    <w:abstractNumId w:val="1"/>
  </w:num>
  <w:num w:numId="9">
    <w:abstractNumId w:val="14"/>
  </w:num>
  <w:num w:numId="10">
    <w:abstractNumId w:val="19"/>
  </w:num>
  <w:num w:numId="11">
    <w:abstractNumId w:val="20"/>
  </w:num>
  <w:num w:numId="12">
    <w:abstractNumId w:val="16"/>
  </w:num>
  <w:num w:numId="13">
    <w:abstractNumId w:val="15"/>
  </w:num>
  <w:num w:numId="14">
    <w:abstractNumId w:val="13"/>
  </w:num>
  <w:num w:numId="15">
    <w:abstractNumId w:val="6"/>
  </w:num>
  <w:num w:numId="16">
    <w:abstractNumId w:val="10"/>
  </w:num>
  <w:num w:numId="17">
    <w:abstractNumId w:val="11"/>
  </w:num>
  <w:num w:numId="18">
    <w:abstractNumId w:val="21"/>
  </w:num>
  <w:num w:numId="19">
    <w:abstractNumId w:val="17"/>
  </w:num>
  <w:num w:numId="20">
    <w:abstractNumId w:val="17"/>
    <w:lvlOverride w:ilvl="0">
      <w:startOverride w:val="1"/>
    </w:lvlOverride>
  </w:num>
  <w:num w:numId="21">
    <w:abstractNumId w:val="2"/>
  </w:num>
  <w:num w:numId="22">
    <w:abstractNumId w:val="2"/>
    <w:lvlOverride w:ilvl="0">
      <w:startOverride w:val="1"/>
    </w:lvlOverride>
  </w:num>
  <w:num w:numId="23">
    <w:abstractNumId w:val="2"/>
    <w:lvlOverride w:ilvl="0">
      <w:startOverride w:val="1"/>
    </w:lvlOverride>
  </w:num>
  <w:num w:numId="24">
    <w:abstractNumId w:val="2"/>
    <w:lvlOverride w:ilvl="0">
      <w:startOverride w:val="1"/>
    </w:lvlOverride>
  </w:num>
  <w:num w:numId="25">
    <w:abstractNumId w:val="2"/>
    <w:lvlOverride w:ilvl="0">
      <w:startOverride w:val="1"/>
    </w:lvlOverride>
  </w:num>
  <w:num w:numId="26">
    <w:abstractNumId w:val="2"/>
    <w:lvlOverride w:ilvl="0">
      <w:startOverride w:val="1"/>
    </w:lvlOverride>
  </w:num>
  <w:num w:numId="27">
    <w:abstractNumId w:val="8"/>
  </w:num>
  <w:num w:numId="28">
    <w:abstractNumId w:val="17"/>
    <w:lvlOverride w:ilvl="0">
      <w:startOverride w:val="1"/>
    </w:lvlOverride>
  </w:num>
  <w:num w:numId="29">
    <w:abstractNumId w:val="3"/>
  </w:num>
  <w:num w:numId="30">
    <w:abstractNumId w:val="17"/>
    <w:lvlOverride w:ilvl="0">
      <w:startOverride w:val="1"/>
    </w:lvlOverride>
  </w:num>
  <w:num w:numId="31">
    <w:abstractNumId w:val="2"/>
    <w:lvlOverride w:ilvl="0">
      <w:startOverride w:val="1"/>
    </w:lvlOverride>
  </w:num>
  <w:num w:numId="32">
    <w:abstractNumId w:val="8"/>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isplayBackgroundShape/>
  <w:proofState w:grammar="clean"/>
  <w:defaultTabStop w:val="720"/>
  <w:drawingGridHorizontalSpacing w:val="120"/>
  <w:displayHorizontalDrawingGridEvery w:val="2"/>
  <w:displayVerticalDrawingGridEvery w:val="2"/>
  <w:characterSpacingControl w:val="doNotCompress"/>
  <w:hdrShapeDefaults>
    <o:shapedefaults v:ext="edit" spidmax="1638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6227C"/>
    <w:rsid w:val="00001554"/>
    <w:rsid w:val="00002350"/>
    <w:rsid w:val="00003D0F"/>
    <w:rsid w:val="00004B11"/>
    <w:rsid w:val="000052D7"/>
    <w:rsid w:val="00011BBF"/>
    <w:rsid w:val="00023E33"/>
    <w:rsid w:val="00027164"/>
    <w:rsid w:val="0003730F"/>
    <w:rsid w:val="000429E4"/>
    <w:rsid w:val="00052275"/>
    <w:rsid w:val="00052856"/>
    <w:rsid w:val="000570DC"/>
    <w:rsid w:val="000600C2"/>
    <w:rsid w:val="00060E9C"/>
    <w:rsid w:val="00061BB1"/>
    <w:rsid w:val="000670EA"/>
    <w:rsid w:val="00071D33"/>
    <w:rsid w:val="00072230"/>
    <w:rsid w:val="00075CFA"/>
    <w:rsid w:val="000767A5"/>
    <w:rsid w:val="00077CB3"/>
    <w:rsid w:val="00083ED4"/>
    <w:rsid w:val="0008752B"/>
    <w:rsid w:val="00087838"/>
    <w:rsid w:val="00091598"/>
    <w:rsid w:val="00094035"/>
    <w:rsid w:val="000A217B"/>
    <w:rsid w:val="000A6AA4"/>
    <w:rsid w:val="000C1371"/>
    <w:rsid w:val="000D0B3A"/>
    <w:rsid w:val="000E4CF5"/>
    <w:rsid w:val="000F1C85"/>
    <w:rsid w:val="000F3DB9"/>
    <w:rsid w:val="001039F9"/>
    <w:rsid w:val="00104542"/>
    <w:rsid w:val="001222E0"/>
    <w:rsid w:val="00125499"/>
    <w:rsid w:val="001254D8"/>
    <w:rsid w:val="00127276"/>
    <w:rsid w:val="001341AF"/>
    <w:rsid w:val="00145576"/>
    <w:rsid w:val="001522A2"/>
    <w:rsid w:val="001549E6"/>
    <w:rsid w:val="001557E4"/>
    <w:rsid w:val="00161844"/>
    <w:rsid w:val="0016227C"/>
    <w:rsid w:val="00164E3A"/>
    <w:rsid w:val="001672E7"/>
    <w:rsid w:val="00167405"/>
    <w:rsid w:val="00167A6F"/>
    <w:rsid w:val="00170198"/>
    <w:rsid w:val="0017206D"/>
    <w:rsid w:val="001731C9"/>
    <w:rsid w:val="00180638"/>
    <w:rsid w:val="00180CDF"/>
    <w:rsid w:val="001841BE"/>
    <w:rsid w:val="0019087D"/>
    <w:rsid w:val="00192C86"/>
    <w:rsid w:val="001A7750"/>
    <w:rsid w:val="001B17C7"/>
    <w:rsid w:val="001B25FA"/>
    <w:rsid w:val="001B7EB3"/>
    <w:rsid w:val="001C459E"/>
    <w:rsid w:val="001C6D70"/>
    <w:rsid w:val="001D01F1"/>
    <w:rsid w:val="001E6233"/>
    <w:rsid w:val="001F12B3"/>
    <w:rsid w:val="001F282C"/>
    <w:rsid w:val="001F2D93"/>
    <w:rsid w:val="002036A1"/>
    <w:rsid w:val="00204027"/>
    <w:rsid w:val="00204AB7"/>
    <w:rsid w:val="0021089D"/>
    <w:rsid w:val="00213E72"/>
    <w:rsid w:val="00215A3D"/>
    <w:rsid w:val="00224881"/>
    <w:rsid w:val="00227321"/>
    <w:rsid w:val="00230A4B"/>
    <w:rsid w:val="00232136"/>
    <w:rsid w:val="00234862"/>
    <w:rsid w:val="00242BD0"/>
    <w:rsid w:val="00246F74"/>
    <w:rsid w:val="00247A25"/>
    <w:rsid w:val="0025112C"/>
    <w:rsid w:val="00253A98"/>
    <w:rsid w:val="002754DC"/>
    <w:rsid w:val="002761B3"/>
    <w:rsid w:val="002811E1"/>
    <w:rsid w:val="002A0FAF"/>
    <w:rsid w:val="002A3F0B"/>
    <w:rsid w:val="002A4FB0"/>
    <w:rsid w:val="002B2D4A"/>
    <w:rsid w:val="002B4AFD"/>
    <w:rsid w:val="002C16CF"/>
    <w:rsid w:val="002C6FB2"/>
    <w:rsid w:val="002D5A31"/>
    <w:rsid w:val="002E15D4"/>
    <w:rsid w:val="002E1626"/>
    <w:rsid w:val="002E1DCB"/>
    <w:rsid w:val="002E2385"/>
    <w:rsid w:val="002E5F57"/>
    <w:rsid w:val="002E6E29"/>
    <w:rsid w:val="002E7103"/>
    <w:rsid w:val="003033AB"/>
    <w:rsid w:val="003046C8"/>
    <w:rsid w:val="003107F0"/>
    <w:rsid w:val="003128A1"/>
    <w:rsid w:val="003171D7"/>
    <w:rsid w:val="00320750"/>
    <w:rsid w:val="003251AC"/>
    <w:rsid w:val="00334BCE"/>
    <w:rsid w:val="00336983"/>
    <w:rsid w:val="00340C12"/>
    <w:rsid w:val="00344BF5"/>
    <w:rsid w:val="0034752E"/>
    <w:rsid w:val="003503FD"/>
    <w:rsid w:val="00353BD5"/>
    <w:rsid w:val="00363228"/>
    <w:rsid w:val="0036520A"/>
    <w:rsid w:val="00383CA7"/>
    <w:rsid w:val="00385A28"/>
    <w:rsid w:val="00386CE3"/>
    <w:rsid w:val="003931EF"/>
    <w:rsid w:val="00393A88"/>
    <w:rsid w:val="00395175"/>
    <w:rsid w:val="003A1021"/>
    <w:rsid w:val="003A111B"/>
    <w:rsid w:val="003A2444"/>
    <w:rsid w:val="003A3597"/>
    <w:rsid w:val="003A4174"/>
    <w:rsid w:val="003A4C1A"/>
    <w:rsid w:val="003B0AB3"/>
    <w:rsid w:val="003B7B1A"/>
    <w:rsid w:val="003C7912"/>
    <w:rsid w:val="003D034F"/>
    <w:rsid w:val="003D4C35"/>
    <w:rsid w:val="003E606E"/>
    <w:rsid w:val="003F7963"/>
    <w:rsid w:val="00403E01"/>
    <w:rsid w:val="004056B5"/>
    <w:rsid w:val="00407209"/>
    <w:rsid w:val="0041030C"/>
    <w:rsid w:val="00413165"/>
    <w:rsid w:val="00413913"/>
    <w:rsid w:val="0042277D"/>
    <w:rsid w:val="00425411"/>
    <w:rsid w:val="00432AAD"/>
    <w:rsid w:val="004348CA"/>
    <w:rsid w:val="004348F3"/>
    <w:rsid w:val="00435BD1"/>
    <w:rsid w:val="004409B7"/>
    <w:rsid w:val="00453CDC"/>
    <w:rsid w:val="0045495E"/>
    <w:rsid w:val="004579A6"/>
    <w:rsid w:val="004609F0"/>
    <w:rsid w:val="00461E3B"/>
    <w:rsid w:val="00462943"/>
    <w:rsid w:val="00467187"/>
    <w:rsid w:val="004729F5"/>
    <w:rsid w:val="00476A2A"/>
    <w:rsid w:val="0048245C"/>
    <w:rsid w:val="0048457F"/>
    <w:rsid w:val="00485F2C"/>
    <w:rsid w:val="00496816"/>
    <w:rsid w:val="00497874"/>
    <w:rsid w:val="004A03A6"/>
    <w:rsid w:val="004A4119"/>
    <w:rsid w:val="004A4F2E"/>
    <w:rsid w:val="004A6DED"/>
    <w:rsid w:val="004D5636"/>
    <w:rsid w:val="004D682B"/>
    <w:rsid w:val="004D7D90"/>
    <w:rsid w:val="004E4339"/>
    <w:rsid w:val="004E55A4"/>
    <w:rsid w:val="004E7ECF"/>
    <w:rsid w:val="004F0373"/>
    <w:rsid w:val="004F0736"/>
    <w:rsid w:val="004F40CB"/>
    <w:rsid w:val="004F726F"/>
    <w:rsid w:val="00501D00"/>
    <w:rsid w:val="00502074"/>
    <w:rsid w:val="005029FF"/>
    <w:rsid w:val="00506C9E"/>
    <w:rsid w:val="00506E38"/>
    <w:rsid w:val="00507591"/>
    <w:rsid w:val="005112C6"/>
    <w:rsid w:val="00513FAC"/>
    <w:rsid w:val="00514014"/>
    <w:rsid w:val="005152EE"/>
    <w:rsid w:val="00516054"/>
    <w:rsid w:val="005172A0"/>
    <w:rsid w:val="00520B3D"/>
    <w:rsid w:val="00532D76"/>
    <w:rsid w:val="00533778"/>
    <w:rsid w:val="00533AA5"/>
    <w:rsid w:val="00534B4A"/>
    <w:rsid w:val="00534B9B"/>
    <w:rsid w:val="00535266"/>
    <w:rsid w:val="00536768"/>
    <w:rsid w:val="00540772"/>
    <w:rsid w:val="00544924"/>
    <w:rsid w:val="00550970"/>
    <w:rsid w:val="00562690"/>
    <w:rsid w:val="00564765"/>
    <w:rsid w:val="005721FF"/>
    <w:rsid w:val="005723F5"/>
    <w:rsid w:val="005737F9"/>
    <w:rsid w:val="00575DE7"/>
    <w:rsid w:val="005764E6"/>
    <w:rsid w:val="005802E9"/>
    <w:rsid w:val="0058131C"/>
    <w:rsid w:val="00584DD4"/>
    <w:rsid w:val="00593968"/>
    <w:rsid w:val="005A13C5"/>
    <w:rsid w:val="005A1B1D"/>
    <w:rsid w:val="005A24E0"/>
    <w:rsid w:val="005A66E4"/>
    <w:rsid w:val="005B1373"/>
    <w:rsid w:val="005B3C1F"/>
    <w:rsid w:val="005C3965"/>
    <w:rsid w:val="005D20C9"/>
    <w:rsid w:val="005D212C"/>
    <w:rsid w:val="005D418D"/>
    <w:rsid w:val="005E0719"/>
    <w:rsid w:val="005E79E3"/>
    <w:rsid w:val="005F4074"/>
    <w:rsid w:val="005F44F4"/>
    <w:rsid w:val="005F4A25"/>
    <w:rsid w:val="00603BF9"/>
    <w:rsid w:val="00604F28"/>
    <w:rsid w:val="00605247"/>
    <w:rsid w:val="00605991"/>
    <w:rsid w:val="006060F7"/>
    <w:rsid w:val="00613D9D"/>
    <w:rsid w:val="006143C7"/>
    <w:rsid w:val="006147F0"/>
    <w:rsid w:val="00616E8F"/>
    <w:rsid w:val="006178E9"/>
    <w:rsid w:val="00620B55"/>
    <w:rsid w:val="00624108"/>
    <w:rsid w:val="006266A7"/>
    <w:rsid w:val="00643293"/>
    <w:rsid w:val="0064459F"/>
    <w:rsid w:val="00646787"/>
    <w:rsid w:val="00656C89"/>
    <w:rsid w:val="00656FC7"/>
    <w:rsid w:val="00660A1E"/>
    <w:rsid w:val="00661DF8"/>
    <w:rsid w:val="006709EF"/>
    <w:rsid w:val="00670FB9"/>
    <w:rsid w:val="00672BFD"/>
    <w:rsid w:val="0067456D"/>
    <w:rsid w:val="00674BC0"/>
    <w:rsid w:val="00685861"/>
    <w:rsid w:val="0069278A"/>
    <w:rsid w:val="006A2694"/>
    <w:rsid w:val="006A40DE"/>
    <w:rsid w:val="006B258F"/>
    <w:rsid w:val="006B2FE7"/>
    <w:rsid w:val="006C049F"/>
    <w:rsid w:val="006C07C1"/>
    <w:rsid w:val="006C288F"/>
    <w:rsid w:val="006E427B"/>
    <w:rsid w:val="006F3586"/>
    <w:rsid w:val="006F362B"/>
    <w:rsid w:val="0070615F"/>
    <w:rsid w:val="00710881"/>
    <w:rsid w:val="00716494"/>
    <w:rsid w:val="007220B4"/>
    <w:rsid w:val="00723618"/>
    <w:rsid w:val="00723EE9"/>
    <w:rsid w:val="007304B2"/>
    <w:rsid w:val="00735EA0"/>
    <w:rsid w:val="00740204"/>
    <w:rsid w:val="00743ADE"/>
    <w:rsid w:val="007457ED"/>
    <w:rsid w:val="00745DC8"/>
    <w:rsid w:val="00751540"/>
    <w:rsid w:val="00753D23"/>
    <w:rsid w:val="007576F6"/>
    <w:rsid w:val="00757B89"/>
    <w:rsid w:val="007621F4"/>
    <w:rsid w:val="007641CC"/>
    <w:rsid w:val="00765BEA"/>
    <w:rsid w:val="00770B26"/>
    <w:rsid w:val="0077123E"/>
    <w:rsid w:val="00771EE2"/>
    <w:rsid w:val="007746F8"/>
    <w:rsid w:val="00775875"/>
    <w:rsid w:val="00786A30"/>
    <w:rsid w:val="00786C15"/>
    <w:rsid w:val="007872EF"/>
    <w:rsid w:val="00791F59"/>
    <w:rsid w:val="007A1CC9"/>
    <w:rsid w:val="007A6C8D"/>
    <w:rsid w:val="007B3E4D"/>
    <w:rsid w:val="007B790D"/>
    <w:rsid w:val="007D1373"/>
    <w:rsid w:val="007E272D"/>
    <w:rsid w:val="007F2C34"/>
    <w:rsid w:val="007F455E"/>
    <w:rsid w:val="00801BC6"/>
    <w:rsid w:val="00816774"/>
    <w:rsid w:val="008211FD"/>
    <w:rsid w:val="008275EF"/>
    <w:rsid w:val="00831554"/>
    <w:rsid w:val="008336C3"/>
    <w:rsid w:val="00840DB6"/>
    <w:rsid w:val="00844E42"/>
    <w:rsid w:val="00853554"/>
    <w:rsid w:val="00856080"/>
    <w:rsid w:val="008577D6"/>
    <w:rsid w:val="00863A1C"/>
    <w:rsid w:val="00871716"/>
    <w:rsid w:val="00873739"/>
    <w:rsid w:val="00874033"/>
    <w:rsid w:val="00876AA5"/>
    <w:rsid w:val="00883E13"/>
    <w:rsid w:val="00885558"/>
    <w:rsid w:val="00885D4E"/>
    <w:rsid w:val="00886FFE"/>
    <w:rsid w:val="00890392"/>
    <w:rsid w:val="008A0ECA"/>
    <w:rsid w:val="008A23D5"/>
    <w:rsid w:val="008A4AAB"/>
    <w:rsid w:val="008B7BA8"/>
    <w:rsid w:val="008B7D48"/>
    <w:rsid w:val="008C31F7"/>
    <w:rsid w:val="008C768B"/>
    <w:rsid w:val="008D049A"/>
    <w:rsid w:val="008D26E3"/>
    <w:rsid w:val="008D2896"/>
    <w:rsid w:val="008E466E"/>
    <w:rsid w:val="008E60DA"/>
    <w:rsid w:val="008F0D38"/>
    <w:rsid w:val="008F1BA1"/>
    <w:rsid w:val="008F5965"/>
    <w:rsid w:val="008F7447"/>
    <w:rsid w:val="00900DA4"/>
    <w:rsid w:val="00902F35"/>
    <w:rsid w:val="00911024"/>
    <w:rsid w:val="009137AE"/>
    <w:rsid w:val="0091626B"/>
    <w:rsid w:val="00921CAF"/>
    <w:rsid w:val="00924EA5"/>
    <w:rsid w:val="00926FF6"/>
    <w:rsid w:val="00935053"/>
    <w:rsid w:val="00936473"/>
    <w:rsid w:val="0094172C"/>
    <w:rsid w:val="00941C9B"/>
    <w:rsid w:val="00942371"/>
    <w:rsid w:val="00947508"/>
    <w:rsid w:val="00963EBC"/>
    <w:rsid w:val="009654CE"/>
    <w:rsid w:val="00966D0D"/>
    <w:rsid w:val="00972F81"/>
    <w:rsid w:val="009733BD"/>
    <w:rsid w:val="00985407"/>
    <w:rsid w:val="00986D3C"/>
    <w:rsid w:val="00990628"/>
    <w:rsid w:val="009A0781"/>
    <w:rsid w:val="009A2542"/>
    <w:rsid w:val="009B53EA"/>
    <w:rsid w:val="009B5623"/>
    <w:rsid w:val="009C3448"/>
    <w:rsid w:val="009D13BD"/>
    <w:rsid w:val="009D274E"/>
    <w:rsid w:val="009D7C5A"/>
    <w:rsid w:val="009E065D"/>
    <w:rsid w:val="009E108F"/>
    <w:rsid w:val="009E1888"/>
    <w:rsid w:val="009E29CE"/>
    <w:rsid w:val="009E5FDF"/>
    <w:rsid w:val="009E753A"/>
    <w:rsid w:val="009E7DDD"/>
    <w:rsid w:val="00A009A1"/>
    <w:rsid w:val="00A013AA"/>
    <w:rsid w:val="00A031EA"/>
    <w:rsid w:val="00A06751"/>
    <w:rsid w:val="00A07EA5"/>
    <w:rsid w:val="00A17D78"/>
    <w:rsid w:val="00A23EBA"/>
    <w:rsid w:val="00A240DA"/>
    <w:rsid w:val="00A27F45"/>
    <w:rsid w:val="00A31DBA"/>
    <w:rsid w:val="00A34294"/>
    <w:rsid w:val="00A34EA7"/>
    <w:rsid w:val="00A35CE6"/>
    <w:rsid w:val="00A44DA4"/>
    <w:rsid w:val="00A53316"/>
    <w:rsid w:val="00A56921"/>
    <w:rsid w:val="00A60166"/>
    <w:rsid w:val="00A64988"/>
    <w:rsid w:val="00A67C52"/>
    <w:rsid w:val="00A82F73"/>
    <w:rsid w:val="00A8747C"/>
    <w:rsid w:val="00A91ECA"/>
    <w:rsid w:val="00A92448"/>
    <w:rsid w:val="00A9260A"/>
    <w:rsid w:val="00AA3A1D"/>
    <w:rsid w:val="00AB0A4F"/>
    <w:rsid w:val="00AB1392"/>
    <w:rsid w:val="00AB2DCD"/>
    <w:rsid w:val="00AC2FC8"/>
    <w:rsid w:val="00AD1583"/>
    <w:rsid w:val="00AD3870"/>
    <w:rsid w:val="00AD404E"/>
    <w:rsid w:val="00AD65ED"/>
    <w:rsid w:val="00AD6DED"/>
    <w:rsid w:val="00AD7197"/>
    <w:rsid w:val="00AE2944"/>
    <w:rsid w:val="00AE415D"/>
    <w:rsid w:val="00AF3FEB"/>
    <w:rsid w:val="00B0136D"/>
    <w:rsid w:val="00B01F0B"/>
    <w:rsid w:val="00B06E5B"/>
    <w:rsid w:val="00B12DFE"/>
    <w:rsid w:val="00B20BB8"/>
    <w:rsid w:val="00B25F42"/>
    <w:rsid w:val="00B344B2"/>
    <w:rsid w:val="00B406F2"/>
    <w:rsid w:val="00B524B4"/>
    <w:rsid w:val="00B5730E"/>
    <w:rsid w:val="00B61285"/>
    <w:rsid w:val="00B66DDC"/>
    <w:rsid w:val="00B73134"/>
    <w:rsid w:val="00B81AD7"/>
    <w:rsid w:val="00B83354"/>
    <w:rsid w:val="00B84942"/>
    <w:rsid w:val="00B86999"/>
    <w:rsid w:val="00B87621"/>
    <w:rsid w:val="00B9177D"/>
    <w:rsid w:val="00B93C2E"/>
    <w:rsid w:val="00BB0B9C"/>
    <w:rsid w:val="00BB1320"/>
    <w:rsid w:val="00BB2145"/>
    <w:rsid w:val="00BB5167"/>
    <w:rsid w:val="00BB5D3B"/>
    <w:rsid w:val="00BB697C"/>
    <w:rsid w:val="00BB6B55"/>
    <w:rsid w:val="00BC1502"/>
    <w:rsid w:val="00BD5956"/>
    <w:rsid w:val="00BF0A44"/>
    <w:rsid w:val="00C06BF2"/>
    <w:rsid w:val="00C13A2F"/>
    <w:rsid w:val="00C203D0"/>
    <w:rsid w:val="00C208BA"/>
    <w:rsid w:val="00C27535"/>
    <w:rsid w:val="00C35CBF"/>
    <w:rsid w:val="00C46FEF"/>
    <w:rsid w:val="00C52460"/>
    <w:rsid w:val="00C52766"/>
    <w:rsid w:val="00C5520D"/>
    <w:rsid w:val="00C55DEE"/>
    <w:rsid w:val="00C62046"/>
    <w:rsid w:val="00C703CC"/>
    <w:rsid w:val="00C775E6"/>
    <w:rsid w:val="00C86EEF"/>
    <w:rsid w:val="00C944B7"/>
    <w:rsid w:val="00CA2577"/>
    <w:rsid w:val="00CA2FFA"/>
    <w:rsid w:val="00CA5201"/>
    <w:rsid w:val="00CA5532"/>
    <w:rsid w:val="00CA5BC4"/>
    <w:rsid w:val="00CA7805"/>
    <w:rsid w:val="00CB1978"/>
    <w:rsid w:val="00CD1D77"/>
    <w:rsid w:val="00CD46EF"/>
    <w:rsid w:val="00CE1F48"/>
    <w:rsid w:val="00CE2549"/>
    <w:rsid w:val="00CE370B"/>
    <w:rsid w:val="00CE59CF"/>
    <w:rsid w:val="00CE63C8"/>
    <w:rsid w:val="00CF2E87"/>
    <w:rsid w:val="00CF6214"/>
    <w:rsid w:val="00CF65DC"/>
    <w:rsid w:val="00D00746"/>
    <w:rsid w:val="00D04FDC"/>
    <w:rsid w:val="00D104F3"/>
    <w:rsid w:val="00D11DF7"/>
    <w:rsid w:val="00D146CA"/>
    <w:rsid w:val="00D147F4"/>
    <w:rsid w:val="00D17F24"/>
    <w:rsid w:val="00D17F8B"/>
    <w:rsid w:val="00D235BE"/>
    <w:rsid w:val="00D2572E"/>
    <w:rsid w:val="00D26492"/>
    <w:rsid w:val="00D33422"/>
    <w:rsid w:val="00D34BF6"/>
    <w:rsid w:val="00D35592"/>
    <w:rsid w:val="00D43980"/>
    <w:rsid w:val="00D441C7"/>
    <w:rsid w:val="00D466CC"/>
    <w:rsid w:val="00D4729B"/>
    <w:rsid w:val="00D56BB0"/>
    <w:rsid w:val="00D669B9"/>
    <w:rsid w:val="00D73B07"/>
    <w:rsid w:val="00D74932"/>
    <w:rsid w:val="00D86A56"/>
    <w:rsid w:val="00D86AF9"/>
    <w:rsid w:val="00D9048E"/>
    <w:rsid w:val="00DA060C"/>
    <w:rsid w:val="00DA0668"/>
    <w:rsid w:val="00DA15BC"/>
    <w:rsid w:val="00DD068C"/>
    <w:rsid w:val="00DD7ED0"/>
    <w:rsid w:val="00DE07FD"/>
    <w:rsid w:val="00DE2252"/>
    <w:rsid w:val="00DE341A"/>
    <w:rsid w:val="00DE5A99"/>
    <w:rsid w:val="00DE6EF8"/>
    <w:rsid w:val="00DF111D"/>
    <w:rsid w:val="00DF1560"/>
    <w:rsid w:val="00DF39C4"/>
    <w:rsid w:val="00E0554F"/>
    <w:rsid w:val="00E21773"/>
    <w:rsid w:val="00E224F9"/>
    <w:rsid w:val="00E22D99"/>
    <w:rsid w:val="00E2445E"/>
    <w:rsid w:val="00E24E9C"/>
    <w:rsid w:val="00E256B2"/>
    <w:rsid w:val="00E378B4"/>
    <w:rsid w:val="00E40265"/>
    <w:rsid w:val="00E51B44"/>
    <w:rsid w:val="00E57A9C"/>
    <w:rsid w:val="00E675FC"/>
    <w:rsid w:val="00E70081"/>
    <w:rsid w:val="00E70359"/>
    <w:rsid w:val="00E745A7"/>
    <w:rsid w:val="00E752A0"/>
    <w:rsid w:val="00E773E3"/>
    <w:rsid w:val="00E85A08"/>
    <w:rsid w:val="00E85F2D"/>
    <w:rsid w:val="00EA10CA"/>
    <w:rsid w:val="00EA3536"/>
    <w:rsid w:val="00EC25EC"/>
    <w:rsid w:val="00ED2EB0"/>
    <w:rsid w:val="00ED75A9"/>
    <w:rsid w:val="00EE7A4F"/>
    <w:rsid w:val="00EF2796"/>
    <w:rsid w:val="00F150B1"/>
    <w:rsid w:val="00F150E4"/>
    <w:rsid w:val="00F24D84"/>
    <w:rsid w:val="00F2626B"/>
    <w:rsid w:val="00F3024A"/>
    <w:rsid w:val="00F328F0"/>
    <w:rsid w:val="00F34E37"/>
    <w:rsid w:val="00F46146"/>
    <w:rsid w:val="00F51B40"/>
    <w:rsid w:val="00F56D53"/>
    <w:rsid w:val="00F57D75"/>
    <w:rsid w:val="00F61A80"/>
    <w:rsid w:val="00F70AD9"/>
    <w:rsid w:val="00F77B05"/>
    <w:rsid w:val="00F85439"/>
    <w:rsid w:val="00F86C3D"/>
    <w:rsid w:val="00F91368"/>
    <w:rsid w:val="00F967ED"/>
    <w:rsid w:val="00F97E5E"/>
    <w:rsid w:val="00FA1ECB"/>
    <w:rsid w:val="00FA231B"/>
    <w:rsid w:val="00FA2F56"/>
    <w:rsid w:val="00FA654D"/>
    <w:rsid w:val="00FA6942"/>
    <w:rsid w:val="00FB00EA"/>
    <w:rsid w:val="00FB072B"/>
    <w:rsid w:val="00FB1753"/>
    <w:rsid w:val="00FC285B"/>
    <w:rsid w:val="00FC3D7A"/>
    <w:rsid w:val="00FC535E"/>
    <w:rsid w:val="00FC6E70"/>
    <w:rsid w:val="00FE29DB"/>
    <w:rsid w:val="00FF528F"/>
    <w:rsid w:val="00FF5870"/>
    <w:rsid w:val="00FF7256"/>
  </w:rsids>
  <m:mathPr>
    <m:mathFont m:val="Cambria Math"/>
    <m:brkBin m:val="before"/>
    <m:brkBinSub m:val="--"/>
    <m:smallFrac/>
    <m:dispDef/>
    <m:lMargin m:val="0"/>
    <m:rMargin m:val="0"/>
    <m:defJc m:val="centerGroup"/>
    <m:wrapIndent m:val="1440"/>
    <m:intLim m:val="subSup"/>
    <m:naryLim m:val="undOvr"/>
  </m:mathPr>
  <w:themeFontLang w:val="en-GB" w:eastAsia="ja-JP"/>
  <w:clrSchemeMapping w:bg1="light1" w:t1="dark1" w:bg2="light2" w:t2="dark2" w:accent1="accent1" w:accent2="accent2" w:accent3="accent3" w:accent4="accent4" w:accent5="accent5" w:accent6="accent6" w:hyperlink="hyperlink" w:followedHyperlink="followedHyperlink"/>
  <w:shapeDefaults>
    <o:shapedefaults v:ext="edit" spidmax="16385"/>
    <o:shapelayout v:ext="edit">
      <o:idmap v:ext="edit" data="1"/>
    </o:shapelayout>
  </w:shapeDefaults>
  <w:decimalSymbol w:val="."/>
  <w:listSeparator w:val=","/>
  <w15:docId w15:val="{286F6E4D-B67C-486D-BDD4-1CB716CBFB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86CE3"/>
    <w:rPr>
      <w:sz w:val="24"/>
    </w:rPr>
  </w:style>
  <w:style w:type="paragraph" w:styleId="Heading1">
    <w:name w:val="heading 1"/>
    <w:basedOn w:val="Normal"/>
    <w:next w:val="Normal"/>
    <w:link w:val="Heading1Char"/>
    <w:uiPriority w:val="9"/>
    <w:qFormat/>
    <w:rsid w:val="00924EA5"/>
    <w:pPr>
      <w:keepNext/>
      <w:keepLines/>
      <w:spacing w:before="240" w:after="0"/>
      <w:outlineLvl w:val="0"/>
    </w:pPr>
    <w:rPr>
      <w:rFonts w:asciiTheme="majorHAnsi" w:eastAsiaTheme="majorEastAsia" w:hAnsiTheme="majorHAnsi" w:cstheme="majorBidi"/>
      <w:color w:val="374C80" w:themeColor="accent1" w:themeShade="BF"/>
      <w:sz w:val="32"/>
      <w:szCs w:val="32"/>
    </w:rPr>
  </w:style>
  <w:style w:type="paragraph" w:styleId="Heading2">
    <w:name w:val="heading 2"/>
    <w:basedOn w:val="Normal"/>
    <w:next w:val="Normal"/>
    <w:link w:val="Heading2Char"/>
    <w:uiPriority w:val="9"/>
    <w:semiHidden/>
    <w:unhideWhenUsed/>
    <w:rsid w:val="00B84942"/>
    <w:pPr>
      <w:keepNext/>
      <w:keepLines/>
      <w:spacing w:before="200" w:after="0" w:line="240" w:lineRule="auto"/>
      <w:outlineLvl w:val="1"/>
    </w:pPr>
    <w:rPr>
      <w:rFonts w:asciiTheme="majorHAnsi" w:eastAsiaTheme="majorEastAsia" w:hAnsiTheme="majorHAnsi" w:cstheme="majorBidi"/>
      <w:b/>
      <w:bCs/>
      <w:color w:val="4A66AC" w:themeColor="accent1"/>
      <w:sz w:val="26"/>
      <w:szCs w:val="26"/>
    </w:rPr>
  </w:style>
  <w:style w:type="paragraph" w:styleId="Heading3">
    <w:name w:val="heading 3"/>
    <w:basedOn w:val="Normal"/>
    <w:next w:val="Normal"/>
    <w:link w:val="Heading3Char"/>
    <w:uiPriority w:val="9"/>
    <w:semiHidden/>
    <w:unhideWhenUsed/>
    <w:qFormat/>
    <w:rsid w:val="00B84942"/>
    <w:pPr>
      <w:keepNext/>
      <w:keepLines/>
      <w:spacing w:before="200" w:after="0" w:line="240" w:lineRule="auto"/>
      <w:outlineLvl w:val="2"/>
    </w:pPr>
    <w:rPr>
      <w:rFonts w:asciiTheme="majorHAnsi" w:eastAsiaTheme="majorEastAsia" w:hAnsiTheme="majorHAnsi" w:cstheme="majorBidi"/>
      <w:b/>
      <w:bCs/>
      <w:color w:val="4A66AC" w:themeColor="accent1"/>
      <w:szCs w:val="24"/>
    </w:rPr>
  </w:style>
  <w:style w:type="paragraph" w:styleId="Heading4">
    <w:name w:val="heading 4"/>
    <w:basedOn w:val="Normal"/>
    <w:next w:val="Normal"/>
    <w:link w:val="Heading4Char"/>
    <w:uiPriority w:val="9"/>
    <w:semiHidden/>
    <w:unhideWhenUsed/>
    <w:qFormat/>
    <w:rsid w:val="00B84942"/>
    <w:pPr>
      <w:keepNext/>
      <w:keepLines/>
      <w:spacing w:before="40" w:after="0" w:line="240" w:lineRule="auto"/>
      <w:outlineLvl w:val="3"/>
    </w:pPr>
    <w:rPr>
      <w:rFonts w:asciiTheme="majorHAnsi" w:eastAsiaTheme="majorEastAsia" w:hAnsiTheme="majorHAnsi" w:cstheme="majorBidi"/>
      <w:i/>
      <w:iCs/>
      <w:color w:val="374C80" w:themeColor="accent1" w:themeShade="BF"/>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elmana4normal">
    <w:name w:val="Belmana4 normal"/>
    <w:basedOn w:val="Normal"/>
    <w:qFormat/>
    <w:rsid w:val="0016227C"/>
    <w:pPr>
      <w:jc w:val="both"/>
    </w:pPr>
    <w:rPr>
      <w:rFonts w:ascii="Arial" w:hAnsi="Arial" w:cs="Arial"/>
    </w:rPr>
  </w:style>
  <w:style w:type="table" w:styleId="TableGrid">
    <w:name w:val="Table Grid"/>
    <w:basedOn w:val="TableNormal"/>
    <w:uiPriority w:val="39"/>
    <w:rsid w:val="0045495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56080"/>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6080"/>
  </w:style>
  <w:style w:type="paragraph" w:styleId="Footer">
    <w:name w:val="footer"/>
    <w:basedOn w:val="Normal"/>
    <w:link w:val="FooterChar"/>
    <w:uiPriority w:val="99"/>
    <w:unhideWhenUsed/>
    <w:rsid w:val="00856080"/>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6080"/>
  </w:style>
  <w:style w:type="paragraph" w:styleId="BalloonText">
    <w:name w:val="Balloon Text"/>
    <w:basedOn w:val="Normal"/>
    <w:link w:val="BalloonTextChar"/>
    <w:uiPriority w:val="99"/>
    <w:semiHidden/>
    <w:unhideWhenUsed/>
    <w:rsid w:val="004E55A4"/>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E55A4"/>
    <w:rPr>
      <w:rFonts w:ascii="Segoe UI" w:hAnsi="Segoe UI" w:cs="Segoe UI"/>
      <w:sz w:val="18"/>
      <w:szCs w:val="18"/>
    </w:rPr>
  </w:style>
  <w:style w:type="paragraph" w:styleId="NoSpacing">
    <w:name w:val="No Spacing"/>
    <w:link w:val="NoSpacingChar"/>
    <w:uiPriority w:val="1"/>
    <w:qFormat/>
    <w:rsid w:val="00E745A7"/>
    <w:pPr>
      <w:spacing w:after="0" w:line="240" w:lineRule="auto"/>
    </w:pPr>
    <w:rPr>
      <w:rFonts w:eastAsiaTheme="minorEastAsia"/>
      <w:lang w:val="en-US"/>
    </w:rPr>
  </w:style>
  <w:style w:type="character" w:customStyle="1" w:styleId="NoSpacingChar">
    <w:name w:val="No Spacing Char"/>
    <w:basedOn w:val="DefaultParagraphFont"/>
    <w:link w:val="NoSpacing"/>
    <w:uiPriority w:val="1"/>
    <w:rsid w:val="00E745A7"/>
    <w:rPr>
      <w:rFonts w:eastAsiaTheme="minorEastAsia"/>
      <w:lang w:val="en-US"/>
    </w:rPr>
  </w:style>
  <w:style w:type="paragraph" w:customStyle="1" w:styleId="Belmana1">
    <w:name w:val="Belmana1"/>
    <w:basedOn w:val="Heading1"/>
    <w:link w:val="Belmana1Char"/>
    <w:autoRedefine/>
    <w:qFormat/>
    <w:rsid w:val="00E675FC"/>
    <w:pPr>
      <w:spacing w:before="1080" w:after="1560" w:line="240" w:lineRule="auto"/>
    </w:pPr>
    <w:rPr>
      <w:rFonts w:ascii="Arial" w:hAnsi="Arial" w:cs="Arial"/>
      <w:b/>
      <w:color w:val="993365"/>
      <w:sz w:val="48"/>
    </w:rPr>
  </w:style>
  <w:style w:type="character" w:customStyle="1" w:styleId="Belmana1Char">
    <w:name w:val="Belmana1 Char"/>
    <w:basedOn w:val="Heading1Char"/>
    <w:link w:val="Belmana1"/>
    <w:rsid w:val="00E675FC"/>
    <w:rPr>
      <w:rFonts w:ascii="Arial" w:eastAsiaTheme="majorEastAsia" w:hAnsi="Arial" w:cs="Arial"/>
      <w:b/>
      <w:color w:val="993365"/>
      <w:sz w:val="48"/>
      <w:szCs w:val="32"/>
    </w:rPr>
  </w:style>
  <w:style w:type="character" w:customStyle="1" w:styleId="Heading1Char">
    <w:name w:val="Heading 1 Char"/>
    <w:basedOn w:val="DefaultParagraphFont"/>
    <w:link w:val="Heading1"/>
    <w:uiPriority w:val="9"/>
    <w:rsid w:val="00924EA5"/>
    <w:rPr>
      <w:rFonts w:asciiTheme="majorHAnsi" w:eastAsiaTheme="majorEastAsia" w:hAnsiTheme="majorHAnsi" w:cstheme="majorBidi"/>
      <w:color w:val="374C80" w:themeColor="accent1" w:themeShade="BF"/>
      <w:sz w:val="32"/>
      <w:szCs w:val="32"/>
    </w:rPr>
  </w:style>
  <w:style w:type="character" w:customStyle="1" w:styleId="Heading2Char">
    <w:name w:val="Heading 2 Char"/>
    <w:basedOn w:val="DefaultParagraphFont"/>
    <w:link w:val="Heading2"/>
    <w:uiPriority w:val="9"/>
    <w:semiHidden/>
    <w:rsid w:val="00B84942"/>
    <w:rPr>
      <w:rFonts w:asciiTheme="majorHAnsi" w:eastAsiaTheme="majorEastAsia" w:hAnsiTheme="majorHAnsi" w:cstheme="majorBidi"/>
      <w:b/>
      <w:bCs/>
      <w:color w:val="4A66AC" w:themeColor="accent1"/>
      <w:sz w:val="26"/>
      <w:szCs w:val="26"/>
    </w:rPr>
  </w:style>
  <w:style w:type="character" w:customStyle="1" w:styleId="Heading3Char">
    <w:name w:val="Heading 3 Char"/>
    <w:basedOn w:val="DefaultParagraphFont"/>
    <w:link w:val="Heading3"/>
    <w:uiPriority w:val="9"/>
    <w:semiHidden/>
    <w:rsid w:val="00B84942"/>
    <w:rPr>
      <w:rFonts w:asciiTheme="majorHAnsi" w:eastAsiaTheme="majorEastAsia" w:hAnsiTheme="majorHAnsi" w:cstheme="majorBidi"/>
      <w:b/>
      <w:bCs/>
      <w:color w:val="4A66AC" w:themeColor="accent1"/>
      <w:sz w:val="24"/>
      <w:szCs w:val="24"/>
    </w:rPr>
  </w:style>
  <w:style w:type="character" w:customStyle="1" w:styleId="Heading4Char">
    <w:name w:val="Heading 4 Char"/>
    <w:basedOn w:val="DefaultParagraphFont"/>
    <w:link w:val="Heading4"/>
    <w:uiPriority w:val="9"/>
    <w:semiHidden/>
    <w:rsid w:val="00B84942"/>
    <w:rPr>
      <w:rFonts w:asciiTheme="majorHAnsi" w:eastAsiaTheme="majorEastAsia" w:hAnsiTheme="majorHAnsi" w:cstheme="majorBidi"/>
      <w:i/>
      <w:iCs/>
      <w:color w:val="374C80" w:themeColor="accent1" w:themeShade="BF"/>
      <w:sz w:val="24"/>
      <w:szCs w:val="24"/>
    </w:rPr>
  </w:style>
  <w:style w:type="paragraph" w:styleId="ListParagraph">
    <w:name w:val="List Paragraph"/>
    <w:basedOn w:val="Normal"/>
    <w:uiPriority w:val="34"/>
    <w:qFormat/>
    <w:rsid w:val="00B84942"/>
    <w:pPr>
      <w:spacing w:after="200" w:line="276" w:lineRule="auto"/>
      <w:ind w:left="720"/>
      <w:contextualSpacing/>
    </w:pPr>
    <w:rPr>
      <w:rFonts w:ascii="Cambria" w:eastAsia="Cambria" w:hAnsi="Cambria" w:cs="Times New Roman"/>
    </w:rPr>
  </w:style>
  <w:style w:type="paragraph" w:customStyle="1" w:styleId="Belmana2">
    <w:name w:val="Belmana2"/>
    <w:basedOn w:val="Heading2"/>
    <w:link w:val="Belmana2Char"/>
    <w:qFormat/>
    <w:rsid w:val="00B84942"/>
    <w:pPr>
      <w:spacing w:after="120"/>
    </w:pPr>
    <w:rPr>
      <w:rFonts w:ascii="Arial" w:hAnsi="Arial" w:cs="Arial"/>
      <w:color w:val="CE665F"/>
      <w:sz w:val="28"/>
      <w:szCs w:val="40"/>
      <w:lang w:val="en-US"/>
    </w:rPr>
  </w:style>
  <w:style w:type="character" w:customStyle="1" w:styleId="Belmana2Char">
    <w:name w:val="Belmana2 Char"/>
    <w:basedOn w:val="NoSpacingChar"/>
    <w:link w:val="Belmana2"/>
    <w:rsid w:val="00B84942"/>
    <w:rPr>
      <w:rFonts w:ascii="Arial" w:eastAsiaTheme="majorEastAsia" w:hAnsi="Arial" w:cs="Arial"/>
      <w:b/>
      <w:bCs/>
      <w:color w:val="CE665F"/>
      <w:sz w:val="28"/>
      <w:szCs w:val="40"/>
      <w:lang w:val="en-US"/>
    </w:rPr>
  </w:style>
  <w:style w:type="character" w:styleId="Hyperlink">
    <w:name w:val="Hyperlink"/>
    <w:basedOn w:val="DefaultParagraphFont"/>
    <w:uiPriority w:val="99"/>
    <w:unhideWhenUsed/>
    <w:rsid w:val="00B84942"/>
    <w:rPr>
      <w:color w:val="9454C3" w:themeColor="hyperlink"/>
      <w:u w:val="single"/>
    </w:rPr>
  </w:style>
  <w:style w:type="character" w:styleId="CommentReference">
    <w:name w:val="annotation reference"/>
    <w:basedOn w:val="DefaultParagraphFont"/>
    <w:uiPriority w:val="99"/>
    <w:semiHidden/>
    <w:unhideWhenUsed/>
    <w:rsid w:val="00B84942"/>
    <w:rPr>
      <w:sz w:val="16"/>
      <w:szCs w:val="16"/>
    </w:rPr>
  </w:style>
  <w:style w:type="paragraph" w:styleId="CommentText">
    <w:name w:val="annotation text"/>
    <w:basedOn w:val="Normal"/>
    <w:link w:val="CommentTextChar"/>
    <w:uiPriority w:val="99"/>
    <w:unhideWhenUsed/>
    <w:rsid w:val="00B84942"/>
    <w:pPr>
      <w:spacing w:line="240" w:lineRule="auto"/>
    </w:pPr>
    <w:rPr>
      <w:sz w:val="20"/>
      <w:szCs w:val="20"/>
    </w:rPr>
  </w:style>
  <w:style w:type="character" w:customStyle="1" w:styleId="CommentTextChar">
    <w:name w:val="Comment Text Char"/>
    <w:basedOn w:val="DefaultParagraphFont"/>
    <w:link w:val="CommentText"/>
    <w:uiPriority w:val="99"/>
    <w:rsid w:val="00B84942"/>
    <w:rPr>
      <w:sz w:val="20"/>
      <w:szCs w:val="20"/>
    </w:rPr>
  </w:style>
  <w:style w:type="paragraph" w:styleId="CommentSubject">
    <w:name w:val="annotation subject"/>
    <w:basedOn w:val="CommentText"/>
    <w:next w:val="CommentText"/>
    <w:link w:val="CommentSubjectChar"/>
    <w:uiPriority w:val="99"/>
    <w:semiHidden/>
    <w:unhideWhenUsed/>
    <w:rsid w:val="00B84942"/>
    <w:rPr>
      <w:b/>
      <w:bCs/>
    </w:rPr>
  </w:style>
  <w:style w:type="character" w:customStyle="1" w:styleId="CommentSubjectChar">
    <w:name w:val="Comment Subject Char"/>
    <w:basedOn w:val="CommentTextChar"/>
    <w:link w:val="CommentSubject"/>
    <w:uiPriority w:val="99"/>
    <w:semiHidden/>
    <w:rsid w:val="00B84942"/>
    <w:rPr>
      <w:b/>
      <w:bCs/>
      <w:sz w:val="20"/>
      <w:szCs w:val="20"/>
    </w:rPr>
  </w:style>
  <w:style w:type="paragraph" w:styleId="Caption">
    <w:name w:val="caption"/>
    <w:basedOn w:val="Normal"/>
    <w:next w:val="Normal"/>
    <w:link w:val="CaptionChar"/>
    <w:uiPriority w:val="35"/>
    <w:unhideWhenUsed/>
    <w:qFormat/>
    <w:rsid w:val="00B84942"/>
    <w:pPr>
      <w:spacing w:after="200" w:line="240" w:lineRule="auto"/>
    </w:pPr>
    <w:rPr>
      <w:i/>
      <w:iCs/>
      <w:color w:val="242852" w:themeColor="text2"/>
      <w:sz w:val="18"/>
      <w:szCs w:val="18"/>
    </w:rPr>
  </w:style>
  <w:style w:type="paragraph" w:customStyle="1" w:styleId="Default">
    <w:name w:val="Default"/>
    <w:rsid w:val="00B84942"/>
    <w:pPr>
      <w:autoSpaceDE w:val="0"/>
      <w:autoSpaceDN w:val="0"/>
      <w:adjustRightInd w:val="0"/>
      <w:spacing w:after="0" w:line="240" w:lineRule="auto"/>
    </w:pPr>
    <w:rPr>
      <w:rFonts w:ascii="Calibri" w:hAnsi="Calibri" w:cs="Calibri"/>
      <w:color w:val="000000"/>
      <w:sz w:val="24"/>
      <w:szCs w:val="24"/>
    </w:rPr>
  </w:style>
  <w:style w:type="paragraph" w:styleId="DocumentMap">
    <w:name w:val="Document Map"/>
    <w:basedOn w:val="Normal"/>
    <w:link w:val="DocumentMapChar"/>
    <w:uiPriority w:val="99"/>
    <w:semiHidden/>
    <w:unhideWhenUsed/>
    <w:rsid w:val="00B84942"/>
    <w:pPr>
      <w:spacing w:after="0" w:line="240" w:lineRule="auto"/>
    </w:pPr>
    <w:rPr>
      <w:rFonts w:ascii="Times New Roman" w:hAnsi="Times New Roman" w:cs="Times New Roman"/>
      <w:szCs w:val="24"/>
    </w:rPr>
  </w:style>
  <w:style w:type="character" w:customStyle="1" w:styleId="DocumentMapChar">
    <w:name w:val="Document Map Char"/>
    <w:basedOn w:val="DefaultParagraphFont"/>
    <w:link w:val="DocumentMap"/>
    <w:uiPriority w:val="99"/>
    <w:semiHidden/>
    <w:rsid w:val="00B84942"/>
    <w:rPr>
      <w:rFonts w:ascii="Times New Roman" w:hAnsi="Times New Roman" w:cs="Times New Roman"/>
      <w:sz w:val="24"/>
      <w:szCs w:val="24"/>
    </w:rPr>
  </w:style>
  <w:style w:type="paragraph" w:styleId="FootnoteText">
    <w:name w:val="footnote text"/>
    <w:basedOn w:val="Normal"/>
    <w:link w:val="FootnoteTextChar"/>
    <w:uiPriority w:val="99"/>
    <w:semiHidden/>
    <w:unhideWhenUsed/>
    <w:rsid w:val="00B84942"/>
    <w:pPr>
      <w:spacing w:after="0" w:line="240" w:lineRule="auto"/>
    </w:pPr>
    <w:rPr>
      <w:sz w:val="20"/>
      <w:szCs w:val="20"/>
      <w:lang w:val="da-DK"/>
    </w:rPr>
  </w:style>
  <w:style w:type="character" w:customStyle="1" w:styleId="FootnoteTextChar">
    <w:name w:val="Footnote Text Char"/>
    <w:basedOn w:val="DefaultParagraphFont"/>
    <w:link w:val="FootnoteText"/>
    <w:uiPriority w:val="99"/>
    <w:semiHidden/>
    <w:rsid w:val="00B84942"/>
    <w:rPr>
      <w:sz w:val="20"/>
      <w:szCs w:val="20"/>
      <w:lang w:val="da-DK"/>
    </w:rPr>
  </w:style>
  <w:style w:type="character" w:styleId="FootnoteReference">
    <w:name w:val="footnote reference"/>
    <w:basedOn w:val="DefaultParagraphFont"/>
    <w:uiPriority w:val="99"/>
    <w:semiHidden/>
    <w:unhideWhenUsed/>
    <w:rsid w:val="00B84942"/>
    <w:rPr>
      <w:vertAlign w:val="superscript"/>
    </w:rPr>
  </w:style>
  <w:style w:type="paragraph" w:customStyle="1" w:styleId="Belmanasub">
    <w:name w:val="Belmana sub"/>
    <w:basedOn w:val="Belmana1"/>
    <w:qFormat/>
    <w:rsid w:val="00B84942"/>
    <w:rPr>
      <w:b w:val="0"/>
      <w:sz w:val="24"/>
      <w:szCs w:val="22"/>
    </w:rPr>
  </w:style>
  <w:style w:type="numbering" w:customStyle="1" w:styleId="BelmanaList">
    <w:name w:val="Belmana List"/>
    <w:basedOn w:val="NoList"/>
    <w:uiPriority w:val="99"/>
    <w:rsid w:val="00B84942"/>
    <w:pPr>
      <w:numPr>
        <w:numId w:val="1"/>
      </w:numPr>
    </w:pPr>
  </w:style>
  <w:style w:type="character" w:styleId="Emphasis">
    <w:name w:val="Emphasis"/>
    <w:basedOn w:val="DefaultParagraphFont"/>
    <w:uiPriority w:val="20"/>
    <w:qFormat/>
    <w:rsid w:val="00B84942"/>
    <w:rPr>
      <w:i/>
      <w:iCs/>
    </w:rPr>
  </w:style>
  <w:style w:type="paragraph" w:customStyle="1" w:styleId="tablefootnote">
    <w:name w:val="table footnote"/>
    <w:basedOn w:val="Normal"/>
    <w:link w:val="tablefootnoteChar"/>
    <w:qFormat/>
    <w:rsid w:val="00B84942"/>
    <w:pPr>
      <w:spacing w:after="200" w:line="276" w:lineRule="auto"/>
      <w:jc w:val="center"/>
    </w:pPr>
    <w:rPr>
      <w:sz w:val="16"/>
    </w:rPr>
  </w:style>
  <w:style w:type="character" w:customStyle="1" w:styleId="tablefootnoteChar">
    <w:name w:val="table footnote Char"/>
    <w:basedOn w:val="DefaultParagraphFont"/>
    <w:link w:val="tablefootnote"/>
    <w:rsid w:val="00B84942"/>
    <w:rPr>
      <w:sz w:val="16"/>
    </w:rPr>
  </w:style>
  <w:style w:type="paragraph" w:customStyle="1" w:styleId="tablenotes">
    <w:name w:val="table notes"/>
    <w:basedOn w:val="Normal"/>
    <w:link w:val="tablenotesChar"/>
    <w:qFormat/>
    <w:rsid w:val="00B84942"/>
    <w:pPr>
      <w:spacing w:after="0" w:line="240" w:lineRule="auto"/>
      <w:ind w:left="1191"/>
    </w:pPr>
    <w:rPr>
      <w:sz w:val="16"/>
      <w:szCs w:val="16"/>
    </w:rPr>
  </w:style>
  <w:style w:type="character" w:customStyle="1" w:styleId="tablenotesChar">
    <w:name w:val="table notes Char"/>
    <w:basedOn w:val="DefaultParagraphFont"/>
    <w:link w:val="tablenotes"/>
    <w:rsid w:val="00B84942"/>
    <w:rPr>
      <w:sz w:val="16"/>
      <w:szCs w:val="16"/>
    </w:rPr>
  </w:style>
  <w:style w:type="table" w:styleId="LightShading">
    <w:name w:val="Light Shading"/>
    <w:basedOn w:val="TableNormal"/>
    <w:uiPriority w:val="60"/>
    <w:rsid w:val="00B84942"/>
    <w:pPr>
      <w:spacing w:after="0" w:line="240" w:lineRule="auto"/>
    </w:pPr>
    <w:rPr>
      <w:color w:val="000000" w:themeColor="text1" w:themeShade="BF"/>
      <w:lang w:val="en-US"/>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customStyle="1" w:styleId="PlainTable41">
    <w:name w:val="Plain Table 41"/>
    <w:basedOn w:val="TableNormal"/>
    <w:uiPriority w:val="44"/>
    <w:rsid w:val="00B84942"/>
    <w:pPr>
      <w:spacing w:after="0" w:line="240" w:lineRule="auto"/>
    </w:pPr>
    <w:rPr>
      <w:lang w:val="en-US"/>
    </w:rPr>
    <w:tblPr>
      <w:tblStyleRowBandSize w:val="1"/>
      <w:tblStyleColBandSize w:val="1"/>
    </w:tblPr>
    <w:tblStylePr w:type="firstRow">
      <w:rPr>
        <w:b/>
        <w:bCs/>
      </w:rPr>
    </w:tblStylePr>
    <w:tblStylePr w:type="lastRow">
      <w:rPr>
        <w:b/>
        <w:bCs/>
      </w:r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western">
    <w:name w:val="western"/>
    <w:basedOn w:val="Normal"/>
    <w:rsid w:val="00B84942"/>
    <w:pPr>
      <w:spacing w:before="280" w:after="119" w:line="240" w:lineRule="auto"/>
    </w:pPr>
    <w:rPr>
      <w:rFonts w:ascii="Tahoma" w:eastAsia="Times New Roman" w:hAnsi="Tahoma" w:cs="Tahoma"/>
      <w:kern w:val="1"/>
      <w:szCs w:val="24"/>
      <w:lang w:eastAsia="en-GB"/>
    </w:rPr>
  </w:style>
  <w:style w:type="paragraph" w:styleId="BodyTextIndent3">
    <w:name w:val="Body Text Indent 3"/>
    <w:basedOn w:val="Normal"/>
    <w:link w:val="BodyTextIndent3Char"/>
    <w:uiPriority w:val="99"/>
    <w:unhideWhenUsed/>
    <w:rsid w:val="00B84942"/>
    <w:pPr>
      <w:spacing w:after="120" w:line="276" w:lineRule="auto"/>
      <w:ind w:left="283"/>
    </w:pPr>
    <w:rPr>
      <w:rFonts w:ascii="Calibri" w:eastAsia="Calibri" w:hAnsi="Calibri" w:cs="Times New Roman"/>
      <w:sz w:val="16"/>
      <w:szCs w:val="16"/>
    </w:rPr>
  </w:style>
  <w:style w:type="character" w:customStyle="1" w:styleId="BodyTextIndent3Char">
    <w:name w:val="Body Text Indent 3 Char"/>
    <w:basedOn w:val="DefaultParagraphFont"/>
    <w:link w:val="BodyTextIndent3"/>
    <w:uiPriority w:val="99"/>
    <w:rsid w:val="00B84942"/>
    <w:rPr>
      <w:rFonts w:ascii="Calibri" w:eastAsia="Calibri" w:hAnsi="Calibri" w:cs="Times New Roman"/>
      <w:sz w:val="16"/>
      <w:szCs w:val="16"/>
    </w:rPr>
  </w:style>
  <w:style w:type="paragraph" w:styleId="NormalWeb">
    <w:name w:val="Normal (Web)"/>
    <w:basedOn w:val="Normal"/>
    <w:uiPriority w:val="99"/>
    <w:semiHidden/>
    <w:unhideWhenUsed/>
    <w:rsid w:val="00B84942"/>
    <w:pPr>
      <w:spacing w:before="100" w:beforeAutospacing="1" w:after="100" w:afterAutospacing="1" w:line="240" w:lineRule="auto"/>
    </w:pPr>
    <w:rPr>
      <w:rFonts w:ascii="Times New Roman" w:hAnsi="Times New Roman" w:cs="Times New Roman"/>
      <w:szCs w:val="24"/>
    </w:rPr>
  </w:style>
  <w:style w:type="paragraph" w:styleId="BodyText">
    <w:name w:val="Body Text"/>
    <w:basedOn w:val="Normal"/>
    <w:link w:val="BodyTextChar"/>
    <w:uiPriority w:val="99"/>
    <w:semiHidden/>
    <w:unhideWhenUsed/>
    <w:rsid w:val="00B84942"/>
    <w:pPr>
      <w:spacing w:after="120" w:line="240" w:lineRule="auto"/>
    </w:pPr>
    <w:rPr>
      <w:rFonts w:ascii="Times New Roman" w:hAnsi="Times New Roman" w:cs="Times New Roman"/>
      <w:szCs w:val="24"/>
    </w:rPr>
  </w:style>
  <w:style w:type="character" w:customStyle="1" w:styleId="BodyTextChar">
    <w:name w:val="Body Text Char"/>
    <w:basedOn w:val="DefaultParagraphFont"/>
    <w:link w:val="BodyText"/>
    <w:uiPriority w:val="99"/>
    <w:semiHidden/>
    <w:rsid w:val="00B84942"/>
    <w:rPr>
      <w:rFonts w:ascii="Times New Roman" w:hAnsi="Times New Roman" w:cs="Times New Roman"/>
      <w:sz w:val="24"/>
      <w:szCs w:val="24"/>
    </w:rPr>
  </w:style>
  <w:style w:type="character" w:customStyle="1" w:styleId="StdBodyTextChar1">
    <w:name w:val="Std Body Text Char1"/>
    <w:link w:val="StdBodyText"/>
    <w:locked/>
    <w:rsid w:val="00B84942"/>
  </w:style>
  <w:style w:type="paragraph" w:customStyle="1" w:styleId="StdBodyText">
    <w:name w:val="Std Body Text"/>
    <w:link w:val="StdBodyTextChar1"/>
    <w:rsid w:val="00B84942"/>
    <w:pPr>
      <w:spacing w:after="180" w:line="240" w:lineRule="auto"/>
      <w:ind w:left="720"/>
    </w:pPr>
  </w:style>
  <w:style w:type="paragraph" w:styleId="EndnoteText">
    <w:name w:val="endnote text"/>
    <w:basedOn w:val="Normal"/>
    <w:link w:val="EndnoteTextChar"/>
    <w:rsid w:val="00B84942"/>
    <w:pPr>
      <w:spacing w:after="0" w:line="240" w:lineRule="auto"/>
    </w:pPr>
    <w:rPr>
      <w:rFonts w:ascii="Arial" w:eastAsia="Times New Roman" w:hAnsi="Arial" w:cs="Times New Roman"/>
      <w:sz w:val="20"/>
      <w:szCs w:val="20"/>
      <w:lang w:eastAsia="en-GB"/>
    </w:rPr>
  </w:style>
  <w:style w:type="character" w:customStyle="1" w:styleId="EndnoteTextChar">
    <w:name w:val="Endnote Text Char"/>
    <w:basedOn w:val="DefaultParagraphFont"/>
    <w:link w:val="EndnoteText"/>
    <w:rsid w:val="00B84942"/>
    <w:rPr>
      <w:rFonts w:ascii="Arial" w:eastAsia="Times New Roman" w:hAnsi="Arial" w:cs="Times New Roman"/>
      <w:sz w:val="20"/>
      <w:szCs w:val="20"/>
      <w:lang w:eastAsia="en-GB"/>
    </w:rPr>
  </w:style>
  <w:style w:type="character" w:styleId="EndnoteReference">
    <w:name w:val="endnote reference"/>
    <w:basedOn w:val="DefaultParagraphFont"/>
    <w:rsid w:val="00B84942"/>
    <w:rPr>
      <w:vertAlign w:val="superscript"/>
    </w:rPr>
  </w:style>
  <w:style w:type="paragraph" w:styleId="PlainText">
    <w:name w:val="Plain Text"/>
    <w:basedOn w:val="Normal"/>
    <w:link w:val="PlainTextChar"/>
    <w:uiPriority w:val="99"/>
    <w:unhideWhenUsed/>
    <w:rsid w:val="00B84942"/>
    <w:pPr>
      <w:spacing w:after="0" w:line="240" w:lineRule="auto"/>
    </w:pPr>
    <w:rPr>
      <w:rFonts w:ascii="Calibri" w:eastAsia="Calibri" w:hAnsi="Calibri" w:cs="Times New Roman"/>
      <w:lang w:eastAsia="en-GB"/>
    </w:rPr>
  </w:style>
  <w:style w:type="character" w:customStyle="1" w:styleId="PlainTextChar">
    <w:name w:val="Plain Text Char"/>
    <w:basedOn w:val="DefaultParagraphFont"/>
    <w:link w:val="PlainText"/>
    <w:uiPriority w:val="99"/>
    <w:rsid w:val="00B84942"/>
    <w:rPr>
      <w:rFonts w:ascii="Calibri" w:eastAsia="Calibri" w:hAnsi="Calibri" w:cs="Times New Roman"/>
      <w:lang w:eastAsia="en-GB"/>
    </w:rPr>
  </w:style>
  <w:style w:type="character" w:customStyle="1" w:styleId="Belmana3Char">
    <w:name w:val="Belmana3 Char"/>
    <w:basedOn w:val="DefaultParagraphFont"/>
    <w:link w:val="Belmana3"/>
    <w:locked/>
    <w:rsid w:val="003033AB"/>
    <w:rPr>
      <w:rFonts w:ascii="Arial" w:eastAsiaTheme="majorEastAsia" w:hAnsi="Arial" w:cs="Arial"/>
      <w:b/>
      <w:bCs/>
      <w:color w:val="993366"/>
      <w:sz w:val="24"/>
    </w:rPr>
  </w:style>
  <w:style w:type="paragraph" w:customStyle="1" w:styleId="Belmana3">
    <w:name w:val="Belmana3"/>
    <w:basedOn w:val="Heading3"/>
    <w:link w:val="Belmana3Char"/>
    <w:qFormat/>
    <w:rsid w:val="003033AB"/>
    <w:pPr>
      <w:numPr>
        <w:numId w:val="19"/>
      </w:numPr>
      <w:spacing w:before="240" w:after="120"/>
    </w:pPr>
    <w:rPr>
      <w:rFonts w:ascii="Arial" w:hAnsi="Arial" w:cs="Arial"/>
      <w:color w:val="993366"/>
      <w:szCs w:val="22"/>
    </w:rPr>
  </w:style>
  <w:style w:type="paragraph" w:styleId="TOCHeading">
    <w:name w:val="TOC Heading"/>
    <w:basedOn w:val="Heading1"/>
    <w:next w:val="Normal"/>
    <w:uiPriority w:val="39"/>
    <w:unhideWhenUsed/>
    <w:qFormat/>
    <w:rsid w:val="00B84942"/>
    <w:pPr>
      <w:outlineLvl w:val="9"/>
    </w:pPr>
    <w:rPr>
      <w:lang w:val="en-US"/>
    </w:rPr>
  </w:style>
  <w:style w:type="paragraph" w:styleId="TOC1">
    <w:name w:val="toc 1"/>
    <w:basedOn w:val="Normal"/>
    <w:next w:val="Normal"/>
    <w:autoRedefine/>
    <w:uiPriority w:val="39"/>
    <w:unhideWhenUsed/>
    <w:rsid w:val="00B84942"/>
    <w:pPr>
      <w:spacing w:after="100" w:line="240" w:lineRule="auto"/>
    </w:pPr>
    <w:rPr>
      <w:rFonts w:ascii="Arial" w:hAnsi="Arial" w:cs="Times New Roman"/>
      <w:szCs w:val="24"/>
    </w:rPr>
  </w:style>
  <w:style w:type="paragraph" w:styleId="TOC2">
    <w:name w:val="toc 2"/>
    <w:basedOn w:val="Normal"/>
    <w:next w:val="Normal"/>
    <w:autoRedefine/>
    <w:uiPriority w:val="39"/>
    <w:unhideWhenUsed/>
    <w:rsid w:val="00B84942"/>
    <w:pPr>
      <w:spacing w:after="100"/>
      <w:ind w:left="220"/>
    </w:pPr>
    <w:rPr>
      <w:rFonts w:ascii="Arial" w:eastAsiaTheme="minorEastAsia" w:hAnsi="Arial" w:cs="Times New Roman"/>
    </w:rPr>
  </w:style>
  <w:style w:type="paragraph" w:styleId="TOC3">
    <w:name w:val="toc 3"/>
    <w:basedOn w:val="Normal"/>
    <w:next w:val="Normal"/>
    <w:autoRedefine/>
    <w:uiPriority w:val="39"/>
    <w:unhideWhenUsed/>
    <w:rsid w:val="00B84942"/>
    <w:pPr>
      <w:spacing w:after="100"/>
      <w:ind w:left="440"/>
    </w:pPr>
    <w:rPr>
      <w:rFonts w:ascii="Arial" w:eastAsiaTheme="minorEastAsia" w:hAnsi="Arial" w:cs="Times New Roman"/>
    </w:rPr>
  </w:style>
  <w:style w:type="paragraph" w:styleId="TableofFigures">
    <w:name w:val="table of figures"/>
    <w:basedOn w:val="Normal"/>
    <w:next w:val="Normal"/>
    <w:autoRedefine/>
    <w:uiPriority w:val="99"/>
    <w:unhideWhenUsed/>
    <w:rsid w:val="00B84942"/>
    <w:pPr>
      <w:spacing w:after="0" w:line="240" w:lineRule="auto"/>
    </w:pPr>
    <w:rPr>
      <w:rFonts w:ascii="Arial" w:hAnsi="Arial" w:cs="Times New Roman"/>
      <w:color w:val="0D0D0D" w:themeColor="text1" w:themeTint="F2"/>
      <w:szCs w:val="24"/>
    </w:rPr>
  </w:style>
  <w:style w:type="paragraph" w:customStyle="1" w:styleId="Belmananormal">
    <w:name w:val="Belmana normal"/>
    <w:basedOn w:val="Normal"/>
    <w:qFormat/>
    <w:rsid w:val="007A6C8D"/>
    <w:pPr>
      <w:numPr>
        <w:numId w:val="21"/>
      </w:numPr>
    </w:pPr>
    <w:rPr>
      <w:rFonts w:ascii="Arial" w:hAnsi="Arial" w:cs="Arial"/>
    </w:rPr>
  </w:style>
  <w:style w:type="character" w:customStyle="1" w:styleId="UnresolvedMention1">
    <w:name w:val="Unresolved Mention1"/>
    <w:basedOn w:val="DefaultParagraphFont"/>
    <w:uiPriority w:val="99"/>
    <w:semiHidden/>
    <w:unhideWhenUsed/>
    <w:rsid w:val="00B84942"/>
    <w:rPr>
      <w:color w:val="808080"/>
      <w:shd w:val="clear" w:color="auto" w:fill="E6E6E6"/>
    </w:rPr>
  </w:style>
  <w:style w:type="character" w:styleId="FollowedHyperlink">
    <w:name w:val="FollowedHyperlink"/>
    <w:basedOn w:val="DefaultParagraphFont"/>
    <w:uiPriority w:val="99"/>
    <w:semiHidden/>
    <w:unhideWhenUsed/>
    <w:rsid w:val="00B84942"/>
    <w:rPr>
      <w:color w:val="3EBBF0" w:themeColor="followedHyperlink"/>
      <w:u w:val="single"/>
    </w:rPr>
  </w:style>
  <w:style w:type="character" w:customStyle="1" w:styleId="UnresolvedMention2">
    <w:name w:val="Unresolved Mention2"/>
    <w:basedOn w:val="DefaultParagraphFont"/>
    <w:uiPriority w:val="99"/>
    <w:semiHidden/>
    <w:unhideWhenUsed/>
    <w:rsid w:val="00B84942"/>
    <w:rPr>
      <w:color w:val="808080"/>
      <w:shd w:val="clear" w:color="auto" w:fill="E6E6E6"/>
    </w:rPr>
  </w:style>
  <w:style w:type="character" w:customStyle="1" w:styleId="al-author-name">
    <w:name w:val="al-author-name"/>
    <w:basedOn w:val="DefaultParagraphFont"/>
    <w:rsid w:val="00B84942"/>
  </w:style>
  <w:style w:type="character" w:customStyle="1" w:styleId="UnresolvedMention3">
    <w:name w:val="Unresolved Mention3"/>
    <w:basedOn w:val="DefaultParagraphFont"/>
    <w:uiPriority w:val="99"/>
    <w:semiHidden/>
    <w:unhideWhenUsed/>
    <w:rsid w:val="00B84942"/>
    <w:rPr>
      <w:color w:val="808080"/>
      <w:shd w:val="clear" w:color="auto" w:fill="E6E6E6"/>
    </w:rPr>
  </w:style>
  <w:style w:type="paragraph" w:customStyle="1" w:styleId="Belmanacasestudy">
    <w:name w:val="Belmana case study"/>
    <w:basedOn w:val="Belmananormal"/>
    <w:qFormat/>
    <w:rsid w:val="003A3597"/>
    <w:pPr>
      <w:numPr>
        <w:numId w:val="0"/>
      </w:numPr>
    </w:pPr>
  </w:style>
  <w:style w:type="paragraph" w:customStyle="1" w:styleId="BelmanaHeadNumbered">
    <w:name w:val="Belmana Head Numbered"/>
    <w:basedOn w:val="Belmana1"/>
    <w:qFormat/>
    <w:rsid w:val="00DE341A"/>
    <w:pPr>
      <w:numPr>
        <w:numId w:val="27"/>
      </w:numPr>
      <w:spacing w:after="1320"/>
    </w:pPr>
  </w:style>
  <w:style w:type="paragraph" w:customStyle="1" w:styleId="BelmanaCS3">
    <w:name w:val="Belmana CS3"/>
    <w:basedOn w:val="Belmana3"/>
    <w:qFormat/>
    <w:rsid w:val="00E675FC"/>
    <w:pPr>
      <w:numPr>
        <w:numId w:val="0"/>
      </w:numPr>
    </w:pPr>
    <w:rPr>
      <w:lang w:eastAsia="en-GB"/>
    </w:rPr>
  </w:style>
  <w:style w:type="paragraph" w:customStyle="1" w:styleId="BelmanaTableTitle">
    <w:name w:val="Belmana Table Title"/>
    <w:basedOn w:val="Caption"/>
    <w:link w:val="BelmanaTableTitleChar"/>
    <w:qFormat/>
    <w:rsid w:val="00D17F8B"/>
    <w:pPr>
      <w:keepNext/>
    </w:pPr>
    <w:rPr>
      <w:b/>
      <w:i w:val="0"/>
      <w:color w:val="808080" w:themeColor="background1" w:themeShade="80"/>
      <w:sz w:val="28"/>
      <w:szCs w:val="24"/>
    </w:rPr>
  </w:style>
  <w:style w:type="character" w:customStyle="1" w:styleId="CaptionChar">
    <w:name w:val="Caption Char"/>
    <w:basedOn w:val="DefaultParagraphFont"/>
    <w:link w:val="Caption"/>
    <w:uiPriority w:val="35"/>
    <w:rsid w:val="00735EA0"/>
    <w:rPr>
      <w:i/>
      <w:iCs/>
      <w:color w:val="242852" w:themeColor="text2"/>
      <w:sz w:val="18"/>
      <w:szCs w:val="18"/>
    </w:rPr>
  </w:style>
  <w:style w:type="character" w:customStyle="1" w:styleId="BelmanaTableTitleChar">
    <w:name w:val="Belmana Table Title Char"/>
    <w:basedOn w:val="CaptionChar"/>
    <w:link w:val="BelmanaTableTitle"/>
    <w:rsid w:val="00D17F8B"/>
    <w:rPr>
      <w:b/>
      <w:i w:val="0"/>
      <w:iCs/>
      <w:color w:val="808080" w:themeColor="background1" w:themeShade="80"/>
      <w:sz w:val="28"/>
      <w:szCs w:val="24"/>
    </w:rPr>
  </w:style>
  <w:style w:type="paragraph" w:styleId="Revision">
    <w:name w:val="Revision"/>
    <w:hidden/>
    <w:uiPriority w:val="99"/>
    <w:semiHidden/>
    <w:rsid w:val="00B12DFE"/>
    <w:pPr>
      <w:spacing w:after="0" w:line="240" w:lineRule="auto"/>
    </w:pPr>
    <w:rPr>
      <w:sz w:val="24"/>
    </w:rPr>
  </w:style>
  <w:style w:type="character" w:customStyle="1" w:styleId="UnresolvedMention4">
    <w:name w:val="Unresolved Mention4"/>
    <w:basedOn w:val="DefaultParagraphFont"/>
    <w:uiPriority w:val="99"/>
    <w:semiHidden/>
    <w:unhideWhenUsed/>
    <w:rsid w:val="00A013AA"/>
    <w:rPr>
      <w:color w:val="808080"/>
      <w:shd w:val="clear" w:color="auto" w:fill="E6E6E6"/>
    </w:rPr>
  </w:style>
  <w:style w:type="paragraph" w:styleId="TOC4">
    <w:name w:val="toc 4"/>
    <w:basedOn w:val="Normal"/>
    <w:next w:val="Normal"/>
    <w:autoRedefine/>
    <w:uiPriority w:val="39"/>
    <w:unhideWhenUsed/>
    <w:rsid w:val="00873739"/>
    <w:pPr>
      <w:spacing w:after="100"/>
      <w:ind w:left="660"/>
    </w:pPr>
    <w:rPr>
      <w:rFonts w:eastAsiaTheme="minorEastAsia"/>
      <w:sz w:val="22"/>
      <w:lang w:eastAsia="en-GB"/>
    </w:rPr>
  </w:style>
  <w:style w:type="paragraph" w:styleId="TOC5">
    <w:name w:val="toc 5"/>
    <w:basedOn w:val="Normal"/>
    <w:next w:val="Normal"/>
    <w:autoRedefine/>
    <w:uiPriority w:val="39"/>
    <w:unhideWhenUsed/>
    <w:rsid w:val="00873739"/>
    <w:pPr>
      <w:spacing w:after="100"/>
      <w:ind w:left="880"/>
    </w:pPr>
    <w:rPr>
      <w:rFonts w:eastAsiaTheme="minorEastAsia"/>
      <w:sz w:val="22"/>
      <w:lang w:eastAsia="en-GB"/>
    </w:rPr>
  </w:style>
  <w:style w:type="paragraph" w:styleId="TOC6">
    <w:name w:val="toc 6"/>
    <w:basedOn w:val="Normal"/>
    <w:next w:val="Normal"/>
    <w:autoRedefine/>
    <w:uiPriority w:val="39"/>
    <w:unhideWhenUsed/>
    <w:rsid w:val="00873739"/>
    <w:pPr>
      <w:spacing w:after="100"/>
      <w:ind w:left="1100"/>
    </w:pPr>
    <w:rPr>
      <w:rFonts w:eastAsiaTheme="minorEastAsia"/>
      <w:sz w:val="22"/>
      <w:lang w:eastAsia="en-GB"/>
    </w:rPr>
  </w:style>
  <w:style w:type="paragraph" w:styleId="TOC7">
    <w:name w:val="toc 7"/>
    <w:basedOn w:val="Normal"/>
    <w:next w:val="Normal"/>
    <w:autoRedefine/>
    <w:uiPriority w:val="39"/>
    <w:unhideWhenUsed/>
    <w:rsid w:val="00873739"/>
    <w:pPr>
      <w:spacing w:after="100"/>
      <w:ind w:left="1320"/>
    </w:pPr>
    <w:rPr>
      <w:rFonts w:eastAsiaTheme="minorEastAsia"/>
      <w:sz w:val="22"/>
      <w:lang w:eastAsia="en-GB"/>
    </w:rPr>
  </w:style>
  <w:style w:type="paragraph" w:styleId="TOC8">
    <w:name w:val="toc 8"/>
    <w:basedOn w:val="Normal"/>
    <w:next w:val="Normal"/>
    <w:autoRedefine/>
    <w:uiPriority w:val="39"/>
    <w:unhideWhenUsed/>
    <w:rsid w:val="00873739"/>
    <w:pPr>
      <w:spacing w:after="100"/>
      <w:ind w:left="1540"/>
    </w:pPr>
    <w:rPr>
      <w:rFonts w:eastAsiaTheme="minorEastAsia"/>
      <w:sz w:val="22"/>
      <w:lang w:eastAsia="en-GB"/>
    </w:rPr>
  </w:style>
  <w:style w:type="paragraph" w:styleId="TOC9">
    <w:name w:val="toc 9"/>
    <w:basedOn w:val="Normal"/>
    <w:next w:val="Normal"/>
    <w:autoRedefine/>
    <w:uiPriority w:val="39"/>
    <w:unhideWhenUsed/>
    <w:rsid w:val="00873739"/>
    <w:pPr>
      <w:spacing w:after="100"/>
      <w:ind w:left="1760"/>
    </w:pPr>
    <w:rPr>
      <w:rFonts w:eastAsiaTheme="minorEastAsia"/>
      <w:sz w:val="22"/>
      <w:lang w:eastAsia="en-GB"/>
    </w:rPr>
  </w:style>
  <w:style w:type="character" w:customStyle="1" w:styleId="UnresolvedMention">
    <w:name w:val="Unresolved Mention"/>
    <w:basedOn w:val="DefaultParagraphFont"/>
    <w:uiPriority w:val="99"/>
    <w:semiHidden/>
    <w:unhideWhenUsed/>
    <w:rsid w:val="00873739"/>
    <w:rPr>
      <w:color w:val="808080"/>
      <w:shd w:val="clear" w:color="auto" w:fill="E6E6E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file:///\\hefce-trimstore\offlinefs\snaithe\My%20Documents\UKRPIF\Interim%20evaluation\Published%20%20versions%20for%20website\Final%20report\20180216-UKRPIF%20Interim%20evaluation_Annexes%20removed%20(May%202018).docx" TargetMode="External"/><Relationship Id="rId18" Type="http://schemas.openxmlformats.org/officeDocument/2006/relationships/image" Target="media/image5.png"/><Relationship Id="rId26" Type="http://schemas.openxmlformats.org/officeDocument/2006/relationships/diagramData" Target="diagrams/data1.xml"/><Relationship Id="rId39" Type="http://schemas.openxmlformats.org/officeDocument/2006/relationships/image" Target="media/image80.jpeg"/><Relationship Id="rId3" Type="http://schemas.openxmlformats.org/officeDocument/2006/relationships/styles" Target="styles.xml"/><Relationship Id="rId21" Type="http://schemas.openxmlformats.org/officeDocument/2006/relationships/footer" Target="footer2.xml"/><Relationship Id="rId34" Type="http://schemas.openxmlformats.org/officeDocument/2006/relationships/hyperlink" Target="https://www.birmingham.ac.uk/research/activity/htrc/index.aspx" TargetMode="External"/><Relationship Id="rId42" Type="http://schemas.openxmlformats.org/officeDocument/2006/relationships/hyperlink" Target="https://www.maxwell.cam.ac.uk/our-vision" TargetMode="External"/><Relationship Id="rId47" Type="http://schemas.openxmlformats.org/officeDocument/2006/relationships/hyperlink" Target="http://www.oecd.org/sti/sci-tech/CERN-case-studies.pdf" TargetMode="External"/><Relationship Id="rId7" Type="http://schemas.openxmlformats.org/officeDocument/2006/relationships/endnotes" Target="endnotes.xml"/><Relationship Id="rId12" Type="http://schemas.openxmlformats.org/officeDocument/2006/relationships/hyperlink" Target="file:///\\hefce-trimstore\offlinefs\snaithe\My%20Documents\UKRPIF\Interim%20evaluation\Published%20%20versions%20for%20website\Final%20report\20180216-UKRPIF%20Interim%20evaluation_Annexes%20removed%20(May%202018).docx" TargetMode="External"/><Relationship Id="rId17" Type="http://schemas.openxmlformats.org/officeDocument/2006/relationships/image" Target="media/image4.png"/><Relationship Id="rId25" Type="http://schemas.openxmlformats.org/officeDocument/2006/relationships/oleObject" Target="embeddings/oleObject1.bin"/><Relationship Id="rId33" Type="http://schemas.openxmlformats.org/officeDocument/2006/relationships/image" Target="media/image7.jpeg"/><Relationship Id="rId38" Type="http://schemas.openxmlformats.org/officeDocument/2006/relationships/hyperlink" Target="https://www.surrey.ac.uk/5gic/members" TargetMode="External"/><Relationship Id="rId46" Type="http://schemas.openxmlformats.org/officeDocument/2006/relationships/hyperlink" Target="https://www.nao.org.uk/report/biss-capital-investment-in-science-projects/" TargetMode="External"/><Relationship Id="rId2" Type="http://schemas.openxmlformats.org/officeDocument/2006/relationships/numbering" Target="numbering.xml"/><Relationship Id="rId16" Type="http://schemas.openxmlformats.org/officeDocument/2006/relationships/image" Target="media/image3.png"/><Relationship Id="rId20" Type="http://schemas.openxmlformats.org/officeDocument/2006/relationships/header" Target="header2.xml"/><Relationship Id="rId29" Type="http://schemas.openxmlformats.org/officeDocument/2006/relationships/diagramColors" Target="diagrams/colors1.xml"/><Relationship Id="rId41" Type="http://schemas.openxmlformats.org/officeDocument/2006/relationships/image" Target="media/image9.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file:///\\hefce-trimstore\offlinefs\snaithe\My%20Documents\UKRPIF\Interim%20evaluation\Published%20%20versions%20for%20website\Final%20report\20180216-UKRPIF%20Interim%20evaluation_Annexes%20removed%20(May%202018).docx" TargetMode="External"/><Relationship Id="rId24" Type="http://schemas.openxmlformats.org/officeDocument/2006/relationships/image" Target="media/image6.png"/><Relationship Id="rId32" Type="http://schemas.openxmlformats.org/officeDocument/2006/relationships/hyperlink" Target="https://www.birmingham.ac.uk/research/activity/htrc/index.aspx" TargetMode="External"/><Relationship Id="rId37" Type="http://schemas.openxmlformats.org/officeDocument/2006/relationships/image" Target="media/image8.jpeg"/><Relationship Id="rId40" Type="http://schemas.openxmlformats.org/officeDocument/2006/relationships/hyperlink" Target="https://www.maxwell.cam.ac.uk/our-vision" TargetMode="External"/><Relationship Id="rId45" Type="http://schemas.openxmlformats.org/officeDocument/2006/relationships/hyperlink" Target="javascript:;" TargetMode="External"/><Relationship Id="rId5" Type="http://schemas.openxmlformats.org/officeDocument/2006/relationships/webSettings" Target="webSettings.xml"/><Relationship Id="rId15" Type="http://schemas.openxmlformats.org/officeDocument/2006/relationships/chart" Target="charts/chart2.xml"/><Relationship Id="rId23" Type="http://schemas.openxmlformats.org/officeDocument/2006/relationships/footer" Target="footer3.xml"/><Relationship Id="rId28" Type="http://schemas.openxmlformats.org/officeDocument/2006/relationships/diagramQuickStyle" Target="diagrams/quickStyle1.xml"/><Relationship Id="rId36" Type="http://schemas.openxmlformats.org/officeDocument/2006/relationships/hyperlink" Target="https://www.surrey.ac.uk/5gic/members" TargetMode="External"/><Relationship Id="rId49" Type="http://schemas.openxmlformats.org/officeDocument/2006/relationships/theme" Target="theme/theme1.xml"/><Relationship Id="rId10" Type="http://schemas.openxmlformats.org/officeDocument/2006/relationships/hyperlink" Target="file:///\\hefce-trimstore\offlinefs\snaithe\My%20Documents\UKRPIF\Interim%20evaluation\Published%20%20versions%20for%20website\Final%20report\20180216-UKRPIF%20Interim%20evaluation_Annexes%20removed%20(May%202018).docx" TargetMode="External"/><Relationship Id="rId19" Type="http://schemas.openxmlformats.org/officeDocument/2006/relationships/header" Target="header1.xml"/><Relationship Id="rId31" Type="http://schemas.openxmlformats.org/officeDocument/2006/relationships/header" Target="header4.xml"/><Relationship Id="rId44" Type="http://schemas.openxmlformats.org/officeDocument/2006/relationships/hyperlink" Target="http://www.publications.parliament.uk/pa/cm201011/cmselect/cmsctech/619/61902.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hart" Target="charts/chart1.xml"/><Relationship Id="rId22" Type="http://schemas.openxmlformats.org/officeDocument/2006/relationships/header" Target="header3.xml"/><Relationship Id="rId27" Type="http://schemas.openxmlformats.org/officeDocument/2006/relationships/diagramLayout" Target="diagrams/layout1.xml"/><Relationship Id="rId30" Type="http://schemas.microsoft.com/office/2007/relationships/diagramDrawing" Target="diagrams/drawing1.xml"/><Relationship Id="rId35" Type="http://schemas.openxmlformats.org/officeDocument/2006/relationships/image" Target="media/image70.jpeg"/><Relationship Id="rId43" Type="http://schemas.openxmlformats.org/officeDocument/2006/relationships/image" Target="media/image90.jpeg"/><Relationship Id="rId48" Type="http://schemas.openxmlformats.org/officeDocument/2006/relationships/fontTable" Target="fontTable.xml"/><Relationship Id="rId8" Type="http://schemas.openxmlformats.org/officeDocument/2006/relationships/image" Target="media/image1.jpeg"/></Relationships>
</file>

<file path=word/_rels/foot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eg"/></Relationships>
</file>

<file path=word/charts/_rels/chart1.xml.rels><?xml version="1.0" encoding="UTF-8" standalone="yes"?>
<Relationships xmlns="http://schemas.openxmlformats.org/package/2006/relationships"><Relationship Id="rId3" Type="http://schemas.openxmlformats.org/officeDocument/2006/relationships/oleObject" Target="file:///\\bayes\HEFCE%20UKRPIF%20Evaluation\03_outputs\Projects%20Overview%20Dataset.xlsx" TargetMode="External"/><Relationship Id="rId2" Type="http://schemas.microsoft.com/office/2011/relationships/chartColorStyle" Target="colors1.xml"/><Relationship Id="rId1" Type="http://schemas.microsoft.com/office/2011/relationships/chartStyle" Target="style1.xml"/></Relationships>
</file>

<file path=word/charts/_rels/chart2.xml.rels><?xml version="1.0" encoding="UTF-8" standalone="yes"?>
<Relationships xmlns="http://schemas.openxmlformats.org/package/2006/relationships"><Relationship Id="rId3" Type="http://schemas.openxmlformats.org/officeDocument/2006/relationships/oleObject" Target="file:///C:\Users\andre\Google%20Drive\LIVE%20HEFCE%20Research%20Partnership%20Investment%20Fund\Reporting\November%20Drafting\Copy%20of%20ADDITIONAL%20INFORMATION%20UKRPIF%20co-investment%20profiles%20Rounds%201-5.xlsx" TargetMode="External"/><Relationship Id="rId2" Type="http://schemas.microsoft.com/office/2011/relationships/chartColorStyle" Target="colors2.xml"/><Relationship Id="rId1" Type="http://schemas.microsoft.com/office/2011/relationships/chartStyle" Target="style2.xml"/></Relationships>
</file>

<file path=word/charts/chart1.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3.5017716535433098E-2"/>
          <c:y val="8.19963294061926E-2"/>
          <c:w val="0.41885345581802302"/>
          <c:h val="0.87210667492474403"/>
        </c:manualLayout>
      </c:layout>
      <c:pieChart>
        <c:varyColors val="1"/>
        <c:ser>
          <c:idx val="0"/>
          <c:order val="0"/>
          <c:spPr>
            <a:solidFill>
              <a:schemeClr val="accent2"/>
            </a:solidFill>
          </c:spPr>
          <c:dPt>
            <c:idx val="0"/>
            <c:bubble3D val="0"/>
            <c:spPr>
              <a:solidFill>
                <a:srgbClr val="CE665F"/>
              </a:solidFill>
              <a:ln w="19050">
                <a:solidFill>
                  <a:schemeClr val="lt1"/>
                </a:solidFill>
              </a:ln>
              <a:effectLst/>
            </c:spPr>
            <c:extLst xmlns:c16r2="http://schemas.microsoft.com/office/drawing/2015/06/chart">
              <c:ext xmlns:c16="http://schemas.microsoft.com/office/drawing/2014/chart" uri="{C3380CC4-5D6E-409C-BE32-E72D297353CC}">
                <c16:uniqueId val="{00000001-740A-48A5-A9BE-E27D7A11E29D}"/>
              </c:ext>
            </c:extLst>
          </c:dPt>
          <c:dPt>
            <c:idx val="1"/>
            <c:bubble3D val="0"/>
            <c:spPr>
              <a:solidFill>
                <a:srgbClr val="993365"/>
              </a:solidFill>
              <a:ln w="19050">
                <a:solidFill>
                  <a:schemeClr val="lt1"/>
                </a:solidFill>
              </a:ln>
              <a:effectLst/>
            </c:spPr>
            <c:extLst xmlns:c16r2="http://schemas.microsoft.com/office/drawing/2015/06/chart">
              <c:ext xmlns:c16="http://schemas.microsoft.com/office/drawing/2014/chart" uri="{C3380CC4-5D6E-409C-BE32-E72D297353CC}">
                <c16:uniqueId val="{00000003-740A-48A5-A9BE-E27D7A11E29D}"/>
              </c:ext>
            </c:extLst>
          </c:dPt>
          <c:dLbls>
            <c:dLbl>
              <c:idx val="0"/>
              <c:layout/>
              <c:tx>
                <c:rich>
                  <a:bodyPr/>
                  <a:lstStyle/>
                  <a:p>
                    <a:r>
                      <a:rPr lang="en-US"/>
                      <a:t>£1.7bn</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1-740A-48A5-A9BE-E27D7A11E29D}"/>
                </c:ext>
                <c:ext xmlns:c15="http://schemas.microsoft.com/office/drawing/2012/chart" uri="{CE6537A1-D6FC-4f65-9D91-7224C49458BB}">
                  <c15:layout/>
                </c:ext>
              </c:extLst>
            </c:dLbl>
            <c:dLbl>
              <c:idx val="1"/>
              <c:layout/>
              <c:tx>
                <c:rich>
                  <a:bodyPr/>
                  <a:lstStyle/>
                  <a:p>
                    <a:r>
                      <a:rPr lang="en-US"/>
                      <a:t>£4.5bn</a:t>
                    </a:r>
                  </a:p>
                </c:rich>
              </c:tx>
              <c:dLblPos val="bestFit"/>
              <c:showLegendKey val="0"/>
              <c:showVal val="1"/>
              <c:showCatName val="0"/>
              <c:showSerName val="0"/>
              <c:showPercent val="0"/>
              <c:showBubbleSize val="0"/>
              <c:extLst xmlns:c16r2="http://schemas.microsoft.com/office/drawing/2015/06/chart">
                <c:ext xmlns:c16="http://schemas.microsoft.com/office/drawing/2014/chart" uri="{C3380CC4-5D6E-409C-BE32-E72D297353CC}">
                  <c16:uniqueId val="{00000003-740A-48A5-A9BE-E27D7A11E29D}"/>
                </c:ext>
                <c:ext xmlns:c15="http://schemas.microsoft.com/office/drawing/2012/chart" uri="{CE6537A1-D6FC-4f65-9D91-7224C49458BB}">
                  <c15:layout/>
                </c:ext>
              </c:extLst>
            </c:dLbl>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Arial" panose="020B0604020202020204" pitchFamily="34" charset="0"/>
                    <a:ea typeface="+mn-ea"/>
                    <a:cs typeface="Arial" panose="020B0604020202020204" pitchFamily="34" charset="0"/>
                  </a:defRPr>
                </a:pPr>
                <a:endParaRPr lang="en-US"/>
              </a:p>
            </c:txPr>
            <c:dLblPos val="bestFit"/>
            <c:showLegendKey val="0"/>
            <c:showVal val="1"/>
            <c:showCatName val="0"/>
            <c:showSerName val="0"/>
            <c:showPercent val="0"/>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extLst>
          </c:dLbls>
          <c:cat>
            <c:strRef>
              <c:f>'HESA Data Analysis'!$A$2:$A$3</c:f>
              <c:strCache>
                <c:ptCount val="2"/>
                <c:pt idx="0">
                  <c:v>Equipment</c:v>
                </c:pt>
                <c:pt idx="1">
                  <c:v>Building</c:v>
                </c:pt>
              </c:strCache>
            </c:strRef>
          </c:cat>
          <c:val>
            <c:numRef>
              <c:f>'HESA Data Analysis'!$K$2:$K$3</c:f>
              <c:numCache>
                <c:formatCode>"$"#,##0.00</c:formatCode>
                <c:ptCount val="2"/>
                <c:pt idx="0">
                  <c:v>1.752</c:v>
                </c:pt>
                <c:pt idx="1">
                  <c:v>4.4939999999999998</c:v>
                </c:pt>
              </c:numCache>
            </c:numRef>
          </c:val>
          <c:extLst xmlns:c16r2="http://schemas.microsoft.com/office/drawing/2015/06/chart">
            <c:ext xmlns:c16="http://schemas.microsoft.com/office/drawing/2014/chart" uri="{C3380CC4-5D6E-409C-BE32-E72D297353CC}">
              <c16:uniqueId val="{00000004-740A-48A5-A9BE-E27D7A11E29D}"/>
            </c:ext>
          </c:extLst>
        </c:ser>
        <c:dLbls>
          <c:showLegendKey val="0"/>
          <c:showVal val="1"/>
          <c:showCatName val="0"/>
          <c:showSerName val="0"/>
          <c:showPercent val="0"/>
          <c:showBubbleSize val="0"/>
          <c:showLeaderLines val="1"/>
        </c:dLbls>
        <c:firstSliceAng val="0"/>
      </c:pieChart>
      <c:spPr>
        <a:noFill/>
        <a:ln>
          <a:noFill/>
        </a:ln>
        <a:effectLst/>
      </c:spPr>
    </c:plotArea>
    <c:legend>
      <c:legendPos val="b"/>
      <c:layout>
        <c:manualLayout>
          <c:xMode val="edge"/>
          <c:yMode val="edge"/>
          <c:x val="0.674101924759405"/>
          <c:y val="0.258721758970412"/>
          <c:w val="0.24901837270341201"/>
          <c:h val="0.37112208139974401"/>
        </c:manualLayout>
      </c:layout>
      <c:overlay val="0"/>
      <c:spPr>
        <a:noFill/>
        <a:ln>
          <a:noFill/>
        </a:ln>
        <a:effectLst/>
      </c:spPr>
      <c:txPr>
        <a:bodyPr rot="0" spcFirstLastPara="1" vertOverflow="ellipsis" vert="horz" wrap="square" anchor="ctr" anchorCtr="1"/>
        <a:lstStyle/>
        <a:p>
          <a:pPr rtl="0">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hart2.xml><?xml version="1.0" encoding="utf-8"?>
<c:chartSpace xmlns:c="http://schemas.openxmlformats.org/drawingml/2006/chart" xmlns:a="http://schemas.openxmlformats.org/drawingml/2006/main" xmlns:r="http://schemas.openxmlformats.org/officeDocument/2006/relationships">
  <c:date1904 val="0"/>
  <c:lang val="en-US"/>
  <c:roundedCorners val="0"/>
  <mc:AlternateContent xmlns:mc="http://schemas.openxmlformats.org/markup-compatibility/2006">
    <mc:Choice xmlns:c14="http://schemas.microsoft.com/office/drawing/2007/8/2/chart" Requires="c14">
      <c14:style val="102"/>
    </mc:Choice>
    <mc:Fallback>
      <c:style val="2"/>
    </mc:Fallback>
  </mc:AlternateContent>
  <c:chart>
    <c:autoTitleDeleted val="1"/>
    <c:plotArea>
      <c:layout>
        <c:manualLayout>
          <c:layoutTarget val="inner"/>
          <c:xMode val="edge"/>
          <c:yMode val="edge"/>
          <c:x val="0.12303992928719"/>
          <c:y val="6.7015010220496593E-2"/>
          <c:w val="0.33009443407202999"/>
          <c:h val="0.88532239921622702"/>
        </c:manualLayout>
      </c:layout>
      <c:pieChart>
        <c:varyColors val="1"/>
        <c:ser>
          <c:idx val="0"/>
          <c:order val="0"/>
          <c:spPr>
            <a:solidFill>
              <a:srgbClr val="629DD1"/>
            </a:solidFill>
          </c:spPr>
          <c:dPt>
            <c:idx val="0"/>
            <c:bubble3D val="0"/>
            <c:spPr>
              <a:solidFill>
                <a:srgbClr val="CE665F"/>
              </a:solidFill>
              <a:ln w="19050">
                <a:solidFill>
                  <a:schemeClr val="lt1"/>
                </a:solidFill>
              </a:ln>
              <a:effectLst/>
            </c:spPr>
            <c:extLst xmlns:c16r2="http://schemas.microsoft.com/office/drawing/2015/06/chart">
              <c:ext xmlns:c16="http://schemas.microsoft.com/office/drawing/2014/chart" uri="{C3380CC4-5D6E-409C-BE32-E72D297353CC}">
                <c16:uniqueId val="{00000001-B6A4-433B-8796-7AD65ACF1DD6}"/>
              </c:ext>
            </c:extLst>
          </c:dPt>
          <c:dPt>
            <c:idx val="1"/>
            <c:bubble3D val="0"/>
            <c:spPr>
              <a:solidFill>
                <a:srgbClr val="993365"/>
              </a:solidFill>
              <a:ln w="19050">
                <a:solidFill>
                  <a:schemeClr val="lt1"/>
                </a:solidFill>
              </a:ln>
              <a:effectLst/>
            </c:spPr>
            <c:extLst xmlns:c16r2="http://schemas.microsoft.com/office/drawing/2015/06/chart">
              <c:ext xmlns:c16="http://schemas.microsoft.com/office/drawing/2014/chart" uri="{C3380CC4-5D6E-409C-BE32-E72D297353CC}">
                <c16:uniqueId val="{00000003-B6A4-433B-8796-7AD65ACF1DD6}"/>
              </c:ext>
            </c:extLst>
          </c:dPt>
          <c:dLbls>
            <c:spPr>
              <a:noFill/>
              <a:ln>
                <a:noFill/>
              </a:ln>
              <a:effectLst/>
            </c:spPr>
            <c:txPr>
              <a:bodyPr rot="0" spcFirstLastPara="1" vertOverflow="ellipsis" vert="horz" wrap="square" lIns="38100" tIns="19050" rIns="38100" bIns="19050" anchor="ctr" anchorCtr="1">
                <a:spAutoFit/>
              </a:bodyPr>
              <a:lstStyle/>
              <a:p>
                <a:pPr>
                  <a:defRPr sz="1050" b="1" i="0" u="none" strike="noStrike" kern="1200" baseline="0">
                    <a:solidFill>
                      <a:schemeClr val="bg1"/>
                    </a:solidFill>
                    <a:latin typeface="+mn-lt"/>
                    <a:ea typeface="+mn-ea"/>
                    <a:cs typeface="+mn-cs"/>
                  </a:defRPr>
                </a:pPr>
                <a:endParaRPr lang="en-US"/>
              </a:p>
            </c:txPr>
            <c:dLblPos val="inEnd"/>
            <c:showLegendKey val="0"/>
            <c:showVal val="0"/>
            <c:showCatName val="0"/>
            <c:showSerName val="0"/>
            <c:showPercent val="1"/>
            <c:showBubbleSize val="0"/>
            <c:showLeaderLines val="1"/>
            <c:leaderLines>
              <c:spPr>
                <a:ln w="9525" cap="flat" cmpd="sng" algn="ctr">
                  <a:solidFill>
                    <a:schemeClr val="tx1">
                      <a:lumMod val="35000"/>
                      <a:lumOff val="65000"/>
                    </a:schemeClr>
                  </a:solidFill>
                  <a:round/>
                </a:ln>
                <a:effectLst/>
              </c:spPr>
            </c:leaderLines>
            <c:extLst xmlns:c16r2="http://schemas.microsoft.com/office/drawing/2015/06/chart">
              <c:ext xmlns:c15="http://schemas.microsoft.com/office/drawing/2012/chart" uri="{CE6537A1-D6FC-4f65-9D91-7224C49458BB}">
                <c15:layout/>
              </c:ext>
            </c:extLst>
          </c:dLbls>
          <c:cat>
            <c:strRef>
              <c:f>Graphs!$B$10:$C$10</c:f>
              <c:strCache>
                <c:ptCount val="2"/>
                <c:pt idx="0">
                  <c:v>Capital Expenditure</c:v>
                </c:pt>
                <c:pt idx="1">
                  <c:v>Revenue Expenditure</c:v>
                </c:pt>
              </c:strCache>
            </c:strRef>
          </c:cat>
          <c:val>
            <c:numRef>
              <c:f>Graphs!$B$16:$C$16</c:f>
              <c:numCache>
                <c:formatCode>_-[$£-809]* #,##0.00_-;\-[$£-809]* #,##0.00_-;_-[$£-809]* "-"??_-;_-@_-</c:formatCode>
                <c:ptCount val="2"/>
                <c:pt idx="0">
                  <c:v>822508917.97542095</c:v>
                </c:pt>
                <c:pt idx="1">
                  <c:v>903703241.02457798</c:v>
                </c:pt>
              </c:numCache>
            </c:numRef>
          </c:val>
          <c:extLst xmlns:c16r2="http://schemas.microsoft.com/office/drawing/2015/06/chart">
            <c:ext xmlns:c16="http://schemas.microsoft.com/office/drawing/2014/chart" uri="{C3380CC4-5D6E-409C-BE32-E72D297353CC}">
              <c16:uniqueId val="{00000004-B6A4-433B-8796-7AD65ACF1DD6}"/>
            </c:ext>
          </c:extLst>
        </c:ser>
        <c:dLbls>
          <c:showLegendKey val="0"/>
          <c:showVal val="0"/>
          <c:showCatName val="0"/>
          <c:showSerName val="0"/>
          <c:showPercent val="1"/>
          <c:showBubbleSize val="0"/>
          <c:showLeaderLines val="1"/>
        </c:dLbls>
        <c:firstSliceAng val="0"/>
      </c:pieChart>
      <c:spPr>
        <a:noFill/>
        <a:ln>
          <a:noFill/>
        </a:ln>
        <a:effectLst/>
      </c:spPr>
    </c:plotArea>
    <c:legend>
      <c:legendPos val="b"/>
      <c:layout>
        <c:manualLayout>
          <c:xMode val="edge"/>
          <c:yMode val="edge"/>
          <c:x val="0.62859755932570305"/>
          <c:y val="0.279910495059085"/>
          <c:w val="0.233068160294396"/>
          <c:h val="0.34596928091569801"/>
        </c:manualLayout>
      </c:layout>
      <c:overlay val="0"/>
      <c:spPr>
        <a:noFill/>
        <a:ln>
          <a:noFill/>
        </a:ln>
        <a:effectLst/>
      </c:spPr>
      <c:txPr>
        <a:bodyPr rot="0" spcFirstLastPara="1" vertOverflow="ellipsis" vert="horz" wrap="square" anchor="ctr" anchorCtr="1"/>
        <a:lstStyle/>
        <a:p>
          <a:pPr>
            <a:defRPr sz="1100" b="0" i="0" u="none" strike="noStrike" kern="1200" baseline="0">
              <a:solidFill>
                <a:schemeClr val="tx1">
                  <a:lumMod val="65000"/>
                  <a:lumOff val="35000"/>
                </a:schemeClr>
              </a:solidFill>
              <a:latin typeface="Arial" panose="020B0604020202020204" pitchFamily="34" charset="0"/>
              <a:ea typeface="+mn-ea"/>
              <a:cs typeface="Arial" panose="020B0604020202020204" pitchFamily="34" charset="0"/>
            </a:defRPr>
          </a:pPr>
          <a:endParaRPr lang="en-US"/>
        </a:p>
      </c:txPr>
    </c:legend>
    <c:plotVisOnly val="1"/>
    <c:dispBlanksAs val="zero"/>
    <c:showDLblsOverMax val="0"/>
    <c:extLst xmlns:c16r2="http://schemas.microsoft.com/office/drawing/2015/06/chart">
      <c:ext xmlns:c16r3="http://schemas.microsoft.com/office/drawing/2017/03/chart" uri="{56B9EC1D-385E-4148-901F-78D8002777C0}">
        <c16r3:dataDisplayOptions16>
          <c16r3:dispNaAsBlank val="1"/>
        </c16r3:dataDisplayOptions16>
      </c:ext>
    </c:extLst>
  </c:chart>
  <c:spPr>
    <a:solidFill>
      <a:schemeClr val="bg1"/>
    </a:solidFill>
    <a:ln w="9525" cap="flat" cmpd="sng" algn="ctr">
      <a:noFill/>
      <a:round/>
    </a:ln>
    <a:effectLst/>
  </c:spPr>
  <c:txPr>
    <a:bodyPr/>
    <a:lstStyle/>
    <a:p>
      <a:pPr>
        <a:defRPr/>
      </a:pPr>
      <a:endParaRPr lang="en-US"/>
    </a:p>
  </c:txPr>
  <c:externalData r:id="rId3">
    <c:autoUpdate val="0"/>
  </c:externalData>
</c:chartSpace>
</file>

<file path=word/charts/colors1.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colors2.xml><?xml version="1.0" encoding="utf-8"?>
<cs:colorStyle xmlns:cs="http://schemas.microsoft.com/office/drawing/2012/chartStyle" xmlns:a="http://schemas.openxmlformats.org/drawingml/2006/main" meth="cycle" id="10">
  <a:schemeClr val="accent1"/>
  <a:schemeClr val="accent2"/>
  <a:schemeClr val="accent3"/>
  <a:schemeClr val="accent4"/>
  <a:schemeClr val="accent5"/>
  <a:schemeClr val="accent6"/>
  <cs:variation/>
  <cs:variation>
    <a:lumMod val="60000"/>
  </cs:variation>
  <cs:variation>
    <a:lumMod val="80000"/>
    <a:lumOff val="20000"/>
  </cs:variation>
  <cs:variation>
    <a:lumMod val="80000"/>
  </cs:variation>
  <cs:variation>
    <a:lumMod val="60000"/>
    <a:lumOff val="40000"/>
  </cs:variation>
  <cs:variation>
    <a:lumMod val="50000"/>
  </cs:variation>
  <cs:variation>
    <a:lumMod val="70000"/>
    <a:lumOff val="30000"/>
  </cs:variation>
  <cs:variation>
    <a:lumMod val="70000"/>
  </cs:variation>
  <cs:variation>
    <a:lumMod val="50000"/>
    <a:lumOff val="50000"/>
  </cs:variation>
</cs:colorStyle>
</file>

<file path=word/charts/style1.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charts/style2.xml><?xml version="1.0" encoding="utf-8"?>
<cs:chartStyle xmlns:cs="http://schemas.microsoft.com/office/drawing/2012/chartStyle" xmlns:a="http://schemas.openxmlformats.org/drawingml/2006/main" id="251">
  <cs:axisTitle>
    <cs:lnRef idx="0"/>
    <cs:fillRef idx="0"/>
    <cs:effectRef idx="0"/>
    <cs:fontRef idx="minor">
      <a:schemeClr val="tx1">
        <a:lumMod val="65000"/>
        <a:lumOff val="35000"/>
      </a:schemeClr>
    </cs:fontRef>
    <cs:defRPr sz="1000" kern="1200"/>
  </cs:axisTitle>
  <cs:categoryAxis>
    <cs:lnRef idx="0"/>
    <cs:fillRef idx="0"/>
    <cs:effectRef idx="0"/>
    <cs:fontRef idx="minor">
      <a:schemeClr val="tx1">
        <a:lumMod val="65000"/>
        <a:lumOff val="35000"/>
      </a:schemeClr>
    </cs:fontRef>
    <cs:spPr>
      <a:ln w="9525" cap="flat" cmpd="sng" algn="ctr">
        <a:solidFill>
          <a:schemeClr val="tx1">
            <a:lumMod val="15000"/>
            <a:lumOff val="85000"/>
          </a:schemeClr>
        </a:solidFill>
        <a:round/>
      </a:ln>
    </cs:spPr>
    <cs:defRPr sz="900" kern="1200"/>
  </cs:categoryAxis>
  <cs:chartArea mods="allowNoFillOverride allowNoLineOverride">
    <cs:lnRef idx="0"/>
    <cs:fillRef idx="0"/>
    <cs:effectRef idx="0"/>
    <cs:fontRef idx="minor">
      <a:schemeClr val="tx1"/>
    </cs:fontRef>
    <cs:spPr>
      <a:solidFill>
        <a:schemeClr val="bg1"/>
      </a:solidFill>
      <a:ln w="9525" cap="flat" cmpd="sng" algn="ctr">
        <a:solidFill>
          <a:schemeClr val="tx1">
            <a:lumMod val="15000"/>
            <a:lumOff val="85000"/>
          </a:schemeClr>
        </a:solidFill>
        <a:round/>
      </a:ln>
    </cs:spPr>
    <cs:defRPr sz="900" kern="1200"/>
  </cs:chartArea>
  <cs:dataLabel>
    <cs:lnRef idx="0"/>
    <cs:fillRef idx="0"/>
    <cs:effectRef idx="0"/>
    <cs:fontRef idx="minor">
      <a:schemeClr val="tx1">
        <a:lumMod val="75000"/>
        <a:lumOff val="25000"/>
      </a:schemeClr>
    </cs:fontRef>
    <cs:defRPr sz="900" kern="1200"/>
  </cs:dataLabel>
  <cs:dataLabelCallout>
    <cs:lnRef idx="0"/>
    <cs:fillRef idx="0"/>
    <cs:effectRef idx="0"/>
    <cs:fontRef idx="minor">
      <a:schemeClr val="dk1">
        <a:lumMod val="65000"/>
        <a:lumOff val="35000"/>
      </a:schemeClr>
    </cs:fontRef>
    <cs:spPr>
      <a:solidFill>
        <a:schemeClr val="lt1"/>
      </a:solidFill>
      <a:ln>
        <a:solidFill>
          <a:schemeClr val="dk1">
            <a:lumMod val="25000"/>
            <a:lumOff val="75000"/>
          </a:schemeClr>
        </a:solidFill>
      </a:ln>
    </cs:spPr>
    <cs:defRPr sz="900" kern="1200"/>
    <cs:bodyPr rot="0" spcFirstLastPara="1" vertOverflow="clip" horzOverflow="clip" vert="horz" wrap="square" lIns="36576" tIns="18288" rIns="36576" bIns="18288" anchor="ctr" anchorCtr="1">
      <a:spAutoFit/>
    </cs:bodyPr>
  </cs:dataLabelCallout>
  <cs:dataPoint>
    <cs:lnRef idx="0"/>
    <cs:fillRef idx="1">
      <cs:styleClr val="auto"/>
    </cs:fillRef>
    <cs:effectRef idx="0"/>
    <cs:fontRef idx="minor">
      <a:schemeClr val="tx1"/>
    </cs:fontRef>
    <cs:spPr>
      <a:ln w="19050">
        <a:solidFill>
          <a:schemeClr val="lt1"/>
        </a:solidFill>
      </a:ln>
    </cs:spPr>
  </cs:dataPoint>
  <cs:dataPoint3D>
    <cs:lnRef idx="0"/>
    <cs:fillRef idx="1">
      <cs:styleClr val="auto"/>
    </cs:fillRef>
    <cs:effectRef idx="0"/>
    <cs:fontRef idx="minor">
      <a:schemeClr val="tx1"/>
    </cs:fontRef>
    <cs:spPr>
      <a:ln w="25400">
        <a:solidFill>
          <a:schemeClr val="lt1"/>
        </a:solidFill>
      </a:ln>
    </cs:spPr>
  </cs:dataPoint3D>
  <cs:dataPointLine>
    <cs:lnRef idx="0">
      <cs:styleClr val="auto"/>
    </cs:lnRef>
    <cs:fillRef idx="0"/>
    <cs:effectRef idx="0"/>
    <cs:fontRef idx="minor">
      <a:schemeClr val="tx1"/>
    </cs:fontRef>
    <cs:spPr>
      <a:ln w="28575" cap="rnd">
        <a:solidFill>
          <a:schemeClr val="phClr"/>
        </a:solidFill>
        <a:round/>
      </a:ln>
    </cs:spPr>
  </cs:dataPointLine>
  <cs:dataPointMarker>
    <cs:lnRef idx="0">
      <cs:styleClr val="auto"/>
    </cs:lnRef>
    <cs:fillRef idx="1">
      <cs:styleClr val="auto"/>
    </cs:fillRef>
    <cs:effectRef idx="0"/>
    <cs:fontRef idx="minor">
      <a:schemeClr val="tx1"/>
    </cs:fontRef>
    <cs:spPr>
      <a:ln w="9525">
        <a:solidFill>
          <a:schemeClr val="phClr"/>
        </a:solidFill>
      </a:ln>
    </cs:spPr>
  </cs:dataPointMarker>
  <cs:dataPointMarkerLayout symbol="circle" size="5"/>
  <cs:dataPointWireframe>
    <cs:lnRef idx="0">
      <cs:styleClr val="auto"/>
    </cs:lnRef>
    <cs:fillRef idx="0"/>
    <cs:effectRef idx="0"/>
    <cs:fontRef idx="minor">
      <a:schemeClr val="tx1"/>
    </cs:fontRef>
    <cs:spPr>
      <a:ln w="9525" cap="rnd">
        <a:solidFill>
          <a:schemeClr val="phClr"/>
        </a:solidFill>
        <a:round/>
      </a:ln>
    </cs:spPr>
  </cs:dataPointWireframe>
  <cs:dataTable>
    <cs:lnRef idx="0"/>
    <cs:fillRef idx="0"/>
    <cs:effectRef idx="0"/>
    <cs:fontRef idx="minor">
      <a:schemeClr val="tx1">
        <a:lumMod val="65000"/>
        <a:lumOff val="35000"/>
      </a:schemeClr>
    </cs:fontRef>
    <cs:spPr>
      <a:noFill/>
      <a:ln w="9525" cap="flat" cmpd="sng" algn="ctr">
        <a:solidFill>
          <a:schemeClr val="tx1">
            <a:lumMod val="15000"/>
            <a:lumOff val="85000"/>
          </a:schemeClr>
        </a:solidFill>
        <a:round/>
      </a:ln>
    </cs:spPr>
    <cs:defRPr sz="900" kern="1200"/>
  </cs:dataTable>
  <cs:downBar>
    <cs:lnRef idx="0"/>
    <cs:fillRef idx="0"/>
    <cs:effectRef idx="0"/>
    <cs:fontRef idx="minor">
      <a:schemeClr val="tx1"/>
    </cs:fontRef>
    <cs:spPr>
      <a:solidFill>
        <a:schemeClr val="dk1">
          <a:lumMod val="75000"/>
          <a:lumOff val="25000"/>
        </a:schemeClr>
      </a:solidFill>
      <a:ln w="9525" cap="flat" cmpd="sng" algn="ctr">
        <a:solidFill>
          <a:schemeClr val="tx1">
            <a:lumMod val="65000"/>
            <a:lumOff val="35000"/>
          </a:schemeClr>
        </a:solidFill>
        <a:round/>
      </a:ln>
    </cs:spPr>
  </cs:downBar>
  <cs:dropLine>
    <cs:lnRef idx="0"/>
    <cs:fillRef idx="0"/>
    <cs:effectRef idx="0"/>
    <cs:fontRef idx="minor">
      <a:schemeClr val="tx1"/>
    </cs:fontRef>
    <cs:spPr>
      <a:ln w="9525" cap="flat" cmpd="sng" algn="ctr">
        <a:solidFill>
          <a:schemeClr val="tx1">
            <a:lumMod val="35000"/>
            <a:lumOff val="65000"/>
          </a:schemeClr>
        </a:solidFill>
        <a:round/>
      </a:ln>
    </cs:spPr>
  </cs:dropLine>
  <cs:errorBar>
    <cs:lnRef idx="0"/>
    <cs:fillRef idx="0"/>
    <cs:effectRef idx="0"/>
    <cs:fontRef idx="minor">
      <a:schemeClr val="tx1"/>
    </cs:fontRef>
    <cs:spPr>
      <a:ln w="9525" cap="flat" cmpd="sng" algn="ctr">
        <a:solidFill>
          <a:schemeClr val="tx1">
            <a:lumMod val="65000"/>
            <a:lumOff val="35000"/>
          </a:schemeClr>
        </a:solidFill>
        <a:round/>
      </a:ln>
    </cs:spPr>
  </cs:errorBar>
  <cs:floor>
    <cs:lnRef idx="0"/>
    <cs:fillRef idx="0"/>
    <cs:effectRef idx="0"/>
    <cs:fontRef idx="minor">
      <a:schemeClr val="tx1"/>
    </cs:fontRef>
    <cs:spPr>
      <a:noFill/>
      <a:ln>
        <a:noFill/>
      </a:ln>
    </cs:spPr>
  </cs:floor>
  <cs:gridlineMajor>
    <cs:lnRef idx="0"/>
    <cs:fillRef idx="0"/>
    <cs:effectRef idx="0"/>
    <cs:fontRef idx="minor">
      <a:schemeClr val="tx1"/>
    </cs:fontRef>
    <cs:spPr>
      <a:ln w="9525" cap="flat" cmpd="sng" algn="ctr">
        <a:solidFill>
          <a:schemeClr val="tx1">
            <a:lumMod val="15000"/>
            <a:lumOff val="85000"/>
          </a:schemeClr>
        </a:solidFill>
        <a:round/>
      </a:ln>
    </cs:spPr>
  </cs:gridlineMajor>
  <cs:gridlineMinor>
    <cs:lnRef idx="0"/>
    <cs:fillRef idx="0"/>
    <cs:effectRef idx="0"/>
    <cs:fontRef idx="minor">
      <a:schemeClr val="tx1"/>
    </cs:fontRef>
    <cs:spPr>
      <a:ln w="9525" cap="flat" cmpd="sng" algn="ctr">
        <a:solidFill>
          <a:schemeClr val="tx1">
            <a:lumMod val="5000"/>
            <a:lumOff val="95000"/>
          </a:schemeClr>
        </a:solidFill>
        <a:round/>
      </a:ln>
    </cs:spPr>
  </cs:gridlineMinor>
  <cs:hiLoLine>
    <cs:lnRef idx="0"/>
    <cs:fillRef idx="0"/>
    <cs:effectRef idx="0"/>
    <cs:fontRef idx="minor">
      <a:schemeClr val="tx1"/>
    </cs:fontRef>
    <cs:spPr>
      <a:ln w="9525" cap="flat" cmpd="sng" algn="ctr">
        <a:solidFill>
          <a:schemeClr val="tx1">
            <a:lumMod val="50000"/>
            <a:lumOff val="50000"/>
          </a:schemeClr>
        </a:solidFill>
        <a:round/>
      </a:ln>
    </cs:spPr>
  </cs:hiLoLine>
  <cs:leaderLine>
    <cs:lnRef idx="0"/>
    <cs:fillRef idx="0"/>
    <cs:effectRef idx="0"/>
    <cs:fontRef idx="minor">
      <a:schemeClr val="tx1"/>
    </cs:fontRef>
    <cs:spPr>
      <a:ln w="9525" cap="flat" cmpd="sng" algn="ctr">
        <a:solidFill>
          <a:schemeClr val="tx1">
            <a:lumMod val="35000"/>
            <a:lumOff val="65000"/>
          </a:schemeClr>
        </a:solidFill>
        <a:round/>
      </a:ln>
    </cs:spPr>
  </cs:leaderLine>
  <cs:legend>
    <cs:lnRef idx="0"/>
    <cs:fillRef idx="0"/>
    <cs:effectRef idx="0"/>
    <cs:fontRef idx="minor">
      <a:schemeClr val="tx1">
        <a:lumMod val="65000"/>
        <a:lumOff val="35000"/>
      </a:schemeClr>
    </cs:fontRef>
    <cs:defRPr sz="900" kern="1200"/>
  </cs:legend>
  <cs:plotArea mods="allowNoFillOverride allowNoLineOverride">
    <cs:lnRef idx="0"/>
    <cs:fillRef idx="0"/>
    <cs:effectRef idx="0"/>
    <cs:fontRef idx="minor">
      <a:schemeClr val="tx1"/>
    </cs:fontRef>
  </cs:plotArea>
  <cs:plotArea3D mods="allowNoFillOverride allowNoLineOverride">
    <cs:lnRef idx="0"/>
    <cs:fillRef idx="0"/>
    <cs:effectRef idx="0"/>
    <cs:fontRef idx="minor">
      <a:schemeClr val="tx1"/>
    </cs:fontRef>
  </cs:plotArea3D>
  <cs:seriesAxis>
    <cs:lnRef idx="0"/>
    <cs:fillRef idx="0"/>
    <cs:effectRef idx="0"/>
    <cs:fontRef idx="minor">
      <a:schemeClr val="tx1">
        <a:lumMod val="65000"/>
        <a:lumOff val="35000"/>
      </a:schemeClr>
    </cs:fontRef>
    <cs:defRPr sz="900" kern="1200"/>
  </cs:seriesAxis>
  <cs:seriesLine>
    <cs:lnRef idx="0"/>
    <cs:fillRef idx="0"/>
    <cs:effectRef idx="0"/>
    <cs:fontRef idx="minor">
      <a:schemeClr val="tx1"/>
    </cs:fontRef>
    <cs:spPr>
      <a:ln w="9525" cap="flat" cmpd="sng" algn="ctr">
        <a:solidFill>
          <a:schemeClr val="tx1">
            <a:lumMod val="35000"/>
            <a:lumOff val="65000"/>
          </a:schemeClr>
        </a:solidFill>
        <a:round/>
      </a:ln>
    </cs:spPr>
  </cs:seriesLine>
  <cs:title>
    <cs:lnRef idx="0"/>
    <cs:fillRef idx="0"/>
    <cs:effectRef idx="0"/>
    <cs:fontRef idx="minor">
      <a:schemeClr val="tx1">
        <a:lumMod val="65000"/>
        <a:lumOff val="35000"/>
      </a:schemeClr>
    </cs:fontRef>
    <cs:defRPr sz="1400" b="0" kern="1200" spc="0" baseline="0"/>
  </cs:title>
  <cs:trendline>
    <cs:lnRef idx="0">
      <cs:styleClr val="auto"/>
    </cs:lnRef>
    <cs:fillRef idx="0"/>
    <cs:effectRef idx="0"/>
    <cs:fontRef idx="minor">
      <a:schemeClr val="tx1"/>
    </cs:fontRef>
    <cs:spPr>
      <a:ln w="19050" cap="rnd">
        <a:solidFill>
          <a:schemeClr val="phClr"/>
        </a:solidFill>
        <a:prstDash val="sysDot"/>
      </a:ln>
    </cs:spPr>
  </cs:trendline>
  <cs:trendlineLabel>
    <cs:lnRef idx="0"/>
    <cs:fillRef idx="0"/>
    <cs:effectRef idx="0"/>
    <cs:fontRef idx="minor">
      <a:schemeClr val="tx1">
        <a:lumMod val="65000"/>
        <a:lumOff val="35000"/>
      </a:schemeClr>
    </cs:fontRef>
    <cs:defRPr sz="900" kern="1200"/>
  </cs:trendlineLabel>
  <cs:upBar>
    <cs:lnRef idx="0"/>
    <cs:fillRef idx="0"/>
    <cs:effectRef idx="0"/>
    <cs:fontRef idx="minor">
      <a:schemeClr val="tx1"/>
    </cs:fontRef>
    <cs:spPr>
      <a:solidFill>
        <a:schemeClr val="lt1"/>
      </a:solidFill>
      <a:ln w="9525" cap="flat" cmpd="sng" algn="ctr">
        <a:solidFill>
          <a:schemeClr val="tx1">
            <a:lumMod val="65000"/>
            <a:lumOff val="35000"/>
          </a:schemeClr>
        </a:solidFill>
        <a:round/>
      </a:ln>
    </cs:spPr>
  </cs:upBar>
  <cs:valueAxis>
    <cs:lnRef idx="0"/>
    <cs:fillRef idx="0"/>
    <cs:effectRef idx="0"/>
    <cs:fontRef idx="minor">
      <a:schemeClr val="tx1">
        <a:lumMod val="65000"/>
        <a:lumOff val="35000"/>
      </a:schemeClr>
    </cs:fontRef>
    <cs:defRPr sz="900" kern="1200"/>
  </cs:valueAxis>
  <cs:wall>
    <cs:lnRef idx="0"/>
    <cs:fillRef idx="0"/>
    <cs:effectRef idx="0"/>
    <cs:fontRef idx="minor">
      <a:schemeClr val="tx1"/>
    </cs:fontRef>
    <cs:spPr>
      <a:noFill/>
      <a:ln>
        <a:noFill/>
      </a:ln>
    </cs:spPr>
  </cs:wall>
</cs:chartStyle>
</file>

<file path=word/diagrams/colors1.xml><?xml version="1.0" encoding="utf-8"?>
<dgm:colorsDef xmlns:dgm="http://schemas.openxmlformats.org/drawingml/2006/diagram" xmlns:a="http://schemas.openxmlformats.org/drawingml/2006/main" uniqueId="urn:microsoft.com/office/officeart/2005/8/colors/accent1_2">
  <dgm:title val=""/>
  <dgm:desc val=""/>
  <dgm:catLst>
    <dgm:cat type="accent1" pri="11200"/>
  </dgm:catLst>
  <dgm:styleLbl name="node0">
    <dgm:fillClrLst meth="repeat">
      <a:schemeClr val="accent1"/>
    </dgm:fillClrLst>
    <dgm:linClrLst meth="repeat">
      <a:schemeClr val="lt1"/>
    </dgm:linClrLst>
    <dgm:effectClrLst/>
    <dgm:txLinClrLst/>
    <dgm:txFillClrLst/>
    <dgm:txEffectClrLst/>
  </dgm:styleLbl>
  <dgm:styleLbl name="alignNode1">
    <dgm:fillClrLst meth="repeat">
      <a:schemeClr val="accent1"/>
    </dgm:fillClrLst>
    <dgm:linClrLst meth="repeat">
      <a:schemeClr val="accent1"/>
    </dgm:linClrLst>
    <dgm:effectClrLst/>
    <dgm:txLinClrLst/>
    <dgm:txFillClrLst/>
    <dgm:txEffectClrLst/>
  </dgm:styleLbl>
  <dgm:styleLbl name="node1">
    <dgm:fillClrLst meth="repeat">
      <a:schemeClr val="accent1"/>
    </dgm:fillClrLst>
    <dgm:linClrLst meth="repeat">
      <a:schemeClr val="lt1"/>
    </dgm:linClrLst>
    <dgm:effectClrLst/>
    <dgm:txLinClrLst/>
    <dgm:txFillClrLst/>
    <dgm:txEffectClrLst/>
  </dgm:styleLbl>
  <dgm:styleLbl name="lnNode1">
    <dgm:fillClrLst meth="repeat">
      <a:schemeClr val="accent1"/>
    </dgm:fillClrLst>
    <dgm:linClrLst meth="repeat">
      <a:schemeClr val="lt1"/>
    </dgm:linClrLst>
    <dgm:effectClrLst/>
    <dgm:txLinClrLst/>
    <dgm:txFillClrLst/>
    <dgm:txEffectClrLst/>
  </dgm:styleLbl>
  <dgm:styleLbl name="vennNode1">
    <dgm:fillClrLst meth="repeat">
      <a:schemeClr val="accent1">
        <a:alpha val="50000"/>
      </a:schemeClr>
    </dgm:fillClrLst>
    <dgm:linClrLst meth="repeat">
      <a:schemeClr val="lt1"/>
    </dgm:linClrLst>
    <dgm:effectClrLst/>
    <dgm:txLinClrLst/>
    <dgm:txFillClrLst/>
    <dgm:txEffectClrLst/>
  </dgm:styleLbl>
  <dgm:styleLbl name="node2">
    <dgm:fillClrLst meth="repeat">
      <a:schemeClr val="accent1"/>
    </dgm:fillClrLst>
    <dgm:linClrLst meth="repeat">
      <a:schemeClr val="lt1"/>
    </dgm:linClrLst>
    <dgm:effectClrLst/>
    <dgm:txLinClrLst/>
    <dgm:txFillClrLst/>
    <dgm:txEffectClrLst/>
  </dgm:styleLbl>
  <dgm:styleLbl name="node3">
    <dgm:fillClrLst meth="repeat">
      <a:schemeClr val="accent1"/>
    </dgm:fillClrLst>
    <dgm:linClrLst meth="repeat">
      <a:schemeClr val="lt1"/>
    </dgm:linClrLst>
    <dgm:effectClrLst/>
    <dgm:txLinClrLst/>
    <dgm:txFillClrLst/>
    <dgm:txEffectClrLst/>
  </dgm:styleLbl>
  <dgm:styleLbl name="node4">
    <dgm:fillClrLst meth="repeat">
      <a:schemeClr val="accent1"/>
    </dgm:fillClrLst>
    <dgm:linClrLst meth="repeat">
      <a:schemeClr val="lt1"/>
    </dgm:linClrLst>
    <dgm:effectClrLst/>
    <dgm:txLinClrLst/>
    <dgm:txFillClrLst/>
    <dgm:txEffectClrLst/>
  </dgm:styleLbl>
  <dgm:styleLbl name="f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align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bgImgPlace1">
    <dgm:fillClrLst meth="repeat">
      <a:schemeClr val="accent1">
        <a:tint val="50000"/>
      </a:schemeClr>
    </dgm:fillClrLst>
    <dgm:linClrLst meth="repeat">
      <a:schemeClr val="lt1"/>
    </dgm:linClrLst>
    <dgm:effectClrLst/>
    <dgm:txLinClrLst/>
    <dgm:txFillClrLst meth="repeat">
      <a:schemeClr val="lt1"/>
    </dgm:txFillClrLst>
    <dgm:txEffectClrLst/>
  </dgm:styleLbl>
  <dgm:styleLbl name="sibTrans2D1">
    <dgm:fillClrLst meth="repeat">
      <a:schemeClr val="accent1">
        <a:tint val="60000"/>
      </a:schemeClr>
    </dgm:fillClrLst>
    <dgm:linClrLst meth="repeat">
      <a:schemeClr val="accent1">
        <a:tint val="60000"/>
      </a:schemeClr>
    </dgm:linClrLst>
    <dgm:effectClrLst/>
    <dgm:txLinClrLst/>
    <dgm:txFillClrLst/>
    <dgm:txEffectClrLst/>
  </dgm:styleLbl>
  <dgm:styleLbl name="fgSibTrans2D1">
    <dgm:fillClrLst meth="repeat">
      <a:schemeClr val="accent1">
        <a:tint val="60000"/>
      </a:schemeClr>
    </dgm:fillClrLst>
    <dgm:linClrLst meth="repeat">
      <a:schemeClr val="accent1">
        <a:tint val="60000"/>
      </a:schemeClr>
    </dgm:linClrLst>
    <dgm:effectClrLst/>
    <dgm:txLinClrLst/>
    <dgm:txFillClrLst/>
    <dgm:txEffectClrLst/>
  </dgm:styleLbl>
  <dgm:styleLbl name="bgSibTrans2D1">
    <dgm:fillClrLst meth="repeat">
      <a:schemeClr val="accent1">
        <a:tint val="60000"/>
      </a:schemeClr>
    </dgm:fillClrLst>
    <dgm:linClrLst meth="repeat">
      <a:schemeClr val="accent1">
        <a:tint val="60000"/>
      </a:schemeClr>
    </dgm:linClrLst>
    <dgm:effectClrLst/>
    <dgm:txLinClrLst/>
    <dgm:txFillClrLst/>
    <dgm:txEffectClrLst/>
  </dgm:styleLbl>
  <dgm:styleLbl name="sibTrans1D1">
    <dgm:fillClrLst meth="repeat">
      <a:schemeClr val="accent1"/>
    </dgm:fillClrLst>
    <dgm:linClrLst meth="repeat">
      <a:schemeClr val="accent1"/>
    </dgm:linClrLst>
    <dgm:effectClrLst/>
    <dgm:txLinClrLst/>
    <dgm:txFillClrLst meth="repeat">
      <a:schemeClr val="tx1"/>
    </dgm:txFillClrLst>
    <dgm:txEffectClrLst/>
  </dgm:styleLbl>
  <dgm:styleLbl name="callout">
    <dgm:fillClrLst meth="repeat">
      <a:schemeClr val="accent1"/>
    </dgm:fillClrLst>
    <dgm:linClrLst meth="repeat">
      <a:schemeClr val="accent1">
        <a:tint val="50000"/>
      </a:schemeClr>
    </dgm:linClrLst>
    <dgm:effectClrLst/>
    <dgm:txLinClrLst/>
    <dgm:txFillClrLst meth="repeat">
      <a:schemeClr val="tx1"/>
    </dgm:txFillClrLst>
    <dgm:txEffectClrLst/>
  </dgm:styleLbl>
  <dgm:styleLbl name="asst0">
    <dgm:fillClrLst meth="repeat">
      <a:schemeClr val="accent1"/>
    </dgm:fillClrLst>
    <dgm:linClrLst meth="repeat">
      <a:schemeClr val="lt1"/>
    </dgm:linClrLst>
    <dgm:effectClrLst/>
    <dgm:txLinClrLst/>
    <dgm:txFillClrLst/>
    <dgm:txEffectClrLst/>
  </dgm:styleLbl>
  <dgm:styleLbl name="asst1">
    <dgm:fillClrLst meth="repeat">
      <a:schemeClr val="accent1"/>
    </dgm:fillClrLst>
    <dgm:linClrLst meth="repeat">
      <a:schemeClr val="lt1"/>
    </dgm:linClrLst>
    <dgm:effectClrLst/>
    <dgm:txLinClrLst/>
    <dgm:txFillClrLst/>
    <dgm:txEffectClrLst/>
  </dgm:styleLbl>
  <dgm:styleLbl name="asst2">
    <dgm:fillClrLst meth="repeat">
      <a:schemeClr val="accent1"/>
    </dgm:fillClrLst>
    <dgm:linClrLst meth="repeat">
      <a:schemeClr val="lt1"/>
    </dgm:linClrLst>
    <dgm:effectClrLst/>
    <dgm:txLinClrLst/>
    <dgm:txFillClrLst/>
    <dgm:txEffectClrLst/>
  </dgm:styleLbl>
  <dgm:styleLbl name="asst3">
    <dgm:fillClrLst meth="repeat">
      <a:schemeClr val="accent1"/>
    </dgm:fillClrLst>
    <dgm:linClrLst meth="repeat">
      <a:schemeClr val="lt1"/>
    </dgm:linClrLst>
    <dgm:effectClrLst/>
    <dgm:txLinClrLst/>
    <dgm:txFillClrLst/>
    <dgm:txEffectClrLst/>
  </dgm:styleLbl>
  <dgm:styleLbl name="asst4">
    <dgm:fillClrLst meth="repeat">
      <a:schemeClr val="accent1"/>
    </dgm:fillClrLst>
    <dgm:linClrLst meth="repeat">
      <a:schemeClr val="lt1"/>
    </dgm:linClrLst>
    <dgm:effectClrLst/>
    <dgm:txLinClrLst/>
    <dgm:txFillClrLst/>
    <dgm:txEffectClrLst/>
  </dgm:styleLbl>
  <dgm:styleLbl name="parChTrans2D1">
    <dgm:fillClrLst meth="repeat">
      <a:schemeClr val="accent1">
        <a:tint val="60000"/>
      </a:schemeClr>
    </dgm:fillClrLst>
    <dgm:linClrLst meth="repeat">
      <a:schemeClr val="accent1">
        <a:tint val="60000"/>
      </a:schemeClr>
    </dgm:linClrLst>
    <dgm:effectClrLst/>
    <dgm:txLinClrLst/>
    <dgm:txFillClrLst meth="repeat">
      <a:schemeClr val="lt1"/>
    </dgm:txFillClrLst>
    <dgm:txEffectClrLst/>
  </dgm:styleLbl>
  <dgm:styleLbl name="parChTrans2D2">
    <dgm:fillClrLst meth="repeat">
      <a:schemeClr val="accent1"/>
    </dgm:fillClrLst>
    <dgm:linClrLst meth="repeat">
      <a:schemeClr val="accent1"/>
    </dgm:linClrLst>
    <dgm:effectClrLst/>
    <dgm:txLinClrLst/>
    <dgm:txFillClrLst meth="repeat">
      <a:schemeClr val="lt1"/>
    </dgm:txFillClrLst>
    <dgm:txEffectClrLst/>
  </dgm:styleLbl>
  <dgm:styleLbl name="parChTrans2D3">
    <dgm:fillClrLst meth="repeat">
      <a:schemeClr val="accent1"/>
    </dgm:fillClrLst>
    <dgm:linClrLst meth="repeat">
      <a:schemeClr val="accent1"/>
    </dgm:linClrLst>
    <dgm:effectClrLst/>
    <dgm:txLinClrLst/>
    <dgm:txFillClrLst meth="repeat">
      <a:schemeClr val="lt1"/>
    </dgm:txFillClrLst>
    <dgm:txEffectClrLst/>
  </dgm:styleLbl>
  <dgm:styleLbl name="parChTrans2D4">
    <dgm:fillClrLst meth="repeat">
      <a:schemeClr val="accent1"/>
    </dgm:fillClrLst>
    <dgm:linClrLst meth="repeat">
      <a:schemeClr val="accent1"/>
    </dgm:linClrLst>
    <dgm:effectClrLst/>
    <dgm:txLinClrLst/>
    <dgm:txFillClrLst meth="repeat">
      <a:schemeClr val="lt1"/>
    </dgm:txFillClrLst>
    <dgm:txEffectClrLst/>
  </dgm:styleLbl>
  <dgm:styleLbl name="parChTrans1D1">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2">
    <dgm:fillClrLst meth="repeat">
      <a:schemeClr val="accent1"/>
    </dgm:fillClrLst>
    <dgm:linClrLst meth="repeat">
      <a:schemeClr val="accent1">
        <a:shade val="60000"/>
      </a:schemeClr>
    </dgm:linClrLst>
    <dgm:effectClrLst/>
    <dgm:txLinClrLst/>
    <dgm:txFillClrLst meth="repeat">
      <a:schemeClr val="tx1"/>
    </dgm:txFillClrLst>
    <dgm:txEffectClrLst/>
  </dgm:styleLbl>
  <dgm:styleLbl name="parChTrans1D3">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parChTrans1D4">
    <dgm:fillClrLst meth="repeat">
      <a:schemeClr val="accent1"/>
    </dgm:fillClrLst>
    <dgm:linClrLst meth="repeat">
      <a:schemeClr val="accent1">
        <a:shade val="80000"/>
      </a:schemeClr>
    </dgm:linClrLst>
    <dgm:effectClrLst/>
    <dgm:txLinClrLst/>
    <dgm:txFillClrLst meth="repeat">
      <a:schemeClr val="tx1"/>
    </dgm:txFillClrLst>
    <dgm:txEffectClrLst/>
  </dgm:styleLbl>
  <dgm:styleLbl name="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conF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align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trAlignAcc1">
    <dgm:fillClrLst meth="repeat">
      <a:schemeClr val="lt1">
        <a:alpha val="40000"/>
      </a:schemeClr>
    </dgm:fillClrLst>
    <dgm:linClrLst meth="repeat">
      <a:schemeClr val="accent1"/>
    </dgm:linClrLst>
    <dgm:effectClrLst/>
    <dgm:txLinClrLst/>
    <dgm:txFillClrLst meth="repeat">
      <a:schemeClr val="dk1"/>
    </dgm:txFillClrLst>
    <dgm:txEffectClrLst/>
  </dgm:styleLbl>
  <dgm:styleLbl name="bgAcc1">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solidFgAcc1">
    <dgm:fillClrLst meth="repeat">
      <a:schemeClr val="lt1"/>
    </dgm:fillClrLst>
    <dgm:linClrLst meth="repeat">
      <a:schemeClr val="accent1"/>
    </dgm:linClrLst>
    <dgm:effectClrLst/>
    <dgm:txLinClrLst/>
    <dgm:txFillClrLst meth="repeat">
      <a:schemeClr val="dk1"/>
    </dgm:txFillClrLst>
    <dgm:txEffectClrLst/>
  </dgm:styleLbl>
  <dgm:styleLbl name="solidAlignAcc1">
    <dgm:fillClrLst meth="repeat">
      <a:schemeClr val="lt1"/>
    </dgm:fillClrLst>
    <dgm:linClrLst meth="repeat">
      <a:schemeClr val="accent1"/>
    </dgm:linClrLst>
    <dgm:effectClrLst/>
    <dgm:txLinClrLst/>
    <dgm:txFillClrLst meth="repeat">
      <a:schemeClr val="dk1"/>
    </dgm:txFillClrLst>
    <dgm:txEffectClrLst/>
  </dgm:styleLbl>
  <dgm:styleLbl name="solidBgAcc1">
    <dgm:fillClrLst meth="repeat">
      <a:schemeClr val="lt1"/>
    </dgm:fillClrLst>
    <dgm:linClrLst meth="repeat">
      <a:schemeClr val="accent1"/>
    </dgm:linClrLst>
    <dgm:effectClrLst/>
    <dgm:txLinClrLst/>
    <dgm:txFillClrLst meth="repeat">
      <a:schemeClr val="dk1"/>
    </dgm:txFillClrLst>
    <dgm:txEffectClrLst/>
  </dgm:styleLbl>
  <dgm:styleLbl name="f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align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bgAccFollowNode1">
    <dgm:fillClrLst meth="repeat">
      <a:schemeClr val="accent1">
        <a:alpha val="90000"/>
        <a:tint val="40000"/>
      </a:schemeClr>
    </dgm:fillClrLst>
    <dgm:linClrLst meth="repeat">
      <a:schemeClr val="accent1">
        <a:alpha val="90000"/>
        <a:tint val="40000"/>
      </a:schemeClr>
    </dgm:linClrLst>
    <dgm:effectClrLst/>
    <dgm:txLinClrLst/>
    <dgm:txFillClrLst meth="repeat">
      <a:schemeClr val="dk1"/>
    </dgm:txFillClrLst>
    <dgm:txEffectClrLst/>
  </dgm:styleLbl>
  <dgm:styleLbl name="fgAcc0">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2">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3">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fgAcc4">
    <dgm:fillClrLst meth="repeat">
      <a:schemeClr val="lt1">
        <a:alpha val="90000"/>
      </a:schemeClr>
    </dgm:fillClrLst>
    <dgm:linClrLst meth="repeat">
      <a:schemeClr val="accent1"/>
    </dgm:linClrLst>
    <dgm:effectClrLst/>
    <dgm:txLinClrLst/>
    <dgm:txFillClrLst meth="repeat">
      <a:schemeClr val="dk1"/>
    </dgm:txFillClrLst>
    <dgm:txEffectClrLst/>
  </dgm:styleLbl>
  <dgm:styleLbl name="bgShp">
    <dgm:fillClrLst meth="repeat">
      <a:schemeClr val="accent1">
        <a:tint val="40000"/>
      </a:schemeClr>
    </dgm:fillClrLst>
    <dgm:linClrLst meth="repeat">
      <a:schemeClr val="accent1"/>
    </dgm:linClrLst>
    <dgm:effectClrLst/>
    <dgm:txLinClrLst/>
    <dgm:txFillClrLst meth="repeat">
      <a:schemeClr val="dk1"/>
    </dgm:txFillClrLst>
    <dgm:txEffectClrLst/>
  </dgm:styleLbl>
  <dgm:styleLbl name="dkBgShp">
    <dgm:fillClrLst meth="repeat">
      <a:schemeClr val="accent1">
        <a:shade val="80000"/>
      </a:schemeClr>
    </dgm:fillClrLst>
    <dgm:linClrLst meth="repeat">
      <a:schemeClr val="accent1"/>
    </dgm:linClrLst>
    <dgm:effectClrLst/>
    <dgm:txLinClrLst/>
    <dgm:txFillClrLst meth="repeat">
      <a:schemeClr val="lt1"/>
    </dgm:txFillClrLst>
    <dgm:txEffectClrLst/>
  </dgm:styleLbl>
  <dgm:styleLbl name="trBgShp">
    <dgm:fillClrLst meth="repeat">
      <a:schemeClr val="accent1">
        <a:tint val="50000"/>
        <a:alpha val="40000"/>
      </a:schemeClr>
    </dgm:fillClrLst>
    <dgm:linClrLst meth="repeat">
      <a:schemeClr val="accent1"/>
    </dgm:linClrLst>
    <dgm:effectClrLst/>
    <dgm:txLinClrLst/>
    <dgm:txFillClrLst meth="repeat">
      <a:schemeClr val="lt1"/>
    </dgm:txFillClrLst>
    <dgm:txEffectClrLst/>
  </dgm:styleLbl>
  <dgm:styleLbl name="fgShp">
    <dgm:fillClrLst meth="repeat">
      <a:schemeClr val="accent1">
        <a:tint val="60000"/>
      </a:schemeClr>
    </dgm:fillClrLst>
    <dgm:linClrLst meth="repeat">
      <a:schemeClr val="lt1"/>
    </dgm:linClrLst>
    <dgm:effectClrLst/>
    <dgm:txLinClrLst/>
    <dgm:txFillClrLst meth="repeat">
      <a:schemeClr val="dk1"/>
    </dgm:txFillClrLst>
    <dgm:txEffectClrLst/>
  </dgm:styleLbl>
  <dgm:styleLbl name="revTx">
    <dgm:fillClrLst meth="repeat">
      <a:schemeClr val="lt1">
        <a:alpha val="0"/>
      </a:schemeClr>
    </dgm:fillClrLst>
    <dgm:linClrLst meth="repeat">
      <a:schemeClr val="dk1">
        <a:alpha val="0"/>
      </a:schemeClr>
    </dgm:linClrLst>
    <dgm:effectClrLst/>
    <dgm:txLinClrLst/>
    <dgm:txFillClrLst meth="repeat">
      <a:schemeClr val="tx1"/>
    </dgm:txFillClrLst>
    <dgm:txEffectClrLst/>
  </dgm:styleLbl>
</dgm:colorsDef>
</file>

<file path=word/diagrams/data1.xml><?xml version="1.0" encoding="utf-8"?>
<dgm:dataModel xmlns:dgm="http://schemas.openxmlformats.org/drawingml/2006/diagram" xmlns:a="http://schemas.openxmlformats.org/drawingml/2006/main">
  <dgm:ptLst>
    <dgm:pt modelId="{5A4569E2-084F-44A3-AC94-FA38D24823DD}" type="doc">
      <dgm:prSet loTypeId="urn:microsoft.com/office/officeart/2005/8/layout/arrow2" loCatId="process" qsTypeId="urn:microsoft.com/office/officeart/2005/8/quickstyle/simple1" qsCatId="simple" csTypeId="urn:microsoft.com/office/officeart/2005/8/colors/accent1_2" csCatId="accent1" phldr="1"/>
      <dgm:spPr/>
    </dgm:pt>
    <dgm:pt modelId="{9E617FD1-5547-4E2A-A1A7-00EBFBBE4B0E}">
      <dgm:prSet phldrT="[Text]" custT="1"/>
      <dgm:spPr/>
      <dgm:t>
        <a:bodyPr/>
        <a:lstStyle/>
        <a:p>
          <a:r>
            <a:rPr lang="en-GB" sz="1000">
              <a:latin typeface="Arial" panose="020B0604020202020204" pitchFamily="34" charset="0"/>
              <a:cs typeface="Arial" panose="020B0604020202020204" pitchFamily="34" charset="0"/>
            </a:rPr>
            <a:t>UKRPIF and matched funding</a:t>
          </a:r>
        </a:p>
      </dgm:t>
    </dgm:pt>
    <dgm:pt modelId="{0851497A-8DE0-49A7-B4AA-27AF00FBB348}" type="parTrans" cxnId="{549EB291-C7B2-4338-8AF8-8F1E4B53E150}">
      <dgm:prSet/>
      <dgm:spPr/>
      <dgm:t>
        <a:bodyPr/>
        <a:lstStyle/>
        <a:p>
          <a:endParaRPr lang="en-GB"/>
        </a:p>
      </dgm:t>
    </dgm:pt>
    <dgm:pt modelId="{23C36F68-195C-44C7-B896-E1A79946321A}" type="sibTrans" cxnId="{549EB291-C7B2-4338-8AF8-8F1E4B53E150}">
      <dgm:prSet/>
      <dgm:spPr/>
      <dgm:t>
        <a:bodyPr/>
        <a:lstStyle/>
        <a:p>
          <a:endParaRPr lang="en-GB"/>
        </a:p>
      </dgm:t>
    </dgm:pt>
    <dgm:pt modelId="{9C23EC69-1F09-4135-B381-FA6D1774DB85}">
      <dgm:prSet phldrT="[Text]"/>
      <dgm:spPr/>
      <dgm:t>
        <a:bodyPr/>
        <a:lstStyle/>
        <a:p>
          <a:r>
            <a:rPr lang="en-GB" b="1">
              <a:latin typeface="Arial" panose="020B0604020202020204" pitchFamily="34" charset="0"/>
              <a:cs typeface="Arial" panose="020B0604020202020204" pitchFamily="34" charset="0"/>
            </a:rPr>
            <a:t>Construction and Investment</a:t>
          </a:r>
        </a:p>
      </dgm:t>
    </dgm:pt>
    <dgm:pt modelId="{86A167A8-CEC4-4284-AB8B-F3F945D2C288}" type="parTrans" cxnId="{9C4F655A-C4D8-47D6-BFD3-105A7D229EDA}">
      <dgm:prSet/>
      <dgm:spPr/>
      <dgm:t>
        <a:bodyPr/>
        <a:lstStyle/>
        <a:p>
          <a:endParaRPr lang="en-GB"/>
        </a:p>
      </dgm:t>
    </dgm:pt>
    <dgm:pt modelId="{33F93259-24F2-40BA-8255-5D9D8278A847}" type="sibTrans" cxnId="{9C4F655A-C4D8-47D6-BFD3-105A7D229EDA}">
      <dgm:prSet/>
      <dgm:spPr/>
      <dgm:t>
        <a:bodyPr/>
        <a:lstStyle/>
        <a:p>
          <a:endParaRPr lang="en-GB"/>
        </a:p>
      </dgm:t>
    </dgm:pt>
    <dgm:pt modelId="{3A9737D6-AE65-4340-B347-14477526887B}">
      <dgm:prSet phldrT="[Text]"/>
      <dgm:spPr/>
      <dgm:t>
        <a:bodyPr/>
        <a:lstStyle/>
        <a:p>
          <a:r>
            <a:rPr lang="en-GB" sz="1100" b="1">
              <a:latin typeface="Arial" panose="020B0604020202020204" pitchFamily="34" charset="0"/>
              <a:cs typeface="Arial" panose="020B0604020202020204" pitchFamily="34" charset="0"/>
            </a:rPr>
            <a:t>Outputs</a:t>
          </a:r>
        </a:p>
      </dgm:t>
    </dgm:pt>
    <dgm:pt modelId="{0A404785-6752-46BC-B865-A67D7A5F0D98}" type="parTrans" cxnId="{73246890-B8FD-431D-A7F1-49CD061DC928}">
      <dgm:prSet/>
      <dgm:spPr/>
      <dgm:t>
        <a:bodyPr/>
        <a:lstStyle/>
        <a:p>
          <a:endParaRPr lang="en-GB"/>
        </a:p>
      </dgm:t>
    </dgm:pt>
    <dgm:pt modelId="{FC09576C-FD19-4326-B96E-36781F208A4C}" type="sibTrans" cxnId="{73246890-B8FD-431D-A7F1-49CD061DC928}">
      <dgm:prSet/>
      <dgm:spPr/>
      <dgm:t>
        <a:bodyPr/>
        <a:lstStyle/>
        <a:p>
          <a:endParaRPr lang="en-GB"/>
        </a:p>
      </dgm:t>
    </dgm:pt>
    <dgm:pt modelId="{B458745D-63C7-46C2-B3A6-79926EB2F0BA}">
      <dgm:prSet phldrT="[Text]" custT="1"/>
      <dgm:spPr/>
      <dgm:t>
        <a:bodyPr/>
        <a:lstStyle/>
        <a:p>
          <a:r>
            <a:rPr lang="en-GB" sz="1000">
              <a:latin typeface="Arial" panose="020B0604020202020204" pitchFamily="34" charset="0"/>
              <a:cs typeface="Arial" panose="020B0604020202020204" pitchFamily="34" charset="0"/>
            </a:rPr>
            <a:t>Research excellence</a:t>
          </a:r>
        </a:p>
      </dgm:t>
    </dgm:pt>
    <dgm:pt modelId="{84A60109-6264-4D93-815B-ABDFC0E3088F}" type="parTrans" cxnId="{7411C9E7-0F19-42DC-9153-DCCA3F97DA05}">
      <dgm:prSet/>
      <dgm:spPr/>
      <dgm:t>
        <a:bodyPr/>
        <a:lstStyle/>
        <a:p>
          <a:endParaRPr lang="en-GB"/>
        </a:p>
      </dgm:t>
    </dgm:pt>
    <dgm:pt modelId="{58AA730E-7A11-4E5D-BCBD-6F47040F43D2}" type="sibTrans" cxnId="{7411C9E7-0F19-42DC-9153-DCCA3F97DA05}">
      <dgm:prSet/>
      <dgm:spPr/>
      <dgm:t>
        <a:bodyPr/>
        <a:lstStyle/>
        <a:p>
          <a:endParaRPr lang="en-GB"/>
        </a:p>
      </dgm:t>
    </dgm:pt>
    <dgm:pt modelId="{DC4B48D8-3C1E-4B42-A834-2BC9255BD49D}">
      <dgm:prSet phldrT="[Text]" custT="1"/>
      <dgm:spPr/>
      <dgm:t>
        <a:bodyPr/>
        <a:lstStyle/>
        <a:p>
          <a:r>
            <a:rPr lang="en-GB" sz="1000">
              <a:latin typeface="Arial" panose="020B0604020202020204" pitchFamily="34" charset="0"/>
              <a:cs typeface="Arial" panose="020B0604020202020204" pitchFamily="34" charset="0"/>
            </a:rPr>
            <a:t>Staffing</a:t>
          </a:r>
        </a:p>
      </dgm:t>
    </dgm:pt>
    <dgm:pt modelId="{66CEFEA4-A061-4602-BC3F-F7D1AFF62167}" type="parTrans" cxnId="{E66CF361-F64F-4F9D-994D-7F6CA1040EF5}">
      <dgm:prSet/>
      <dgm:spPr/>
      <dgm:t>
        <a:bodyPr/>
        <a:lstStyle/>
        <a:p>
          <a:endParaRPr lang="en-GB"/>
        </a:p>
      </dgm:t>
    </dgm:pt>
    <dgm:pt modelId="{F0B46157-6BAD-4C1F-B226-4C056A0AE4CA}" type="sibTrans" cxnId="{E66CF361-F64F-4F9D-994D-7F6CA1040EF5}">
      <dgm:prSet/>
      <dgm:spPr/>
      <dgm:t>
        <a:bodyPr/>
        <a:lstStyle/>
        <a:p>
          <a:endParaRPr lang="en-GB"/>
        </a:p>
      </dgm:t>
    </dgm:pt>
    <dgm:pt modelId="{D004338C-1EEF-434E-A80A-949DC2448B35}">
      <dgm:prSet phldrT="[Text]"/>
      <dgm:spPr/>
      <dgm:t>
        <a:bodyPr/>
        <a:lstStyle/>
        <a:p>
          <a:r>
            <a:rPr lang="en-GB" sz="1100" b="1">
              <a:latin typeface="Arial" panose="020B0604020202020204" pitchFamily="34" charset="0"/>
              <a:cs typeface="Arial" panose="020B0604020202020204" pitchFamily="34" charset="0"/>
            </a:rPr>
            <a:t>Impacts:</a:t>
          </a:r>
        </a:p>
      </dgm:t>
    </dgm:pt>
    <dgm:pt modelId="{EE9246A0-2A9C-4408-B44B-AC26308A591B}" type="parTrans" cxnId="{CFD038D7-85ED-44D0-887C-43C7B1C956D8}">
      <dgm:prSet/>
      <dgm:spPr/>
      <dgm:t>
        <a:bodyPr/>
        <a:lstStyle/>
        <a:p>
          <a:endParaRPr lang="en-GB"/>
        </a:p>
      </dgm:t>
    </dgm:pt>
    <dgm:pt modelId="{954920E2-B4C0-43F7-BBFF-4EE38E728B58}" type="sibTrans" cxnId="{CFD038D7-85ED-44D0-887C-43C7B1C956D8}">
      <dgm:prSet/>
      <dgm:spPr/>
      <dgm:t>
        <a:bodyPr/>
        <a:lstStyle/>
        <a:p>
          <a:endParaRPr lang="en-GB"/>
        </a:p>
      </dgm:t>
    </dgm:pt>
    <dgm:pt modelId="{C0E03FBD-83C3-462A-893D-0BB387B3FE9F}">
      <dgm:prSet phldrT="[Text]" custT="1"/>
      <dgm:spPr/>
      <dgm:t>
        <a:bodyPr/>
        <a:lstStyle/>
        <a:p>
          <a:r>
            <a:rPr lang="en-GB" sz="1000">
              <a:latin typeface="Arial" panose="020B0604020202020204" pitchFamily="34" charset="0"/>
              <a:cs typeface="Arial" panose="020B0604020202020204" pitchFamily="34" charset="0"/>
            </a:rPr>
            <a:t>Relationships between industry &amp; academia</a:t>
          </a:r>
        </a:p>
      </dgm:t>
    </dgm:pt>
    <dgm:pt modelId="{FCA58A5C-74EE-4D6F-BCF5-B029DD29ADE4}" type="parTrans" cxnId="{FD1CC905-4044-4C0B-AD52-05F215FF1172}">
      <dgm:prSet/>
      <dgm:spPr/>
      <dgm:t>
        <a:bodyPr/>
        <a:lstStyle/>
        <a:p>
          <a:endParaRPr lang="en-GB"/>
        </a:p>
      </dgm:t>
    </dgm:pt>
    <dgm:pt modelId="{5D904204-9BA3-434E-A733-54118AC3CB8D}" type="sibTrans" cxnId="{FD1CC905-4044-4C0B-AD52-05F215FF1172}">
      <dgm:prSet/>
      <dgm:spPr/>
      <dgm:t>
        <a:bodyPr/>
        <a:lstStyle/>
        <a:p>
          <a:endParaRPr lang="en-GB"/>
        </a:p>
      </dgm:t>
    </dgm:pt>
    <dgm:pt modelId="{7ABE4DD2-BC28-4B2E-B05F-CE500840CFD1}">
      <dgm:prSet phldrT="[Text]" custT="1"/>
      <dgm:spPr/>
      <dgm:t>
        <a:bodyPr/>
        <a:lstStyle/>
        <a:p>
          <a:r>
            <a:rPr lang="en-GB" sz="1000">
              <a:latin typeface="Arial" panose="020B0604020202020204" pitchFamily="34" charset="0"/>
              <a:cs typeface="Arial" panose="020B0604020202020204" pitchFamily="34" charset="0"/>
            </a:rPr>
            <a:t>Progress in translational activities</a:t>
          </a:r>
        </a:p>
      </dgm:t>
    </dgm:pt>
    <dgm:pt modelId="{470EF75A-403C-421A-969B-3C6280333852}" type="parTrans" cxnId="{3C33CF35-952C-4C9C-BBAE-8C8806A218AD}">
      <dgm:prSet/>
      <dgm:spPr/>
      <dgm:t>
        <a:bodyPr/>
        <a:lstStyle/>
        <a:p>
          <a:endParaRPr lang="en-GB"/>
        </a:p>
      </dgm:t>
    </dgm:pt>
    <dgm:pt modelId="{DF015F79-3785-4998-9776-50A1A37EABD5}" type="sibTrans" cxnId="{3C33CF35-952C-4C9C-BBAE-8C8806A218AD}">
      <dgm:prSet/>
      <dgm:spPr/>
      <dgm:t>
        <a:bodyPr/>
        <a:lstStyle/>
        <a:p>
          <a:endParaRPr lang="en-GB"/>
        </a:p>
      </dgm:t>
    </dgm:pt>
    <dgm:pt modelId="{1387A1DB-9CC6-4E53-BA06-340E49281990}">
      <dgm:prSet phldrT="[Text]" custT="1"/>
      <dgm:spPr/>
      <dgm:t>
        <a:bodyPr/>
        <a:lstStyle/>
        <a:p>
          <a:r>
            <a:rPr lang="en-GB" sz="1000">
              <a:latin typeface="Arial" panose="020B0604020202020204" pitchFamily="34" charset="0"/>
              <a:cs typeface="Arial" panose="020B0604020202020204" pitchFamily="34" charset="0"/>
            </a:rPr>
            <a:t>Interdepartmental collaboration</a:t>
          </a:r>
        </a:p>
      </dgm:t>
    </dgm:pt>
    <dgm:pt modelId="{04736EE0-68EB-4492-99E8-DC5C7A8E3325}" type="parTrans" cxnId="{55DFB5AE-DC40-466C-9A45-8F4F70C90870}">
      <dgm:prSet/>
      <dgm:spPr/>
      <dgm:t>
        <a:bodyPr/>
        <a:lstStyle/>
        <a:p>
          <a:endParaRPr lang="en-GB"/>
        </a:p>
      </dgm:t>
    </dgm:pt>
    <dgm:pt modelId="{2CF681DA-EBBB-44C4-AB56-1350E8EB0D59}" type="sibTrans" cxnId="{55DFB5AE-DC40-466C-9A45-8F4F70C90870}">
      <dgm:prSet/>
      <dgm:spPr/>
      <dgm:t>
        <a:bodyPr/>
        <a:lstStyle/>
        <a:p>
          <a:endParaRPr lang="en-GB"/>
        </a:p>
      </dgm:t>
    </dgm:pt>
    <dgm:pt modelId="{6F0BC8E7-7FC3-403E-BCA8-FC6106B0982F}">
      <dgm:prSet phldrT="[Text]"/>
      <dgm:spPr/>
      <dgm:t>
        <a:bodyPr/>
        <a:lstStyle/>
        <a:p>
          <a:r>
            <a:rPr lang="en-GB" sz="1100" b="1">
              <a:latin typeface="Arial" panose="020B0604020202020204" pitchFamily="34" charset="0"/>
              <a:cs typeface="Arial" panose="020B0604020202020204" pitchFamily="34" charset="0"/>
            </a:rPr>
            <a:t>Inputs:</a:t>
          </a:r>
        </a:p>
      </dgm:t>
    </dgm:pt>
    <dgm:pt modelId="{C86B6C8F-79B3-4D7D-92D6-BEB4A530E2EF}" type="parTrans" cxnId="{7020A0CB-3F37-4914-9CE1-60AD512E327F}">
      <dgm:prSet/>
      <dgm:spPr/>
      <dgm:t>
        <a:bodyPr/>
        <a:lstStyle/>
        <a:p>
          <a:endParaRPr lang="en-GB"/>
        </a:p>
      </dgm:t>
    </dgm:pt>
    <dgm:pt modelId="{170589A0-1AAE-432C-8821-BB230DAB9895}" type="sibTrans" cxnId="{7020A0CB-3F37-4914-9CE1-60AD512E327F}">
      <dgm:prSet/>
      <dgm:spPr/>
      <dgm:t>
        <a:bodyPr/>
        <a:lstStyle/>
        <a:p>
          <a:endParaRPr lang="en-GB"/>
        </a:p>
      </dgm:t>
    </dgm:pt>
    <dgm:pt modelId="{B6F078A7-A4C4-4F47-89CF-DD7361991003}">
      <dgm:prSet phldrT="[Text]"/>
      <dgm:spPr/>
      <dgm:t>
        <a:bodyPr/>
        <a:lstStyle/>
        <a:p>
          <a:r>
            <a:rPr lang="en-GB" b="1">
              <a:latin typeface="Arial" panose="020B0604020202020204" pitchFamily="34" charset="0"/>
              <a:cs typeface="Arial" panose="020B0604020202020204" pitchFamily="34" charset="0"/>
            </a:rPr>
            <a:t>Changed Operating Model</a:t>
          </a:r>
        </a:p>
      </dgm:t>
    </dgm:pt>
    <dgm:pt modelId="{D1F110FD-960D-4010-82EA-770C0F52ED15}" type="parTrans" cxnId="{F677788C-D6DA-4F21-978F-C5D4D6648407}">
      <dgm:prSet/>
      <dgm:spPr/>
      <dgm:t>
        <a:bodyPr/>
        <a:lstStyle/>
        <a:p>
          <a:endParaRPr lang="en-GB"/>
        </a:p>
      </dgm:t>
    </dgm:pt>
    <dgm:pt modelId="{65015684-399C-4C47-8077-42CD11E030B3}" type="sibTrans" cxnId="{F677788C-D6DA-4F21-978F-C5D4D6648407}">
      <dgm:prSet/>
      <dgm:spPr/>
      <dgm:t>
        <a:bodyPr/>
        <a:lstStyle/>
        <a:p>
          <a:endParaRPr lang="en-GB"/>
        </a:p>
      </dgm:t>
    </dgm:pt>
    <dgm:pt modelId="{885B9573-11BF-4FCC-806C-9A29DA1E64C7}">
      <dgm:prSet phldrT="[Text]"/>
      <dgm:spPr/>
      <dgm:t>
        <a:bodyPr/>
        <a:lstStyle/>
        <a:p>
          <a:r>
            <a:rPr lang="en-GB" b="1">
              <a:latin typeface="Arial" panose="020B0604020202020204" pitchFamily="34" charset="0"/>
              <a:cs typeface="Arial" panose="020B0604020202020204" pitchFamily="34" charset="0"/>
            </a:rPr>
            <a:t>Buildings, labs, floor space</a:t>
          </a:r>
        </a:p>
      </dgm:t>
    </dgm:pt>
    <dgm:pt modelId="{27928128-AC44-4065-ABEA-4B51AA83C46B}" type="parTrans" cxnId="{F7CCDC4B-DFF4-4625-868F-B8ACBE246CB1}">
      <dgm:prSet/>
      <dgm:spPr/>
      <dgm:t>
        <a:bodyPr/>
        <a:lstStyle/>
        <a:p>
          <a:endParaRPr lang="en-GB"/>
        </a:p>
      </dgm:t>
    </dgm:pt>
    <dgm:pt modelId="{B4CA0EAD-DFC5-40F5-93B0-4386B0EC3FAF}" type="sibTrans" cxnId="{F7CCDC4B-DFF4-4625-868F-B8ACBE246CB1}">
      <dgm:prSet/>
      <dgm:spPr/>
      <dgm:t>
        <a:bodyPr/>
        <a:lstStyle/>
        <a:p>
          <a:endParaRPr lang="en-GB"/>
        </a:p>
      </dgm:t>
    </dgm:pt>
    <dgm:pt modelId="{D94FCE54-B053-4627-B5A5-FE201C33FF43}">
      <dgm:prSet phldrT="[Text]"/>
      <dgm:spPr/>
      <dgm:t>
        <a:bodyPr/>
        <a:lstStyle/>
        <a:p>
          <a:r>
            <a:rPr lang="en-GB" b="1">
              <a:latin typeface="Arial" panose="020B0604020202020204" pitchFamily="34" charset="0"/>
              <a:cs typeface="Arial" panose="020B0604020202020204" pitchFamily="34" charset="0"/>
            </a:rPr>
            <a:t>Equipment, fitting out</a:t>
          </a:r>
        </a:p>
      </dgm:t>
    </dgm:pt>
    <dgm:pt modelId="{5376B88D-B03C-48C5-AD48-9B2D3243EE3C}" type="parTrans" cxnId="{A10D07C7-F3E1-4A2F-9A96-11ACBB260BEE}">
      <dgm:prSet/>
      <dgm:spPr/>
      <dgm:t>
        <a:bodyPr/>
        <a:lstStyle/>
        <a:p>
          <a:endParaRPr lang="en-GB"/>
        </a:p>
      </dgm:t>
    </dgm:pt>
    <dgm:pt modelId="{0960E09F-BAC9-41A4-9011-9EB6EC3EECAF}" type="sibTrans" cxnId="{A10D07C7-F3E1-4A2F-9A96-11ACBB260BEE}">
      <dgm:prSet/>
      <dgm:spPr/>
      <dgm:t>
        <a:bodyPr/>
        <a:lstStyle/>
        <a:p>
          <a:endParaRPr lang="en-GB"/>
        </a:p>
      </dgm:t>
    </dgm:pt>
    <dgm:pt modelId="{136C5BE4-866F-4CF3-8AFF-607D3FBB3031}">
      <dgm:prSet phldrT="[Text]"/>
      <dgm:spPr/>
      <dgm:t>
        <a:bodyPr/>
        <a:lstStyle/>
        <a:p>
          <a:r>
            <a:rPr lang="en-GB" b="1">
              <a:latin typeface="Arial" panose="020B0604020202020204" pitchFamily="34" charset="0"/>
              <a:cs typeface="Arial" panose="020B0604020202020204" pitchFamily="34" charset="0"/>
            </a:rPr>
            <a:t>Open/shared labs</a:t>
          </a:r>
        </a:p>
      </dgm:t>
    </dgm:pt>
    <dgm:pt modelId="{54048124-2FD1-4757-B0CA-4FBEE9833620}" type="parTrans" cxnId="{07A2E5B6-9BD4-4A42-B1A8-70134D247799}">
      <dgm:prSet/>
      <dgm:spPr/>
      <dgm:t>
        <a:bodyPr/>
        <a:lstStyle/>
        <a:p>
          <a:endParaRPr lang="en-GB"/>
        </a:p>
      </dgm:t>
    </dgm:pt>
    <dgm:pt modelId="{82BF7D1B-262A-4663-A707-B65B59870E29}" type="sibTrans" cxnId="{07A2E5B6-9BD4-4A42-B1A8-70134D247799}">
      <dgm:prSet/>
      <dgm:spPr/>
      <dgm:t>
        <a:bodyPr/>
        <a:lstStyle/>
        <a:p>
          <a:endParaRPr lang="en-GB"/>
        </a:p>
      </dgm:t>
    </dgm:pt>
    <dgm:pt modelId="{CD064D9B-D826-455A-8B43-D20EFBB3EEEE}">
      <dgm:prSet phldrT="[Text]"/>
      <dgm:spPr/>
      <dgm:t>
        <a:bodyPr/>
        <a:lstStyle/>
        <a:p>
          <a:r>
            <a:rPr lang="en-GB" b="1">
              <a:latin typeface="Arial" panose="020B0604020202020204" pitchFamily="34" charset="0"/>
              <a:cs typeface="Arial" panose="020B0604020202020204" pitchFamily="34" charset="0"/>
            </a:rPr>
            <a:t>Collaboration areas</a:t>
          </a:r>
        </a:p>
      </dgm:t>
    </dgm:pt>
    <dgm:pt modelId="{BC39722E-8965-45D2-A740-E4B13EFA25D2}" type="parTrans" cxnId="{6852EAF8-8DE4-4D45-A0D8-EB3E3DFF560F}">
      <dgm:prSet/>
      <dgm:spPr/>
      <dgm:t>
        <a:bodyPr/>
        <a:lstStyle/>
        <a:p>
          <a:endParaRPr lang="en-GB"/>
        </a:p>
      </dgm:t>
    </dgm:pt>
    <dgm:pt modelId="{4345A2C2-48CA-4D1D-9600-C7463EC31A5E}" type="sibTrans" cxnId="{6852EAF8-8DE4-4D45-A0D8-EB3E3DFF560F}">
      <dgm:prSet/>
      <dgm:spPr/>
      <dgm:t>
        <a:bodyPr/>
        <a:lstStyle/>
        <a:p>
          <a:endParaRPr lang="en-GB"/>
        </a:p>
      </dgm:t>
    </dgm:pt>
    <dgm:pt modelId="{47FC0DB0-6A0A-4CED-B423-55C566A0FF20}">
      <dgm:prSet phldrT="[Text]"/>
      <dgm:spPr/>
      <dgm:t>
        <a:bodyPr/>
        <a:lstStyle/>
        <a:p>
          <a:r>
            <a:rPr lang="en-GB" b="1">
              <a:latin typeface="Arial" panose="020B0604020202020204" pitchFamily="34" charset="0"/>
              <a:cs typeface="Arial" panose="020B0604020202020204" pitchFamily="34" charset="0"/>
            </a:rPr>
            <a:t>Optimised equipment, data processing etc</a:t>
          </a:r>
        </a:p>
      </dgm:t>
    </dgm:pt>
    <dgm:pt modelId="{C942C707-5A5F-4323-863C-F3D9ECA915CC}" type="parTrans" cxnId="{9D3E555C-77C5-41AD-965F-74C36E625F0B}">
      <dgm:prSet/>
      <dgm:spPr/>
      <dgm:t>
        <a:bodyPr/>
        <a:lstStyle/>
        <a:p>
          <a:endParaRPr lang="en-GB"/>
        </a:p>
      </dgm:t>
    </dgm:pt>
    <dgm:pt modelId="{72B14657-EBBA-4665-8157-346CC12044B0}" type="sibTrans" cxnId="{9D3E555C-77C5-41AD-965F-74C36E625F0B}">
      <dgm:prSet/>
      <dgm:spPr/>
      <dgm:t>
        <a:bodyPr/>
        <a:lstStyle/>
        <a:p>
          <a:endParaRPr lang="en-GB"/>
        </a:p>
      </dgm:t>
    </dgm:pt>
    <dgm:pt modelId="{68FD1A8E-4820-446D-B4E8-BAA3B42549FE}">
      <dgm:prSet phldrT="[Text]" custT="1"/>
      <dgm:spPr/>
      <dgm:t>
        <a:bodyPr/>
        <a:lstStyle/>
        <a:p>
          <a:r>
            <a:rPr lang="en-GB" sz="1000">
              <a:latin typeface="Arial" panose="020B0604020202020204" pitchFamily="34" charset="0"/>
              <a:cs typeface="Arial" panose="020B0604020202020204" pitchFamily="34" charset="0"/>
            </a:rPr>
            <a:t>Collaborative funded work</a:t>
          </a:r>
        </a:p>
      </dgm:t>
    </dgm:pt>
    <dgm:pt modelId="{2C9525B9-1991-4D44-9118-9CC7EA85ECDD}" type="parTrans" cxnId="{B1B0BD97-204B-4181-A24A-502AA017CC29}">
      <dgm:prSet/>
      <dgm:spPr/>
      <dgm:t>
        <a:bodyPr/>
        <a:lstStyle/>
        <a:p>
          <a:endParaRPr lang="en-GB"/>
        </a:p>
      </dgm:t>
    </dgm:pt>
    <dgm:pt modelId="{7CD8E5A2-B714-43B0-A161-8D19059AD805}" type="sibTrans" cxnId="{B1B0BD97-204B-4181-A24A-502AA017CC29}">
      <dgm:prSet/>
      <dgm:spPr/>
      <dgm:t>
        <a:bodyPr/>
        <a:lstStyle/>
        <a:p>
          <a:endParaRPr lang="en-GB"/>
        </a:p>
      </dgm:t>
    </dgm:pt>
    <dgm:pt modelId="{9F144568-3800-453B-BD78-114FFDB5FEA7}">
      <dgm:prSet phldrT="[Text]" custT="1"/>
      <dgm:spPr/>
      <dgm:t>
        <a:bodyPr/>
        <a:lstStyle/>
        <a:p>
          <a:r>
            <a:rPr lang="en-GB" sz="1000">
              <a:latin typeface="Arial" panose="020B0604020202020204" pitchFamily="34" charset="0"/>
              <a:cs typeface="Arial" panose="020B0604020202020204" pitchFamily="34" charset="0"/>
            </a:rPr>
            <a:t>Training</a:t>
          </a:r>
        </a:p>
      </dgm:t>
    </dgm:pt>
    <dgm:pt modelId="{D940A5C7-6976-4396-A20D-B68B32B931B8}" type="parTrans" cxnId="{2F13A88D-7444-4FA9-86EB-EBC8545FE53F}">
      <dgm:prSet/>
      <dgm:spPr/>
      <dgm:t>
        <a:bodyPr/>
        <a:lstStyle/>
        <a:p>
          <a:endParaRPr lang="en-GB"/>
        </a:p>
      </dgm:t>
    </dgm:pt>
    <dgm:pt modelId="{2F946346-0FDF-41F3-B7BA-6346092FABE6}" type="sibTrans" cxnId="{2F13A88D-7444-4FA9-86EB-EBC8545FE53F}">
      <dgm:prSet/>
      <dgm:spPr/>
      <dgm:t>
        <a:bodyPr/>
        <a:lstStyle/>
        <a:p>
          <a:endParaRPr lang="en-GB"/>
        </a:p>
      </dgm:t>
    </dgm:pt>
    <dgm:pt modelId="{84E9CD50-9D30-40F9-B462-6F6892E8EDDD}" type="pres">
      <dgm:prSet presAssocID="{5A4569E2-084F-44A3-AC94-FA38D24823DD}" presName="arrowDiagram" presStyleCnt="0">
        <dgm:presLayoutVars>
          <dgm:chMax val="5"/>
          <dgm:dir/>
          <dgm:resizeHandles val="exact"/>
        </dgm:presLayoutVars>
      </dgm:prSet>
      <dgm:spPr/>
    </dgm:pt>
    <dgm:pt modelId="{8693ADA7-936F-4253-8307-C0D29AAA56A7}" type="pres">
      <dgm:prSet presAssocID="{5A4569E2-084F-44A3-AC94-FA38D24823DD}" presName="arrow" presStyleLbl="bgShp" presStyleIdx="0" presStyleCnt="1"/>
      <dgm:spPr>
        <a:solidFill>
          <a:schemeClr val="bg1">
            <a:lumMod val="75000"/>
          </a:schemeClr>
        </a:solidFill>
      </dgm:spPr>
    </dgm:pt>
    <dgm:pt modelId="{F9DFE4EF-C969-40EE-BDA3-EAD3DE81E7E5}" type="pres">
      <dgm:prSet presAssocID="{5A4569E2-084F-44A3-AC94-FA38D24823DD}" presName="arrowDiagram5" presStyleCnt="0"/>
      <dgm:spPr/>
    </dgm:pt>
    <dgm:pt modelId="{70663433-0E8B-44CD-802B-920D388B8372}" type="pres">
      <dgm:prSet presAssocID="{6F0BC8E7-7FC3-403E-BCA8-FC6106B0982F}" presName="bullet5a" presStyleLbl="node1" presStyleIdx="0" presStyleCnt="5"/>
      <dgm:spPr/>
    </dgm:pt>
    <dgm:pt modelId="{ED9D18FF-9753-4DD9-86BD-32FA3C4DD2E8}" type="pres">
      <dgm:prSet presAssocID="{6F0BC8E7-7FC3-403E-BCA8-FC6106B0982F}" presName="textBox5a" presStyleLbl="revTx" presStyleIdx="0" presStyleCnt="5">
        <dgm:presLayoutVars>
          <dgm:bulletEnabled val="1"/>
        </dgm:presLayoutVars>
      </dgm:prSet>
      <dgm:spPr/>
      <dgm:t>
        <a:bodyPr/>
        <a:lstStyle/>
        <a:p>
          <a:endParaRPr lang="en-GB"/>
        </a:p>
      </dgm:t>
    </dgm:pt>
    <dgm:pt modelId="{9A04A31B-2615-42A3-9702-4A24064E0075}" type="pres">
      <dgm:prSet presAssocID="{9C23EC69-1F09-4135-B381-FA6D1774DB85}" presName="bullet5b" presStyleLbl="node1" presStyleIdx="1" presStyleCnt="5"/>
      <dgm:spPr/>
    </dgm:pt>
    <dgm:pt modelId="{22424DA2-BD9F-45E9-B374-87A476E0DEDD}" type="pres">
      <dgm:prSet presAssocID="{9C23EC69-1F09-4135-B381-FA6D1774DB85}" presName="textBox5b" presStyleLbl="revTx" presStyleIdx="1" presStyleCnt="5">
        <dgm:presLayoutVars>
          <dgm:bulletEnabled val="1"/>
        </dgm:presLayoutVars>
      </dgm:prSet>
      <dgm:spPr/>
      <dgm:t>
        <a:bodyPr/>
        <a:lstStyle/>
        <a:p>
          <a:endParaRPr lang="en-GB"/>
        </a:p>
      </dgm:t>
    </dgm:pt>
    <dgm:pt modelId="{84C88F4E-3A47-4663-B390-179FE7D6B4C5}" type="pres">
      <dgm:prSet presAssocID="{B6F078A7-A4C4-4F47-89CF-DD7361991003}" presName="bullet5c" presStyleLbl="node1" presStyleIdx="2" presStyleCnt="5"/>
      <dgm:spPr/>
    </dgm:pt>
    <dgm:pt modelId="{17A36BA7-8A71-4634-8CEC-AB46C7FE1AF8}" type="pres">
      <dgm:prSet presAssocID="{B6F078A7-A4C4-4F47-89CF-DD7361991003}" presName="textBox5c" presStyleLbl="revTx" presStyleIdx="2" presStyleCnt="5">
        <dgm:presLayoutVars>
          <dgm:bulletEnabled val="1"/>
        </dgm:presLayoutVars>
      </dgm:prSet>
      <dgm:spPr/>
      <dgm:t>
        <a:bodyPr/>
        <a:lstStyle/>
        <a:p>
          <a:endParaRPr lang="en-GB"/>
        </a:p>
      </dgm:t>
    </dgm:pt>
    <dgm:pt modelId="{C8DD8A9D-AE73-4247-AFF6-B9805E3D0914}" type="pres">
      <dgm:prSet presAssocID="{3A9737D6-AE65-4340-B347-14477526887B}" presName="bullet5d" presStyleLbl="node1" presStyleIdx="3" presStyleCnt="5"/>
      <dgm:spPr/>
    </dgm:pt>
    <dgm:pt modelId="{E06B924F-6491-48B5-A8A3-F7C42E24BC09}" type="pres">
      <dgm:prSet presAssocID="{3A9737D6-AE65-4340-B347-14477526887B}" presName="textBox5d" presStyleLbl="revTx" presStyleIdx="3" presStyleCnt="5">
        <dgm:presLayoutVars>
          <dgm:bulletEnabled val="1"/>
        </dgm:presLayoutVars>
      </dgm:prSet>
      <dgm:spPr/>
      <dgm:t>
        <a:bodyPr/>
        <a:lstStyle/>
        <a:p>
          <a:endParaRPr lang="en-GB"/>
        </a:p>
      </dgm:t>
    </dgm:pt>
    <dgm:pt modelId="{5843786B-DDE6-41D3-9320-02802BDE36C0}" type="pres">
      <dgm:prSet presAssocID="{D004338C-1EEF-434E-A80A-949DC2448B35}" presName="bullet5e" presStyleLbl="node1" presStyleIdx="4" presStyleCnt="5"/>
      <dgm:spPr/>
    </dgm:pt>
    <dgm:pt modelId="{414F91C6-8A99-47BC-869A-EA98AD24AFB8}" type="pres">
      <dgm:prSet presAssocID="{D004338C-1EEF-434E-A80A-949DC2448B35}" presName="textBox5e" presStyleLbl="revTx" presStyleIdx="4" presStyleCnt="5">
        <dgm:presLayoutVars>
          <dgm:bulletEnabled val="1"/>
        </dgm:presLayoutVars>
      </dgm:prSet>
      <dgm:spPr/>
      <dgm:t>
        <a:bodyPr/>
        <a:lstStyle/>
        <a:p>
          <a:endParaRPr lang="en-GB"/>
        </a:p>
      </dgm:t>
    </dgm:pt>
  </dgm:ptLst>
  <dgm:cxnLst>
    <dgm:cxn modelId="{7A7FBC0D-69B2-4A58-99AC-B5A56A0A4E21}" type="presOf" srcId="{7ABE4DD2-BC28-4B2E-B05F-CE500840CFD1}" destId="{414F91C6-8A99-47BC-869A-EA98AD24AFB8}" srcOrd="0" destOrd="3" presId="urn:microsoft.com/office/officeart/2005/8/layout/arrow2"/>
    <dgm:cxn modelId="{1CBCED35-4EF7-4412-BBB8-E471204FA86D}" type="presOf" srcId="{C0E03FBD-83C3-462A-893D-0BB387B3FE9F}" destId="{414F91C6-8A99-47BC-869A-EA98AD24AFB8}" srcOrd="0" destOrd="1" presId="urn:microsoft.com/office/officeart/2005/8/layout/arrow2"/>
    <dgm:cxn modelId="{A10D07C7-F3E1-4A2F-9A96-11ACBB260BEE}" srcId="{9C23EC69-1F09-4135-B381-FA6D1774DB85}" destId="{D94FCE54-B053-4627-B5A5-FE201C33FF43}" srcOrd="1" destOrd="0" parTransId="{5376B88D-B03C-48C5-AD48-9B2D3243EE3C}" sibTransId="{0960E09F-BAC9-41A4-9011-9EB6EC3EECAF}"/>
    <dgm:cxn modelId="{FDC3E4DF-0DEC-4ED3-AD68-B818D0460C1B}" type="presOf" srcId="{1387A1DB-9CC6-4E53-BA06-340E49281990}" destId="{414F91C6-8A99-47BC-869A-EA98AD24AFB8}" srcOrd="0" destOrd="2" presId="urn:microsoft.com/office/officeart/2005/8/layout/arrow2"/>
    <dgm:cxn modelId="{549EB291-C7B2-4338-8AF8-8F1E4B53E150}" srcId="{6F0BC8E7-7FC3-403E-BCA8-FC6106B0982F}" destId="{9E617FD1-5547-4E2A-A1A7-00EBFBBE4B0E}" srcOrd="0" destOrd="0" parTransId="{0851497A-8DE0-49A7-B4AA-27AF00FBB348}" sibTransId="{23C36F68-195C-44C7-B896-E1A79946321A}"/>
    <dgm:cxn modelId="{B55AADC4-9B99-466C-AA27-393BD8AA8C37}" type="presOf" srcId="{D004338C-1EEF-434E-A80A-949DC2448B35}" destId="{414F91C6-8A99-47BC-869A-EA98AD24AFB8}" srcOrd="0" destOrd="0" presId="urn:microsoft.com/office/officeart/2005/8/layout/arrow2"/>
    <dgm:cxn modelId="{C9566672-7580-4C3F-BF97-31ECC88AA18B}" type="presOf" srcId="{68FD1A8E-4820-446D-B4E8-BAA3B42549FE}" destId="{E06B924F-6491-48B5-A8A3-F7C42E24BC09}" srcOrd="0" destOrd="2" presId="urn:microsoft.com/office/officeart/2005/8/layout/arrow2"/>
    <dgm:cxn modelId="{9C4F655A-C4D8-47D6-BFD3-105A7D229EDA}" srcId="{5A4569E2-084F-44A3-AC94-FA38D24823DD}" destId="{9C23EC69-1F09-4135-B381-FA6D1774DB85}" srcOrd="1" destOrd="0" parTransId="{86A167A8-CEC4-4284-AB8B-F3F945D2C288}" sibTransId="{33F93259-24F2-40BA-8255-5D9D8278A847}"/>
    <dgm:cxn modelId="{BD1F4A79-EBD7-4A9B-BCDE-5702E28523A1}" type="presOf" srcId="{D94FCE54-B053-4627-B5A5-FE201C33FF43}" destId="{22424DA2-BD9F-45E9-B374-87A476E0DEDD}" srcOrd="0" destOrd="2" presId="urn:microsoft.com/office/officeart/2005/8/layout/arrow2"/>
    <dgm:cxn modelId="{38E082EA-DD65-4040-AF6B-C83E932A6DB3}" type="presOf" srcId="{3A9737D6-AE65-4340-B347-14477526887B}" destId="{E06B924F-6491-48B5-A8A3-F7C42E24BC09}" srcOrd="0" destOrd="0" presId="urn:microsoft.com/office/officeart/2005/8/layout/arrow2"/>
    <dgm:cxn modelId="{3C33CF35-952C-4C9C-BBAE-8C8806A218AD}" srcId="{D004338C-1EEF-434E-A80A-949DC2448B35}" destId="{7ABE4DD2-BC28-4B2E-B05F-CE500840CFD1}" srcOrd="2" destOrd="0" parTransId="{470EF75A-403C-421A-969B-3C6280333852}" sibTransId="{DF015F79-3785-4998-9776-50A1A37EABD5}"/>
    <dgm:cxn modelId="{46E90A9C-741B-475B-8805-0234D0FAC684}" type="presOf" srcId="{885B9573-11BF-4FCC-806C-9A29DA1E64C7}" destId="{22424DA2-BD9F-45E9-B374-87A476E0DEDD}" srcOrd="0" destOrd="1" presId="urn:microsoft.com/office/officeart/2005/8/layout/arrow2"/>
    <dgm:cxn modelId="{4975B556-7058-4E77-9E90-BDD1E0516AAD}" type="presOf" srcId="{9F144568-3800-453B-BD78-114FFDB5FEA7}" destId="{E06B924F-6491-48B5-A8A3-F7C42E24BC09}" srcOrd="0" destOrd="3" presId="urn:microsoft.com/office/officeart/2005/8/layout/arrow2"/>
    <dgm:cxn modelId="{99DF2D37-BA5E-49AF-9F8B-D995B2E41DB6}" type="presOf" srcId="{5A4569E2-084F-44A3-AC94-FA38D24823DD}" destId="{84E9CD50-9D30-40F9-B462-6F6892E8EDDD}" srcOrd="0" destOrd="0" presId="urn:microsoft.com/office/officeart/2005/8/layout/arrow2"/>
    <dgm:cxn modelId="{7411C9E7-0F19-42DC-9153-DCCA3F97DA05}" srcId="{3A9737D6-AE65-4340-B347-14477526887B}" destId="{B458745D-63C7-46C2-B3A6-79926EB2F0BA}" srcOrd="0" destOrd="0" parTransId="{84A60109-6264-4D93-815B-ABDFC0E3088F}" sibTransId="{58AA730E-7A11-4E5D-BCBD-6F47040F43D2}"/>
    <dgm:cxn modelId="{674D6BE9-C52E-4121-95E9-91D3AF0D9463}" type="presOf" srcId="{9C23EC69-1F09-4135-B381-FA6D1774DB85}" destId="{22424DA2-BD9F-45E9-B374-87A476E0DEDD}" srcOrd="0" destOrd="0" presId="urn:microsoft.com/office/officeart/2005/8/layout/arrow2"/>
    <dgm:cxn modelId="{73246890-B8FD-431D-A7F1-49CD061DC928}" srcId="{5A4569E2-084F-44A3-AC94-FA38D24823DD}" destId="{3A9737D6-AE65-4340-B347-14477526887B}" srcOrd="3" destOrd="0" parTransId="{0A404785-6752-46BC-B865-A67D7A5F0D98}" sibTransId="{FC09576C-FD19-4326-B96E-36781F208A4C}"/>
    <dgm:cxn modelId="{0CF96A45-094F-4441-AD2E-30DBED78B6D4}" type="presOf" srcId="{6F0BC8E7-7FC3-403E-BCA8-FC6106B0982F}" destId="{ED9D18FF-9753-4DD9-86BD-32FA3C4DD2E8}" srcOrd="0" destOrd="0" presId="urn:microsoft.com/office/officeart/2005/8/layout/arrow2"/>
    <dgm:cxn modelId="{41E75C8B-8F05-4E7F-8B3C-99DDED5A65E5}" type="presOf" srcId="{DC4B48D8-3C1E-4B42-A834-2BC9255BD49D}" destId="{E06B924F-6491-48B5-A8A3-F7C42E24BC09}" srcOrd="0" destOrd="4" presId="urn:microsoft.com/office/officeart/2005/8/layout/arrow2"/>
    <dgm:cxn modelId="{61DE0589-9517-43CF-A041-A98B68CE444F}" type="presOf" srcId="{B6F078A7-A4C4-4F47-89CF-DD7361991003}" destId="{17A36BA7-8A71-4634-8CEC-AB46C7FE1AF8}" srcOrd="0" destOrd="0" presId="urn:microsoft.com/office/officeart/2005/8/layout/arrow2"/>
    <dgm:cxn modelId="{7020A0CB-3F37-4914-9CE1-60AD512E327F}" srcId="{5A4569E2-084F-44A3-AC94-FA38D24823DD}" destId="{6F0BC8E7-7FC3-403E-BCA8-FC6106B0982F}" srcOrd="0" destOrd="0" parTransId="{C86B6C8F-79B3-4D7D-92D6-BEB4A530E2EF}" sibTransId="{170589A0-1AAE-432C-8821-BB230DAB9895}"/>
    <dgm:cxn modelId="{B1B0BD97-204B-4181-A24A-502AA017CC29}" srcId="{3A9737D6-AE65-4340-B347-14477526887B}" destId="{68FD1A8E-4820-446D-B4E8-BAA3B42549FE}" srcOrd="1" destOrd="0" parTransId="{2C9525B9-1991-4D44-9118-9CC7EA85ECDD}" sibTransId="{7CD8E5A2-B714-43B0-A161-8D19059AD805}"/>
    <dgm:cxn modelId="{783BC4AB-2A87-44F1-B093-1C876E930C44}" type="presOf" srcId="{136C5BE4-866F-4CF3-8AFF-607D3FBB3031}" destId="{17A36BA7-8A71-4634-8CEC-AB46C7FE1AF8}" srcOrd="0" destOrd="1" presId="urn:microsoft.com/office/officeart/2005/8/layout/arrow2"/>
    <dgm:cxn modelId="{F677788C-D6DA-4F21-978F-C5D4D6648407}" srcId="{5A4569E2-084F-44A3-AC94-FA38D24823DD}" destId="{B6F078A7-A4C4-4F47-89CF-DD7361991003}" srcOrd="2" destOrd="0" parTransId="{D1F110FD-960D-4010-82EA-770C0F52ED15}" sibTransId="{65015684-399C-4C47-8077-42CD11E030B3}"/>
    <dgm:cxn modelId="{6852EAF8-8DE4-4D45-A0D8-EB3E3DFF560F}" srcId="{B6F078A7-A4C4-4F47-89CF-DD7361991003}" destId="{CD064D9B-D826-455A-8B43-D20EFBB3EEEE}" srcOrd="1" destOrd="0" parTransId="{BC39722E-8965-45D2-A740-E4B13EFA25D2}" sibTransId="{4345A2C2-48CA-4D1D-9600-C7463EC31A5E}"/>
    <dgm:cxn modelId="{9D3E555C-77C5-41AD-965F-74C36E625F0B}" srcId="{B6F078A7-A4C4-4F47-89CF-DD7361991003}" destId="{47FC0DB0-6A0A-4CED-B423-55C566A0FF20}" srcOrd="2" destOrd="0" parTransId="{C942C707-5A5F-4323-863C-F3D9ECA915CC}" sibTransId="{72B14657-EBBA-4665-8157-346CC12044B0}"/>
    <dgm:cxn modelId="{FD1CC905-4044-4C0B-AD52-05F215FF1172}" srcId="{D004338C-1EEF-434E-A80A-949DC2448B35}" destId="{C0E03FBD-83C3-462A-893D-0BB387B3FE9F}" srcOrd="0" destOrd="0" parTransId="{FCA58A5C-74EE-4D6F-BCF5-B029DD29ADE4}" sibTransId="{5D904204-9BA3-434E-A733-54118AC3CB8D}"/>
    <dgm:cxn modelId="{F7CCDC4B-DFF4-4625-868F-B8ACBE246CB1}" srcId="{9C23EC69-1F09-4135-B381-FA6D1774DB85}" destId="{885B9573-11BF-4FCC-806C-9A29DA1E64C7}" srcOrd="0" destOrd="0" parTransId="{27928128-AC44-4065-ABEA-4B51AA83C46B}" sibTransId="{B4CA0EAD-DFC5-40F5-93B0-4386B0EC3FAF}"/>
    <dgm:cxn modelId="{0E25B16B-08B6-4EB3-B7F8-137BE660CE07}" type="presOf" srcId="{B458745D-63C7-46C2-B3A6-79926EB2F0BA}" destId="{E06B924F-6491-48B5-A8A3-F7C42E24BC09}" srcOrd="0" destOrd="1" presId="urn:microsoft.com/office/officeart/2005/8/layout/arrow2"/>
    <dgm:cxn modelId="{D5E03363-4D4D-4DB1-B29F-6624EE42D2B8}" type="presOf" srcId="{CD064D9B-D826-455A-8B43-D20EFBB3EEEE}" destId="{17A36BA7-8A71-4634-8CEC-AB46C7FE1AF8}" srcOrd="0" destOrd="2" presId="urn:microsoft.com/office/officeart/2005/8/layout/arrow2"/>
    <dgm:cxn modelId="{07A2E5B6-9BD4-4A42-B1A8-70134D247799}" srcId="{B6F078A7-A4C4-4F47-89CF-DD7361991003}" destId="{136C5BE4-866F-4CF3-8AFF-607D3FBB3031}" srcOrd="0" destOrd="0" parTransId="{54048124-2FD1-4757-B0CA-4FBEE9833620}" sibTransId="{82BF7D1B-262A-4663-A707-B65B59870E29}"/>
    <dgm:cxn modelId="{CFD038D7-85ED-44D0-887C-43C7B1C956D8}" srcId="{5A4569E2-084F-44A3-AC94-FA38D24823DD}" destId="{D004338C-1EEF-434E-A80A-949DC2448B35}" srcOrd="4" destOrd="0" parTransId="{EE9246A0-2A9C-4408-B44B-AC26308A591B}" sibTransId="{954920E2-B4C0-43F7-BBFF-4EE38E728B58}"/>
    <dgm:cxn modelId="{C58D0FCB-7DB0-4EDB-ACE6-F32B27C81251}" type="presOf" srcId="{9E617FD1-5547-4E2A-A1A7-00EBFBBE4B0E}" destId="{ED9D18FF-9753-4DD9-86BD-32FA3C4DD2E8}" srcOrd="0" destOrd="1" presId="urn:microsoft.com/office/officeart/2005/8/layout/arrow2"/>
    <dgm:cxn modelId="{0E51F459-A41B-4766-BE11-50CA4FA1A46A}" type="presOf" srcId="{47FC0DB0-6A0A-4CED-B423-55C566A0FF20}" destId="{17A36BA7-8A71-4634-8CEC-AB46C7FE1AF8}" srcOrd="0" destOrd="3" presId="urn:microsoft.com/office/officeart/2005/8/layout/arrow2"/>
    <dgm:cxn modelId="{55DFB5AE-DC40-466C-9A45-8F4F70C90870}" srcId="{D004338C-1EEF-434E-A80A-949DC2448B35}" destId="{1387A1DB-9CC6-4E53-BA06-340E49281990}" srcOrd="1" destOrd="0" parTransId="{04736EE0-68EB-4492-99E8-DC5C7A8E3325}" sibTransId="{2CF681DA-EBBB-44C4-AB56-1350E8EB0D59}"/>
    <dgm:cxn modelId="{2F13A88D-7444-4FA9-86EB-EBC8545FE53F}" srcId="{3A9737D6-AE65-4340-B347-14477526887B}" destId="{9F144568-3800-453B-BD78-114FFDB5FEA7}" srcOrd="2" destOrd="0" parTransId="{D940A5C7-6976-4396-A20D-B68B32B931B8}" sibTransId="{2F946346-0FDF-41F3-B7BA-6346092FABE6}"/>
    <dgm:cxn modelId="{E66CF361-F64F-4F9D-994D-7F6CA1040EF5}" srcId="{3A9737D6-AE65-4340-B347-14477526887B}" destId="{DC4B48D8-3C1E-4B42-A834-2BC9255BD49D}" srcOrd="3" destOrd="0" parTransId="{66CEFEA4-A061-4602-BC3F-F7D1AFF62167}" sibTransId="{F0B46157-6BAD-4C1F-B226-4C056A0AE4CA}"/>
    <dgm:cxn modelId="{2B30C0CD-071B-44D8-8875-93C23C667357}" type="presParOf" srcId="{84E9CD50-9D30-40F9-B462-6F6892E8EDDD}" destId="{8693ADA7-936F-4253-8307-C0D29AAA56A7}" srcOrd="0" destOrd="0" presId="urn:microsoft.com/office/officeart/2005/8/layout/arrow2"/>
    <dgm:cxn modelId="{C8514AB3-010A-4B08-B64F-7AA0DCD06F57}" type="presParOf" srcId="{84E9CD50-9D30-40F9-B462-6F6892E8EDDD}" destId="{F9DFE4EF-C969-40EE-BDA3-EAD3DE81E7E5}" srcOrd="1" destOrd="0" presId="urn:microsoft.com/office/officeart/2005/8/layout/arrow2"/>
    <dgm:cxn modelId="{8DCD91E8-6FAC-4AAD-98E3-0959E285A67C}" type="presParOf" srcId="{F9DFE4EF-C969-40EE-BDA3-EAD3DE81E7E5}" destId="{70663433-0E8B-44CD-802B-920D388B8372}" srcOrd="0" destOrd="0" presId="urn:microsoft.com/office/officeart/2005/8/layout/arrow2"/>
    <dgm:cxn modelId="{6AFA3371-E0DA-4CA3-81BA-9A18FA3525FE}" type="presParOf" srcId="{F9DFE4EF-C969-40EE-BDA3-EAD3DE81E7E5}" destId="{ED9D18FF-9753-4DD9-86BD-32FA3C4DD2E8}" srcOrd="1" destOrd="0" presId="urn:microsoft.com/office/officeart/2005/8/layout/arrow2"/>
    <dgm:cxn modelId="{1E40797F-8BC4-4F72-934A-83FFAFDFD63C}" type="presParOf" srcId="{F9DFE4EF-C969-40EE-BDA3-EAD3DE81E7E5}" destId="{9A04A31B-2615-42A3-9702-4A24064E0075}" srcOrd="2" destOrd="0" presId="urn:microsoft.com/office/officeart/2005/8/layout/arrow2"/>
    <dgm:cxn modelId="{1CBE6F0D-43DD-4644-B278-ED7FB424928E}" type="presParOf" srcId="{F9DFE4EF-C969-40EE-BDA3-EAD3DE81E7E5}" destId="{22424DA2-BD9F-45E9-B374-87A476E0DEDD}" srcOrd="3" destOrd="0" presId="urn:microsoft.com/office/officeart/2005/8/layout/arrow2"/>
    <dgm:cxn modelId="{E287E7B1-0CDF-4488-BB9F-DB464F31C357}" type="presParOf" srcId="{F9DFE4EF-C969-40EE-BDA3-EAD3DE81E7E5}" destId="{84C88F4E-3A47-4663-B390-179FE7D6B4C5}" srcOrd="4" destOrd="0" presId="urn:microsoft.com/office/officeart/2005/8/layout/arrow2"/>
    <dgm:cxn modelId="{C2C9BCC1-5CC5-4DE2-849E-7BED016CD6C1}" type="presParOf" srcId="{F9DFE4EF-C969-40EE-BDA3-EAD3DE81E7E5}" destId="{17A36BA7-8A71-4634-8CEC-AB46C7FE1AF8}" srcOrd="5" destOrd="0" presId="urn:microsoft.com/office/officeart/2005/8/layout/arrow2"/>
    <dgm:cxn modelId="{8F031B8C-15E6-49E3-9DC4-1EB77115FFA3}" type="presParOf" srcId="{F9DFE4EF-C969-40EE-BDA3-EAD3DE81E7E5}" destId="{C8DD8A9D-AE73-4247-AFF6-B9805E3D0914}" srcOrd="6" destOrd="0" presId="urn:microsoft.com/office/officeart/2005/8/layout/arrow2"/>
    <dgm:cxn modelId="{C9031A51-8672-48AA-A5AA-796F6A07D800}" type="presParOf" srcId="{F9DFE4EF-C969-40EE-BDA3-EAD3DE81E7E5}" destId="{E06B924F-6491-48B5-A8A3-F7C42E24BC09}" srcOrd="7" destOrd="0" presId="urn:microsoft.com/office/officeart/2005/8/layout/arrow2"/>
    <dgm:cxn modelId="{A6F31D75-9556-4329-A41C-CD5A98F4B83C}" type="presParOf" srcId="{F9DFE4EF-C969-40EE-BDA3-EAD3DE81E7E5}" destId="{5843786B-DDE6-41D3-9320-02802BDE36C0}" srcOrd="8" destOrd="0" presId="urn:microsoft.com/office/officeart/2005/8/layout/arrow2"/>
    <dgm:cxn modelId="{40AB60B2-A569-4101-8BAC-6771CF5EF4F9}" type="presParOf" srcId="{F9DFE4EF-C969-40EE-BDA3-EAD3DE81E7E5}" destId="{414F91C6-8A99-47BC-869A-EA98AD24AFB8}" srcOrd="9" destOrd="0" presId="urn:microsoft.com/office/officeart/2005/8/layout/arrow2"/>
  </dgm:cxnLst>
  <dgm:bg/>
  <dgm:whole/>
  <dgm:extLst>
    <a:ext uri="http://schemas.microsoft.com/office/drawing/2008/diagram">
      <dsp:dataModelExt xmlns:dsp="http://schemas.microsoft.com/office/drawing/2008/diagram" relId="rId30" minVer="http://schemas.openxmlformats.org/drawingml/2006/diagram"/>
    </a:ext>
  </dgm:extLst>
</dgm:dataModel>
</file>

<file path=word/diagrams/drawing1.xml><?xml version="1.0" encoding="utf-8"?>
<dsp:drawing xmlns:dgm="http://schemas.openxmlformats.org/drawingml/2006/diagram" xmlns:dsp="http://schemas.microsoft.com/office/drawing/2008/diagram" xmlns:a="http://schemas.openxmlformats.org/drawingml/2006/main">
  <dsp:spTree>
    <dsp:nvGrpSpPr>
      <dsp:cNvPr id="0" name=""/>
      <dsp:cNvGrpSpPr/>
    </dsp:nvGrpSpPr>
    <dsp:grpSpPr/>
    <dsp:sp modelId="{8693ADA7-936F-4253-8307-C0D29AAA56A7}">
      <dsp:nvSpPr>
        <dsp:cNvPr id="0" name=""/>
        <dsp:cNvSpPr/>
      </dsp:nvSpPr>
      <dsp:spPr>
        <a:xfrm>
          <a:off x="114630" y="0"/>
          <a:ext cx="5502249" cy="3438905"/>
        </a:xfrm>
        <a:prstGeom prst="swooshArrow">
          <a:avLst>
            <a:gd name="adj1" fmla="val 25000"/>
            <a:gd name="adj2" fmla="val 25000"/>
          </a:avLst>
        </a:prstGeom>
        <a:solidFill>
          <a:schemeClr val="bg1">
            <a:lumMod val="75000"/>
          </a:schemeClr>
        </a:solidFill>
        <a:ln>
          <a:noFill/>
        </a:ln>
        <a:effectLst/>
      </dsp:spPr>
      <dsp:style>
        <a:lnRef idx="0">
          <a:scrgbClr r="0" g="0" b="0"/>
        </a:lnRef>
        <a:fillRef idx="1">
          <a:scrgbClr r="0" g="0" b="0"/>
        </a:fillRef>
        <a:effectRef idx="0">
          <a:scrgbClr r="0" g="0" b="0"/>
        </a:effectRef>
        <a:fontRef idx="minor"/>
      </dsp:style>
    </dsp:sp>
    <dsp:sp modelId="{70663433-0E8B-44CD-802B-920D388B8372}">
      <dsp:nvSpPr>
        <dsp:cNvPr id="0" name=""/>
        <dsp:cNvSpPr/>
      </dsp:nvSpPr>
      <dsp:spPr>
        <a:xfrm>
          <a:off x="656601" y="2557170"/>
          <a:ext cx="126551" cy="126551"/>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D9D18FF-9753-4DD9-86BD-32FA3C4DD2E8}">
      <dsp:nvSpPr>
        <dsp:cNvPr id="0" name=""/>
        <dsp:cNvSpPr/>
      </dsp:nvSpPr>
      <dsp:spPr>
        <a:xfrm>
          <a:off x="719877" y="2620446"/>
          <a:ext cx="720794" cy="818459"/>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67057" tIns="0" rIns="0" bIns="0" numCol="1" spcCol="1270" anchor="t" anchorCtr="0">
          <a:noAutofit/>
        </a:bodyPr>
        <a:lstStyle/>
        <a:p>
          <a:pPr lvl="0" algn="l" defTabSz="488950">
            <a:lnSpc>
              <a:spcPct val="90000"/>
            </a:lnSpc>
            <a:spcBef>
              <a:spcPct val="0"/>
            </a:spcBef>
            <a:spcAft>
              <a:spcPct val="35000"/>
            </a:spcAft>
          </a:pPr>
          <a:r>
            <a:rPr lang="en-GB" sz="1100" b="1" kern="1200">
              <a:latin typeface="Arial" panose="020B0604020202020204" pitchFamily="34" charset="0"/>
              <a:cs typeface="Arial" panose="020B0604020202020204" pitchFamily="34" charset="0"/>
            </a:rPr>
            <a:t>Inputs:</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UKRPIF and matched funding</a:t>
          </a:r>
        </a:p>
      </dsp:txBody>
      <dsp:txXfrm>
        <a:off x="719877" y="2620446"/>
        <a:ext cx="720794" cy="818459"/>
      </dsp:txXfrm>
    </dsp:sp>
    <dsp:sp modelId="{9A04A31B-2615-42A3-9702-4A24064E0075}">
      <dsp:nvSpPr>
        <dsp:cNvPr id="0" name=""/>
        <dsp:cNvSpPr/>
      </dsp:nvSpPr>
      <dsp:spPr>
        <a:xfrm>
          <a:off x="1341631" y="1898963"/>
          <a:ext cx="198080" cy="198080"/>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22424DA2-BD9F-45E9-B374-87A476E0DEDD}">
      <dsp:nvSpPr>
        <dsp:cNvPr id="0" name=""/>
        <dsp:cNvSpPr/>
      </dsp:nvSpPr>
      <dsp:spPr>
        <a:xfrm>
          <a:off x="1440672" y="1998004"/>
          <a:ext cx="913373" cy="1440901"/>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04959" tIns="0" rIns="0" bIns="0" numCol="1" spcCol="1270" anchor="t" anchorCtr="0">
          <a:noAutofit/>
        </a:bodyPr>
        <a:lstStyle/>
        <a:p>
          <a:pPr lvl="0" algn="l" defTabSz="444500">
            <a:lnSpc>
              <a:spcPct val="90000"/>
            </a:lnSpc>
            <a:spcBef>
              <a:spcPct val="0"/>
            </a:spcBef>
            <a:spcAft>
              <a:spcPct val="35000"/>
            </a:spcAft>
          </a:pPr>
          <a:r>
            <a:rPr lang="en-GB" sz="1000" b="1" kern="1200">
              <a:latin typeface="Arial" panose="020B0604020202020204" pitchFamily="34" charset="0"/>
              <a:cs typeface="Arial" panose="020B0604020202020204" pitchFamily="34" charset="0"/>
            </a:rPr>
            <a:t>Construction and Investment</a:t>
          </a:r>
        </a:p>
        <a:p>
          <a:pPr marL="57150" lvl="1" indent="-57150" algn="l" defTabSz="355600">
            <a:lnSpc>
              <a:spcPct val="90000"/>
            </a:lnSpc>
            <a:spcBef>
              <a:spcPct val="0"/>
            </a:spcBef>
            <a:spcAft>
              <a:spcPct val="15000"/>
            </a:spcAft>
            <a:buChar char="••"/>
          </a:pPr>
          <a:r>
            <a:rPr lang="en-GB" sz="800" b="1" kern="1200">
              <a:latin typeface="Arial" panose="020B0604020202020204" pitchFamily="34" charset="0"/>
              <a:cs typeface="Arial" panose="020B0604020202020204" pitchFamily="34" charset="0"/>
            </a:rPr>
            <a:t>Buildings, labs, floor space</a:t>
          </a:r>
        </a:p>
        <a:p>
          <a:pPr marL="57150" lvl="1" indent="-57150" algn="l" defTabSz="355600">
            <a:lnSpc>
              <a:spcPct val="90000"/>
            </a:lnSpc>
            <a:spcBef>
              <a:spcPct val="0"/>
            </a:spcBef>
            <a:spcAft>
              <a:spcPct val="15000"/>
            </a:spcAft>
            <a:buChar char="••"/>
          </a:pPr>
          <a:r>
            <a:rPr lang="en-GB" sz="800" b="1" kern="1200">
              <a:latin typeface="Arial" panose="020B0604020202020204" pitchFamily="34" charset="0"/>
              <a:cs typeface="Arial" panose="020B0604020202020204" pitchFamily="34" charset="0"/>
            </a:rPr>
            <a:t>Equipment, fitting out</a:t>
          </a:r>
        </a:p>
      </dsp:txBody>
      <dsp:txXfrm>
        <a:off x="1440672" y="1998004"/>
        <a:ext cx="913373" cy="1440901"/>
      </dsp:txXfrm>
    </dsp:sp>
    <dsp:sp modelId="{84C88F4E-3A47-4663-B390-179FE7D6B4C5}">
      <dsp:nvSpPr>
        <dsp:cNvPr id="0" name=""/>
        <dsp:cNvSpPr/>
      </dsp:nvSpPr>
      <dsp:spPr>
        <a:xfrm>
          <a:off x="2221991" y="1374186"/>
          <a:ext cx="264107" cy="26410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17A36BA7-8A71-4634-8CEC-AB46C7FE1AF8}">
      <dsp:nvSpPr>
        <dsp:cNvPr id="0" name=""/>
        <dsp:cNvSpPr/>
      </dsp:nvSpPr>
      <dsp:spPr>
        <a:xfrm>
          <a:off x="2354045" y="1506240"/>
          <a:ext cx="1061934" cy="1932665"/>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39945" tIns="0" rIns="0" bIns="0" numCol="1" spcCol="1270" anchor="t" anchorCtr="0">
          <a:noAutofit/>
        </a:bodyPr>
        <a:lstStyle/>
        <a:p>
          <a:pPr lvl="0" algn="l" defTabSz="444500">
            <a:lnSpc>
              <a:spcPct val="90000"/>
            </a:lnSpc>
            <a:spcBef>
              <a:spcPct val="0"/>
            </a:spcBef>
            <a:spcAft>
              <a:spcPct val="35000"/>
            </a:spcAft>
          </a:pPr>
          <a:r>
            <a:rPr lang="en-GB" sz="1000" b="1" kern="1200">
              <a:latin typeface="Arial" panose="020B0604020202020204" pitchFamily="34" charset="0"/>
              <a:cs typeface="Arial" panose="020B0604020202020204" pitchFamily="34" charset="0"/>
            </a:rPr>
            <a:t>Changed Operating Model</a:t>
          </a:r>
        </a:p>
        <a:p>
          <a:pPr marL="57150" lvl="1" indent="-57150" algn="l" defTabSz="355600">
            <a:lnSpc>
              <a:spcPct val="90000"/>
            </a:lnSpc>
            <a:spcBef>
              <a:spcPct val="0"/>
            </a:spcBef>
            <a:spcAft>
              <a:spcPct val="15000"/>
            </a:spcAft>
            <a:buChar char="••"/>
          </a:pPr>
          <a:r>
            <a:rPr lang="en-GB" sz="800" b="1" kern="1200">
              <a:latin typeface="Arial" panose="020B0604020202020204" pitchFamily="34" charset="0"/>
              <a:cs typeface="Arial" panose="020B0604020202020204" pitchFamily="34" charset="0"/>
            </a:rPr>
            <a:t>Open/shared labs</a:t>
          </a:r>
        </a:p>
        <a:p>
          <a:pPr marL="57150" lvl="1" indent="-57150" algn="l" defTabSz="355600">
            <a:lnSpc>
              <a:spcPct val="90000"/>
            </a:lnSpc>
            <a:spcBef>
              <a:spcPct val="0"/>
            </a:spcBef>
            <a:spcAft>
              <a:spcPct val="15000"/>
            </a:spcAft>
            <a:buChar char="••"/>
          </a:pPr>
          <a:r>
            <a:rPr lang="en-GB" sz="800" b="1" kern="1200">
              <a:latin typeface="Arial" panose="020B0604020202020204" pitchFamily="34" charset="0"/>
              <a:cs typeface="Arial" panose="020B0604020202020204" pitchFamily="34" charset="0"/>
            </a:rPr>
            <a:t>Collaboration areas</a:t>
          </a:r>
        </a:p>
        <a:p>
          <a:pPr marL="57150" lvl="1" indent="-57150" algn="l" defTabSz="355600">
            <a:lnSpc>
              <a:spcPct val="90000"/>
            </a:lnSpc>
            <a:spcBef>
              <a:spcPct val="0"/>
            </a:spcBef>
            <a:spcAft>
              <a:spcPct val="15000"/>
            </a:spcAft>
            <a:buChar char="••"/>
          </a:pPr>
          <a:r>
            <a:rPr lang="en-GB" sz="800" b="1" kern="1200">
              <a:latin typeface="Arial" panose="020B0604020202020204" pitchFamily="34" charset="0"/>
              <a:cs typeface="Arial" panose="020B0604020202020204" pitchFamily="34" charset="0"/>
            </a:rPr>
            <a:t>Optimised equipment, data processing etc</a:t>
          </a:r>
        </a:p>
      </dsp:txBody>
      <dsp:txXfrm>
        <a:off x="2354045" y="1506240"/>
        <a:ext cx="1061934" cy="1932665"/>
      </dsp:txXfrm>
    </dsp:sp>
    <dsp:sp modelId="{C8DD8A9D-AE73-4247-AFF6-B9805E3D0914}">
      <dsp:nvSpPr>
        <dsp:cNvPr id="0" name=""/>
        <dsp:cNvSpPr/>
      </dsp:nvSpPr>
      <dsp:spPr>
        <a:xfrm>
          <a:off x="3245410" y="964269"/>
          <a:ext cx="341139" cy="341139"/>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E06B924F-6491-48B5-A8A3-F7C42E24BC09}">
      <dsp:nvSpPr>
        <dsp:cNvPr id="0" name=""/>
        <dsp:cNvSpPr/>
      </dsp:nvSpPr>
      <dsp:spPr>
        <a:xfrm>
          <a:off x="3415979" y="1134838"/>
          <a:ext cx="1100449" cy="2304067"/>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180763" tIns="0" rIns="0" bIns="0" numCol="1" spcCol="1270" anchor="t" anchorCtr="0">
          <a:noAutofit/>
        </a:bodyPr>
        <a:lstStyle/>
        <a:p>
          <a:pPr lvl="0" algn="l" defTabSz="488950">
            <a:lnSpc>
              <a:spcPct val="90000"/>
            </a:lnSpc>
            <a:spcBef>
              <a:spcPct val="0"/>
            </a:spcBef>
            <a:spcAft>
              <a:spcPct val="35000"/>
            </a:spcAft>
          </a:pPr>
          <a:r>
            <a:rPr lang="en-GB" sz="1100" b="1" kern="1200">
              <a:latin typeface="Arial" panose="020B0604020202020204" pitchFamily="34" charset="0"/>
              <a:cs typeface="Arial" panose="020B0604020202020204" pitchFamily="34" charset="0"/>
            </a:rPr>
            <a:t>Outputs</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Research excellence</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Collaborative funded work</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Training</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Staffing</a:t>
          </a:r>
        </a:p>
      </dsp:txBody>
      <dsp:txXfrm>
        <a:off x="3415979" y="1134838"/>
        <a:ext cx="1100449" cy="2304067"/>
      </dsp:txXfrm>
    </dsp:sp>
    <dsp:sp modelId="{5843786B-DDE6-41D3-9320-02802BDE36C0}">
      <dsp:nvSpPr>
        <dsp:cNvPr id="0" name=""/>
        <dsp:cNvSpPr/>
      </dsp:nvSpPr>
      <dsp:spPr>
        <a:xfrm>
          <a:off x="4299091" y="690532"/>
          <a:ext cx="434677" cy="434677"/>
        </a:xfrm>
        <a:prstGeom prst="ellipse">
          <a:avLst/>
        </a:prstGeom>
        <a:solidFill>
          <a:schemeClr val="accent1">
            <a:hueOff val="0"/>
            <a:satOff val="0"/>
            <a:lumOff val="0"/>
            <a:alphaOff val="0"/>
          </a:schemeClr>
        </a:solidFill>
        <a:ln w="12700" cap="flat" cmpd="sng" algn="ctr">
          <a:solidFill>
            <a:schemeClr val="lt1">
              <a:hueOff val="0"/>
              <a:satOff val="0"/>
              <a:lumOff val="0"/>
              <a:alphaOff val="0"/>
            </a:schemeClr>
          </a:solidFill>
          <a:prstDash val="solid"/>
          <a:miter lim="800000"/>
        </a:ln>
        <a:effectLst/>
      </dsp:spPr>
      <dsp:style>
        <a:lnRef idx="2">
          <a:scrgbClr r="0" g="0" b="0"/>
        </a:lnRef>
        <a:fillRef idx="1">
          <a:scrgbClr r="0" g="0" b="0"/>
        </a:fillRef>
        <a:effectRef idx="0">
          <a:scrgbClr r="0" g="0" b="0"/>
        </a:effectRef>
        <a:fontRef idx="minor">
          <a:schemeClr val="lt1"/>
        </a:fontRef>
      </dsp:style>
    </dsp:sp>
    <dsp:sp modelId="{414F91C6-8A99-47BC-869A-EA98AD24AFB8}">
      <dsp:nvSpPr>
        <dsp:cNvPr id="0" name=""/>
        <dsp:cNvSpPr/>
      </dsp:nvSpPr>
      <dsp:spPr>
        <a:xfrm>
          <a:off x="4516429" y="907871"/>
          <a:ext cx="1100449" cy="2531034"/>
        </a:xfrm>
        <a:prstGeom prst="rect">
          <a:avLst/>
        </a:prstGeom>
        <a:noFill/>
        <a:ln>
          <a:noFill/>
        </a:ln>
        <a:effectLst/>
      </dsp:spPr>
      <dsp:style>
        <a:lnRef idx="0">
          <a:scrgbClr r="0" g="0" b="0"/>
        </a:lnRef>
        <a:fillRef idx="0">
          <a:scrgbClr r="0" g="0" b="0"/>
        </a:fillRef>
        <a:effectRef idx="0">
          <a:scrgbClr r="0" g="0" b="0"/>
        </a:effectRef>
        <a:fontRef idx="minor"/>
      </dsp:style>
      <dsp:txBody>
        <a:bodyPr spcFirstLastPara="0" vert="horz" wrap="square" lIns="230327" tIns="0" rIns="0" bIns="0" numCol="1" spcCol="1270" anchor="t" anchorCtr="0">
          <a:noAutofit/>
        </a:bodyPr>
        <a:lstStyle/>
        <a:p>
          <a:pPr lvl="0" algn="l" defTabSz="488950">
            <a:lnSpc>
              <a:spcPct val="90000"/>
            </a:lnSpc>
            <a:spcBef>
              <a:spcPct val="0"/>
            </a:spcBef>
            <a:spcAft>
              <a:spcPct val="35000"/>
            </a:spcAft>
          </a:pPr>
          <a:r>
            <a:rPr lang="en-GB" sz="1100" b="1" kern="1200">
              <a:latin typeface="Arial" panose="020B0604020202020204" pitchFamily="34" charset="0"/>
              <a:cs typeface="Arial" panose="020B0604020202020204" pitchFamily="34" charset="0"/>
            </a:rPr>
            <a:t>Impacts:</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Relationships between industry &amp; academia</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Interdepartmental collaboration</a:t>
          </a:r>
        </a:p>
        <a:p>
          <a:pPr marL="57150" lvl="1" indent="-57150" algn="l" defTabSz="444500">
            <a:lnSpc>
              <a:spcPct val="90000"/>
            </a:lnSpc>
            <a:spcBef>
              <a:spcPct val="0"/>
            </a:spcBef>
            <a:spcAft>
              <a:spcPct val="15000"/>
            </a:spcAft>
            <a:buChar char="••"/>
          </a:pPr>
          <a:r>
            <a:rPr lang="en-GB" sz="1000" kern="1200">
              <a:latin typeface="Arial" panose="020B0604020202020204" pitchFamily="34" charset="0"/>
              <a:cs typeface="Arial" panose="020B0604020202020204" pitchFamily="34" charset="0"/>
            </a:rPr>
            <a:t>Progress in translational activities</a:t>
          </a:r>
        </a:p>
      </dsp:txBody>
      <dsp:txXfrm>
        <a:off x="4516429" y="907871"/>
        <a:ext cx="1100449" cy="2531034"/>
      </dsp:txXfrm>
    </dsp:sp>
  </dsp:spTree>
</dsp:drawing>
</file>

<file path=word/diagrams/layout1.xml><?xml version="1.0" encoding="utf-8"?>
<dgm:layoutDef xmlns:dgm="http://schemas.openxmlformats.org/drawingml/2006/diagram" xmlns:a="http://schemas.openxmlformats.org/drawingml/2006/main" uniqueId="urn:microsoft.com/office/officeart/2005/8/layout/arrow2">
  <dgm:title val=""/>
  <dgm:desc val=""/>
  <dgm:catLst>
    <dgm:cat type="process" pri="23000"/>
  </dgm:catLst>
  <dgm:sampData useDef="1">
    <dgm:dataModel>
      <dgm:ptLst/>
      <dgm:bg/>
      <dgm:whole/>
    </dgm:dataModel>
  </dgm:sampData>
  <dgm:styleData>
    <dgm:dataModel>
      <dgm:ptLst>
        <dgm:pt modelId="0" type="doc"/>
        <dgm:pt modelId="1"/>
        <dgm:pt modelId="2"/>
      </dgm:ptLst>
      <dgm:cxnLst>
        <dgm:cxn modelId="3" srcId="0" destId="1" srcOrd="0" destOrd="0"/>
        <dgm:cxn modelId="4" srcId="0" destId="2" srcOrd="1" destOrd="0"/>
      </dgm:cxnLst>
      <dgm:bg/>
      <dgm:whole/>
    </dgm:dataModel>
  </dgm:styleData>
  <dgm:clrData>
    <dgm:dataModel>
      <dgm:ptLst>
        <dgm:pt modelId="0" type="doc"/>
        <dgm:pt modelId="1"/>
        <dgm:pt modelId="2"/>
        <dgm:pt modelId="3"/>
        <dgm:pt modelId="4"/>
      </dgm:ptLst>
      <dgm:cxnLst>
        <dgm:cxn modelId="5" srcId="0" destId="1" srcOrd="0" destOrd="0"/>
        <dgm:cxn modelId="6" srcId="0" destId="2" srcOrd="1" destOrd="0"/>
        <dgm:cxn modelId="7" srcId="0" destId="3" srcOrd="2" destOrd="0"/>
        <dgm:cxn modelId="8" srcId="0" destId="4" srcOrd="3" destOrd="0"/>
      </dgm:cxnLst>
      <dgm:bg/>
      <dgm:whole/>
    </dgm:dataModel>
  </dgm:clrData>
  <dgm:layoutNode name="arrowDiagram">
    <dgm:varLst>
      <dgm:chMax val="5"/>
      <dgm:dir/>
      <dgm:resizeHandles val="exact"/>
    </dgm:varLst>
    <dgm:alg type="composite">
      <dgm:param type="ar" val="1.6"/>
    </dgm:alg>
    <dgm:shape xmlns:r="http://schemas.openxmlformats.org/officeDocument/2006/relationships" r:blip="">
      <dgm:adjLst/>
    </dgm:shape>
    <dgm:presOf/>
    <dgm:constrLst>
      <dgm:constr type="l" for="ch" forName="arrow"/>
      <dgm:constr type="t" for="ch" forName="arrow"/>
      <dgm:constr type="w" for="ch" forName="arrow" refType="w"/>
      <dgm:constr type="h" for="ch" forName="arrow" refType="h"/>
      <dgm:constr type="ctrX" for="ch" forName="arrowDiagram1" refType="w" fact="0.5"/>
      <dgm:constr type="ctrY" for="ch" forName="arrowDiagram1" refType="h" fact="0.5"/>
      <dgm:constr type="w" for="ch" forName="arrowDiagram1" refType="w"/>
      <dgm:constr type="h" for="ch" forName="arrowDiagram1" refType="h"/>
      <dgm:constr type="ctrX" for="ch" forName="arrowDiagram2" refType="w" fact="0.5"/>
      <dgm:constr type="ctrY" for="ch" forName="arrowDiagram2" refType="h" fact="0.5"/>
      <dgm:constr type="w" for="ch" forName="arrowDiagram2" refType="w"/>
      <dgm:constr type="h" for="ch" forName="arrowDiagram2" refType="h"/>
      <dgm:constr type="ctrX" for="ch" forName="arrowDiagram3" refType="w" fact="0.5"/>
      <dgm:constr type="ctrY" for="ch" forName="arrowDiagram3" refType="h" fact="0.5"/>
      <dgm:constr type="w" for="ch" forName="arrowDiagram3" refType="w"/>
      <dgm:constr type="h" for="ch" forName="arrowDiagram3" refType="h"/>
      <dgm:constr type="ctrX" for="ch" forName="arrowDiagram4" refType="w" fact="0.5"/>
      <dgm:constr type="ctrY" for="ch" forName="arrowDiagram4" refType="h" fact="0.5"/>
      <dgm:constr type="w" for="ch" forName="arrowDiagram4" refType="w"/>
      <dgm:constr type="h" for="ch" forName="arrowDiagram4" refType="h"/>
      <dgm:constr type="ctrX" for="ch" forName="arrowDiagram5" refType="w" fact="0.5"/>
      <dgm:constr type="ctrY" for="ch" forName="arrowDiagram5" refType="h" fact="0.5"/>
      <dgm:constr type="w" for="ch" forName="arrowDiagram5" refType="w"/>
      <dgm:constr type="h" for="ch" forName="arrowDiagram5" refType="h"/>
    </dgm:constrLst>
    <dgm:ruleLst/>
    <dgm:choose name="Name0">
      <dgm:if name="Name1" axis="ch" ptType="node" func="cnt" op="gte" val="1">
        <dgm:layoutNode name="arrow" styleLbl="bgShp">
          <dgm:alg type="sp"/>
          <dgm:shape xmlns:r="http://schemas.openxmlformats.org/officeDocument/2006/relationships" type="swooshArrow" r:blip="">
            <dgm:adjLst>
              <dgm:adj idx="2" val="0.25"/>
            </dgm:adjLst>
          </dgm:shape>
          <dgm:presOf/>
          <dgm:constrLst/>
          <dgm:ruleLst/>
        </dgm:layoutNode>
        <dgm:choose name="Name2">
          <dgm:if name="Name3" axis="ch" ptType="node" func="cnt" op="lt" val="1"/>
          <dgm:if name="Name4" axis="ch" ptType="node" func="cnt" op="equ" val="1">
            <dgm:layoutNode name="arrowDiagram1">
              <dgm:varLst>
                <dgm:bulletEnabled val="1"/>
              </dgm:varLst>
              <dgm:alg type="composite">
                <dgm:param type="vertAlign" val="none"/>
                <dgm:param type="horzAlign" val="none"/>
              </dgm:alg>
              <dgm:shape xmlns:r="http://schemas.openxmlformats.org/officeDocument/2006/relationships" r:blip="">
                <dgm:adjLst/>
              </dgm:shape>
              <dgm:presOf/>
              <dgm:constrLst>
                <dgm:constr type="ctrX" for="ch" forName="bullet1" refType="w" fact="0.8"/>
                <dgm:constr type="ctrY" for="ch" forName="bullet1" refType="h" fact="0.262"/>
                <dgm:constr type="w" for="ch" forName="bullet1" refType="w" fact="0.074"/>
                <dgm:constr type="h" for="ch" forName="bullet1" refType="w" refFor="ch" refForName="bullet1"/>
                <dgm:constr type="r" for="ch" forName="textBox1" refType="ctrX" refFor="ch" refForName="bullet1"/>
                <dgm:constr type="t" for="ch" forName="textBox1" refType="ctrY" refFor="ch" refForName="bullet1"/>
                <dgm:constr type="w" for="ch" forName="textBox1" refType="w" fact="0.4"/>
                <dgm:constr type="h" for="ch" forName="textBox1" refType="h" fact="0.738"/>
                <dgm:constr type="userA" refType="h" refFor="ch" refForName="bullet1" fact="0.53"/>
                <dgm:constr type="rMarg" for="ch" forName="textBox1" refType="userA" fact="2.834"/>
                <dgm:constr type="primFontSz" for="ch" ptType="node" op="equ" val="65"/>
              </dgm:constrLst>
              <dgm:ruleLst/>
              <dgm:forEach name="Name5" axis="ch" ptType="node" cnt="1">
                <dgm:layoutNode name="bullet1" styleLbl="node1">
                  <dgm:alg type="sp"/>
                  <dgm:shape xmlns:r="http://schemas.openxmlformats.org/officeDocument/2006/relationships" type="ellipse" r:blip="">
                    <dgm:adjLst/>
                  </dgm:shape>
                  <dgm:presOf/>
                  <dgm:constrLst/>
                  <dgm:ruleLst/>
                </dgm:layoutNode>
                <dgm:layoutNode name="textBox1" styleLbl="revTx">
                  <dgm:varLst>
                    <dgm:bulletEnabled val="1"/>
                  </dgm:varLst>
                  <dgm:alg type="tx">
                    <dgm:param type="txAnchorVert" val="t"/>
                    <dgm:param type="parTxLTRAlign" val="r"/>
                    <dgm:param type="parTxRTLAlign" val="r"/>
                  </dgm:alg>
                  <dgm:shape xmlns:r="http://schemas.openxmlformats.org/officeDocument/2006/relationships" type="round2DiagRect" r:blip="">
                    <dgm:adjLst/>
                  </dgm:shape>
                  <dgm:presOf axis="desOrSelf" ptType="node"/>
                  <dgm:constrLst>
                    <dgm:constr type="lMarg"/>
                    <dgm:constr type="tMarg"/>
                    <dgm:constr type="bMarg"/>
                  </dgm:constrLst>
                  <dgm:ruleLst>
                    <dgm:rule type="primFontSz" val="5" fact="NaN" max="NaN"/>
                  </dgm:ruleLst>
                </dgm:layoutNode>
              </dgm:forEach>
            </dgm:layoutNode>
          </dgm:if>
          <dgm:if name="Name6" axis="ch" ptType="node" func="cnt" op="equ" val="2">
            <dgm:layoutNode name="arrowDiagram2">
              <dgm:alg type="composite">
                <dgm:param type="vertAlign" val="none"/>
                <dgm:param type="horzAlign" val="none"/>
              </dgm:alg>
              <dgm:shape xmlns:r="http://schemas.openxmlformats.org/officeDocument/2006/relationships" r:blip="">
                <dgm:adjLst/>
              </dgm:shape>
              <dgm:presOf/>
              <dgm:choose name="Name7">
                <dgm:if name="Name8" func="var" arg="dir" op="equ" val="norm">
                  <dgm:constrLst>
                    <dgm:constr type="ctrX" for="ch" forName="bullet2a" refType="w" fact="0.25"/>
                    <dgm:constr type="ctrY" for="ch" forName="bullet2a" refType="h" fact="0.573"/>
                    <dgm:constr type="w" for="ch" forName="bullet2a" refType="w" fact="0.035"/>
                    <dgm:constr type="h" for="ch" forName="bullet2a" refType="w" refFor="ch" refForName="bullet2a"/>
                    <dgm:constr type="l" for="ch" forName="textBox2a" refType="ctrX" refFor="ch" refForName="bullet2a"/>
                    <dgm:constr type="t" for="ch" forName="textBox2a" refType="ctrY" refFor="ch" refForName="bullet2a"/>
                    <dgm:constr type="w" for="ch" forName="textBox2a" refType="w" fact="0.325"/>
                    <dgm:constr type="h" for="ch" forName="textBox2a" refType="h" fact="0.427"/>
                    <dgm:constr type="userA" refType="h" refFor="ch" refForName="bullet2a" fact="0.53"/>
                    <dgm:constr type="l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l" for="ch" forName="textBox2b" refType="ctrX" refFor="ch" refForName="bullet2b"/>
                    <dgm:constr type="t" for="ch" forName="textBox2b" refType="ctrY" refFor="ch" refForName="bullet2b"/>
                    <dgm:constr type="w" for="ch" forName="textBox2b" refType="w" fact="0.325"/>
                    <dgm:constr type="h" for="ch" forName="textBox2b" refType="h" fact="0.662"/>
                    <dgm:constr type="userB" refType="h" refFor="ch" refForName="bullet2b" fact="0.53"/>
                    <dgm:constr type="lMarg" for="ch" forName="textBox2b" refType="userB" fact="2.834"/>
                    <dgm:constr type="primFontSz" for="ch" ptType="node" op="equ" val="65"/>
                  </dgm:constrLst>
                </dgm:if>
                <dgm:else name="Name9">
                  <dgm:constrLst>
                    <dgm:constr type="ctrX" for="ch" forName="bullet2a" refType="w" fact="0.25"/>
                    <dgm:constr type="ctrY" for="ch" forName="bullet2a" refType="h" fact="0.573"/>
                    <dgm:constr type="w" for="ch" forName="bullet2a" refType="w" fact="0.035"/>
                    <dgm:constr type="h" for="ch" forName="bullet2a" refType="w" refFor="ch" refForName="bullet2a"/>
                    <dgm:constr type="r" for="ch" forName="textBox2a" refType="ctrX" refFor="ch" refForName="bullet2a"/>
                    <dgm:constr type="b" for="ch" forName="textBox2a" refType="ctrY" refFor="ch" refForName="bullet2a"/>
                    <dgm:constr type="w" for="ch" forName="textBox2a" refType="w" fact="0.25"/>
                    <dgm:constr type="h" for="ch" forName="textBox2a" refType="h" fact="0.573"/>
                    <dgm:constr type="userA" refType="h" refFor="ch" refForName="bullet2a" fact="0.53"/>
                    <dgm:constr type="rMarg" for="ch" forName="textBox2a" refType="userA" fact="2.834"/>
                    <dgm:constr type="ctrX" for="ch" forName="bullet2b" refType="w" fact="0.585"/>
                    <dgm:constr type="ctrY" for="ch" forName="bullet2b" refType="h" fact="0.338"/>
                    <dgm:constr type="w" for="ch" forName="bullet2b" refType="w" fact="0.06"/>
                    <dgm:constr type="h" for="ch" forName="bullet2b" refType="w" refFor="ch" refForName="bullet2b"/>
                    <dgm:constr type="r" for="ch" forName="textBox2b" refType="ctrX" refFor="ch" refForName="bullet2b"/>
                    <dgm:constr type="b" for="ch" forName="textBox2b" refType="ctrY" refFor="ch" refForName="bullet2b"/>
                    <dgm:constr type="w" for="ch" forName="textBox2b" refType="w" fact="0.28"/>
                    <dgm:constr type="h" for="ch" forName="textBox2b" refType="h" fact="0.338"/>
                    <dgm:constr type="userB" refType="h" refFor="ch" refForName="bullet2b" fact="0.53"/>
                    <dgm:constr type="rMarg" for="ch" forName="textBox2b" refType="userB" fact="2.834"/>
                    <dgm:constr type="primFontSz" for="ch" ptType="node" op="equ" val="65"/>
                  </dgm:constrLst>
                </dgm:else>
              </dgm:choose>
              <dgm:ruleLst/>
              <dgm:forEach name="Name10" axis="ch" ptType="node" cnt="1">
                <dgm:layoutNode name="bullet2a" styleLbl="node1">
                  <dgm:alg type="sp"/>
                  <dgm:shape xmlns:r="http://schemas.openxmlformats.org/officeDocument/2006/relationships" type="ellipse" r:blip="">
                    <dgm:adjLst/>
                  </dgm:shape>
                  <dgm:presOf/>
                  <dgm:constrLst/>
                  <dgm:ruleLst/>
                </dgm:layoutNode>
                <dgm:layoutNode name="textBox2a" styleLbl="revTx">
                  <dgm:varLst>
                    <dgm:bulletEnabled val="1"/>
                  </dgm:varLst>
                  <dgm:choose name="Name11">
                    <dgm:if name="Name12" func="var" arg="dir" op="equ" val="norm">
                      <dgm:choose name="Name13">
                        <dgm:if name="Name14" axis="root des" ptType="all node" func="maxDepth" op="gt" val="1">
                          <dgm:alg type="tx">
                            <dgm:param type="txAnchorVert" val="t"/>
                            <dgm:param type="parTxLTRAlign" val="l"/>
                            <dgm:param type="parTxRTLAlign" val="r"/>
                          </dgm:alg>
                        </dgm:if>
                        <dgm:else name="Name15">
                          <dgm:alg type="tx">
                            <dgm:param type="txAnchorVert" val="t"/>
                            <dgm:param type="parTxLTRAlign" val="l"/>
                            <dgm:param type="parTxRTLAlign" val="l"/>
                          </dgm:alg>
                        </dgm:else>
                      </dgm:choose>
                    </dgm:if>
                    <dgm:else name="Name16">
                      <dgm:choose name="Name17">
                        <dgm:if name="Name18" axis="root des" ptType="all node" func="maxDepth" op="gt" val="1">
                          <dgm:alg type="tx">
                            <dgm:param type="txAnchorVert" val="b"/>
                            <dgm:param type="txAnchorVertCh" val="b"/>
                            <dgm:param type="parTxLTRAlign" val="l"/>
                            <dgm:param type="parTxRTLAlign" val="r"/>
                          </dgm:alg>
                        </dgm:if>
                        <dgm:else name="Name1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
                    <dgm:if name="Name21" func="var" arg="dir" op="equ" val="norm">
                      <dgm:constrLst>
                        <dgm:constr type="rMarg"/>
                        <dgm:constr type="tMarg"/>
                        <dgm:constr type="bMarg"/>
                      </dgm:constrLst>
                    </dgm:if>
                    <dgm:else name="Name22">
                      <dgm:constrLst>
                        <dgm:constr type="lMarg"/>
                        <dgm:constr type="tMarg"/>
                        <dgm:constr type="bMarg"/>
                      </dgm:constrLst>
                    </dgm:else>
                  </dgm:choose>
                  <dgm:ruleLst>
                    <dgm:rule type="primFontSz" val="5" fact="NaN" max="NaN"/>
                  </dgm:ruleLst>
                </dgm:layoutNode>
              </dgm:forEach>
              <dgm:forEach name="Name23" axis="ch" ptType="node" st="2" cnt="1">
                <dgm:layoutNode name="bullet2b" styleLbl="node1">
                  <dgm:alg type="sp"/>
                  <dgm:shape xmlns:r="http://schemas.openxmlformats.org/officeDocument/2006/relationships" type="ellipse" r:blip="">
                    <dgm:adjLst/>
                  </dgm:shape>
                  <dgm:presOf/>
                  <dgm:constrLst/>
                  <dgm:ruleLst/>
                </dgm:layoutNode>
                <dgm:layoutNode name="textBox2b" styleLbl="revTx">
                  <dgm:varLst>
                    <dgm:bulletEnabled val="1"/>
                  </dgm:varLst>
                  <dgm:choose name="Name24">
                    <dgm:if name="Name25" func="var" arg="dir" op="equ" val="norm">
                      <dgm:choose name="Name26">
                        <dgm:if name="Name27" axis="root des" ptType="all node" func="maxDepth" op="gt" val="1">
                          <dgm:alg type="tx">
                            <dgm:param type="txAnchorVert" val="t"/>
                            <dgm:param type="parTxLTRAlign" val="l"/>
                            <dgm:param type="parTxRTLAlign" val="r"/>
                          </dgm:alg>
                        </dgm:if>
                        <dgm:else name="Name28">
                          <dgm:alg type="tx">
                            <dgm:param type="txAnchorVert" val="t"/>
                            <dgm:param type="parTxLTRAlign" val="l"/>
                            <dgm:param type="parTxRTLAlign" val="l"/>
                          </dgm:alg>
                        </dgm:else>
                      </dgm:choose>
                    </dgm:if>
                    <dgm:else name="Name29">
                      <dgm:choose name="Name30">
                        <dgm:if name="Name31" axis="root des" ptType="all node" func="maxDepth" op="gt" val="1">
                          <dgm:alg type="tx">
                            <dgm:param type="txAnchorVert" val="b"/>
                            <dgm:param type="txAnchorVertCh" val="b"/>
                            <dgm:param type="parTxLTRAlign" val="l"/>
                            <dgm:param type="parTxRTLAlign" val="r"/>
                          </dgm:alg>
                        </dgm:if>
                        <dgm:else name="Name3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33">
                    <dgm:if name="Name34" func="var" arg="dir" op="equ" val="norm">
                      <dgm:constrLst>
                        <dgm:constr type="rMarg"/>
                        <dgm:constr type="tMarg"/>
                        <dgm:constr type="bMarg"/>
                      </dgm:constrLst>
                    </dgm:if>
                    <dgm:else name="Name35">
                      <dgm:constrLst>
                        <dgm:constr type="lMarg"/>
                        <dgm:constr type="tMarg"/>
                        <dgm:constr type="bMarg"/>
                      </dgm:constrLst>
                    </dgm:else>
                  </dgm:choose>
                  <dgm:ruleLst>
                    <dgm:rule type="primFontSz" val="5" fact="NaN" max="NaN"/>
                  </dgm:ruleLst>
                </dgm:layoutNode>
              </dgm:forEach>
            </dgm:layoutNode>
          </dgm:if>
          <dgm:if name="Name36" axis="ch" ptType="node" func="cnt" op="equ" val="3">
            <dgm:layoutNode name="arrowDiagram3">
              <dgm:alg type="composite">
                <dgm:param type="vertAlign" val="none"/>
                <dgm:param type="horzAlign" val="none"/>
              </dgm:alg>
              <dgm:shape xmlns:r="http://schemas.openxmlformats.org/officeDocument/2006/relationships" r:blip="">
                <dgm:adjLst/>
              </dgm:shape>
              <dgm:presOf/>
              <dgm:choose name="Name37">
                <dgm:if name="Name38" func="var" arg="dir" op="equ" val="norm">
                  <dgm:constrLst>
                    <dgm:constr type="ctrX" for="ch" forName="bullet3a" refType="w" fact="0.14"/>
                    <dgm:constr type="ctrY" for="ch" forName="bullet3a" refType="h" fact="0.711"/>
                    <dgm:constr type="w" for="ch" forName="bullet3a" refType="w" fact="0.026"/>
                    <dgm:constr type="h" for="ch" forName="bullet3a" refType="w" refFor="ch" refForName="bullet3a"/>
                    <dgm:constr type="l" for="ch" forName="textBox3a" refType="ctrX" refFor="ch" refForName="bullet3a"/>
                    <dgm:constr type="t" for="ch" forName="textBox3a" refType="ctrY" refFor="ch" refForName="bullet3a"/>
                    <dgm:constr type="w" for="ch" forName="textBox3a" refType="w" fact="0.233"/>
                    <dgm:constr type="h" for="ch" forName="textBox3a" refType="h" fact="0.289"/>
                    <dgm:constr type="userA" refType="h" refFor="ch" refForName="bullet3a" fact="0.53"/>
                    <dgm:constr type="l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l" for="ch" forName="textBox3b" refType="ctrX" refFor="ch" refForName="bullet3b"/>
                    <dgm:constr type="t" for="ch" forName="textBox3b" refType="ctrY" refFor="ch" refForName="bullet3b"/>
                    <dgm:constr type="w" for="ch" forName="textBox3b" refType="w" fact="0.24"/>
                    <dgm:constr type="h" for="ch" forName="textBox3b" refType="h" fact="0.544"/>
                    <dgm:constr type="userB" refType="h" refFor="ch" refForName="bullet3b" fact="0.53"/>
                    <dgm:constr type="l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l" for="ch" forName="textBox3c" refType="ctrX" refFor="ch" refForName="bullet3c"/>
                    <dgm:constr type="t" for="ch" forName="textBox3c" refType="ctrY" refFor="ch" refForName="bullet3c"/>
                    <dgm:constr type="w" for="ch" forName="textBox3c" refType="w" fact="0.24"/>
                    <dgm:constr type="h" for="ch" forName="textBox3c" refType="h" fact="0.695"/>
                    <dgm:constr type="userC" refType="h" refFor="ch" refForName="bullet3c" fact="0.53"/>
                    <dgm:constr type="lMarg" for="ch" forName="textBox3c" refType="userC" fact="2.834"/>
                    <dgm:constr type="primFontSz" for="ch" ptType="node" op="equ" val="65"/>
                  </dgm:constrLst>
                </dgm:if>
                <dgm:else name="Name39">
                  <dgm:constrLst>
                    <dgm:constr type="ctrX" for="ch" forName="bullet3a" refType="w" fact="0.14"/>
                    <dgm:constr type="ctrY" for="ch" forName="bullet3a" refType="h" fact="0.711"/>
                    <dgm:constr type="w" for="ch" forName="bullet3a" refType="w" fact="0.026"/>
                    <dgm:constr type="h" for="ch" forName="bullet3a" refType="w" refFor="ch" refForName="bullet3a"/>
                    <dgm:constr type="r" for="ch" forName="textBox3a" refType="ctrX" refFor="ch" refForName="bullet3a"/>
                    <dgm:constr type="b" for="ch" forName="textBox3a" refType="ctrY" refFor="ch" refForName="bullet3a"/>
                    <dgm:constr type="w" for="ch" forName="textBox3a" refType="w" fact="0.14"/>
                    <dgm:constr type="h" for="ch" forName="textBox3a" refType="h" fact="0.711"/>
                    <dgm:constr type="userA" refType="h" refFor="ch" refForName="bullet3a" fact="0.53"/>
                    <dgm:constr type="rMarg" for="ch" forName="textBox3a" refType="userA" fact="2.834"/>
                    <dgm:constr type="ctrX" for="ch" forName="bullet3b" refType="w" fact="0.38"/>
                    <dgm:constr type="ctrY" for="ch" forName="bullet3b" refType="h" fact="0.456"/>
                    <dgm:constr type="w" for="ch" forName="bullet3b" refType="w" fact="0.047"/>
                    <dgm:constr type="h" for="ch" forName="bullet3b" refType="w" refFor="ch" refForName="bullet3b"/>
                    <dgm:constr type="r" for="ch" forName="textBox3b" refType="ctrX" refFor="ch" refForName="bullet3b"/>
                    <dgm:constr type="b" for="ch" forName="textBox3b" refType="ctrY" refFor="ch" refForName="bullet3b"/>
                    <dgm:constr type="w" for="ch" forName="textBox3b" refType="w" fact="0.24"/>
                    <dgm:constr type="h" for="ch" forName="textBox3b" refType="h" fact="0.456"/>
                    <dgm:constr type="userB" refType="h" refFor="ch" refForName="bullet3b" fact="0.53"/>
                    <dgm:constr type="rMarg" for="ch" forName="textBox3b" refType="userB" fact="2.834"/>
                    <dgm:constr type="ctrX" for="ch" forName="bullet3c" refType="w" fact="0.665"/>
                    <dgm:constr type="ctrY" for="ch" forName="bullet3c" refType="h" fact="0.305"/>
                    <dgm:constr type="w" for="ch" forName="bullet3c" refType="w" fact="0.065"/>
                    <dgm:constr type="h" for="ch" forName="bullet3c" refType="w" refFor="ch" refForName="bullet3c"/>
                    <dgm:constr type="r" for="ch" forName="textBox3c" refType="ctrX" refFor="ch" refForName="bullet3c"/>
                    <dgm:constr type="b" for="ch" forName="textBox3c" refType="ctrY" refFor="ch" refForName="bullet3c"/>
                    <dgm:constr type="w" for="ch" forName="textBox3c" refType="w" fact="0.24"/>
                    <dgm:constr type="h" for="ch" forName="textBox3c" refType="h" fact="0.305"/>
                    <dgm:constr type="userC" refType="h" refFor="ch" refForName="bullet3c" fact="0.53"/>
                    <dgm:constr type="rMarg" for="ch" forName="textBox3c" refType="userC" fact="2.834"/>
                    <dgm:constr type="primFontSz" for="ch" ptType="node" op="equ" val="65"/>
                  </dgm:constrLst>
                </dgm:else>
              </dgm:choose>
              <dgm:ruleLst/>
              <dgm:forEach name="Name40" axis="ch" ptType="node" cnt="1">
                <dgm:layoutNode name="bullet3a" styleLbl="node1">
                  <dgm:alg type="sp"/>
                  <dgm:shape xmlns:r="http://schemas.openxmlformats.org/officeDocument/2006/relationships" type="ellipse" r:blip="">
                    <dgm:adjLst/>
                  </dgm:shape>
                  <dgm:presOf/>
                  <dgm:constrLst/>
                  <dgm:ruleLst/>
                </dgm:layoutNode>
                <dgm:layoutNode name="textBox3a" styleLbl="revTx">
                  <dgm:varLst>
                    <dgm:bulletEnabled val="1"/>
                  </dgm:varLst>
                  <dgm:choose name="Name41">
                    <dgm:if name="Name42" func="var" arg="dir" op="equ" val="norm">
                      <dgm:choose name="Name43">
                        <dgm:if name="Name44" axis="root des" ptType="all node" func="maxDepth" op="gt" val="1">
                          <dgm:alg type="tx">
                            <dgm:param type="txAnchorVert" val="t"/>
                            <dgm:param type="parTxLTRAlign" val="l"/>
                            <dgm:param type="parTxRTLAlign" val="r"/>
                          </dgm:alg>
                        </dgm:if>
                        <dgm:else name="Name45">
                          <dgm:alg type="tx">
                            <dgm:param type="txAnchorVert" val="t"/>
                            <dgm:param type="parTxLTRAlign" val="l"/>
                            <dgm:param type="parTxRTLAlign" val="l"/>
                          </dgm:alg>
                        </dgm:else>
                      </dgm:choose>
                    </dgm:if>
                    <dgm:else name="Name46">
                      <dgm:choose name="Name47">
                        <dgm:if name="Name48" axis="root des" ptType="all node" func="maxDepth" op="gt" val="1">
                          <dgm:alg type="tx">
                            <dgm:param type="txAnchorVert" val="b"/>
                            <dgm:param type="txAnchorVertCh" val="b"/>
                            <dgm:param type="parTxLTRAlign" val="l"/>
                            <dgm:param type="parTxRTLAlign" val="r"/>
                          </dgm:alg>
                        </dgm:if>
                        <dgm:else name="Name49">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50">
                    <dgm:if name="Name51" func="var" arg="dir" op="equ" val="norm">
                      <dgm:constrLst>
                        <dgm:constr type="rMarg"/>
                        <dgm:constr type="tMarg"/>
                        <dgm:constr type="bMarg"/>
                      </dgm:constrLst>
                    </dgm:if>
                    <dgm:else name="Name52">
                      <dgm:constrLst>
                        <dgm:constr type="lMarg"/>
                        <dgm:constr type="tMarg"/>
                        <dgm:constr type="bMarg"/>
                      </dgm:constrLst>
                    </dgm:else>
                  </dgm:choose>
                  <dgm:ruleLst>
                    <dgm:rule type="primFontSz" val="5" fact="NaN" max="NaN"/>
                  </dgm:ruleLst>
                </dgm:layoutNode>
              </dgm:forEach>
              <dgm:forEach name="Name53" axis="ch" ptType="node" st="2" cnt="1">
                <dgm:layoutNode name="bullet3b" styleLbl="node1">
                  <dgm:alg type="sp"/>
                  <dgm:shape xmlns:r="http://schemas.openxmlformats.org/officeDocument/2006/relationships" type="ellipse" r:blip="">
                    <dgm:adjLst/>
                  </dgm:shape>
                  <dgm:presOf/>
                  <dgm:constrLst/>
                  <dgm:ruleLst/>
                </dgm:layoutNode>
                <dgm:layoutNode name="textBox3b" styleLbl="revTx">
                  <dgm:varLst>
                    <dgm:bulletEnabled val="1"/>
                  </dgm:varLst>
                  <dgm:choose name="Name54">
                    <dgm:if name="Name55" func="var" arg="dir" op="equ" val="norm">
                      <dgm:choose name="Name56">
                        <dgm:if name="Name57" axis="root des" ptType="all node" func="maxDepth" op="gt" val="1">
                          <dgm:alg type="tx">
                            <dgm:param type="txAnchorVert" val="t"/>
                            <dgm:param type="parTxLTRAlign" val="l"/>
                            <dgm:param type="parTxRTLAlign" val="r"/>
                          </dgm:alg>
                        </dgm:if>
                        <dgm:else name="Name58">
                          <dgm:alg type="tx">
                            <dgm:param type="txAnchorVert" val="t"/>
                            <dgm:param type="parTxLTRAlign" val="l"/>
                            <dgm:param type="parTxRTLAlign" val="l"/>
                          </dgm:alg>
                        </dgm:else>
                      </dgm:choose>
                    </dgm:if>
                    <dgm:else name="Name59">
                      <dgm:choose name="Name60">
                        <dgm:if name="Name61" axis="root des" ptType="all node" func="maxDepth" op="gt" val="1">
                          <dgm:alg type="tx">
                            <dgm:param type="txAnchorVert" val="b"/>
                            <dgm:param type="txAnchorVertCh" val="b"/>
                            <dgm:param type="parTxLTRAlign" val="l"/>
                            <dgm:param type="parTxRTLAlign" val="r"/>
                          </dgm:alg>
                        </dgm:if>
                        <dgm:else name="Name6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63">
                    <dgm:if name="Name64" func="var" arg="dir" op="equ" val="norm">
                      <dgm:constrLst>
                        <dgm:constr type="rMarg"/>
                        <dgm:constr type="tMarg"/>
                        <dgm:constr type="bMarg"/>
                      </dgm:constrLst>
                    </dgm:if>
                    <dgm:else name="Name65">
                      <dgm:constrLst>
                        <dgm:constr type="lMarg"/>
                        <dgm:constr type="tMarg"/>
                        <dgm:constr type="bMarg"/>
                      </dgm:constrLst>
                    </dgm:else>
                  </dgm:choose>
                  <dgm:ruleLst>
                    <dgm:rule type="primFontSz" val="5" fact="NaN" max="NaN"/>
                  </dgm:ruleLst>
                </dgm:layoutNode>
              </dgm:forEach>
              <dgm:forEach name="Name66" axis="ch" ptType="node" st="3" cnt="1">
                <dgm:layoutNode name="bullet3c" styleLbl="node1">
                  <dgm:alg type="sp"/>
                  <dgm:shape xmlns:r="http://schemas.openxmlformats.org/officeDocument/2006/relationships" type="ellipse" r:blip="">
                    <dgm:adjLst/>
                  </dgm:shape>
                  <dgm:presOf/>
                  <dgm:constrLst/>
                  <dgm:ruleLst/>
                </dgm:layoutNode>
                <dgm:layoutNode name="textBox3c" styleLbl="revTx">
                  <dgm:varLst>
                    <dgm:bulletEnabled val="1"/>
                  </dgm:varLst>
                  <dgm:choose name="Name67">
                    <dgm:if name="Name68" func="var" arg="dir" op="equ" val="norm">
                      <dgm:choose name="Name69">
                        <dgm:if name="Name70" axis="root des" ptType="all node" func="maxDepth" op="gt" val="1">
                          <dgm:alg type="tx">
                            <dgm:param type="txAnchorVert" val="t"/>
                            <dgm:param type="parTxLTRAlign" val="l"/>
                            <dgm:param type="parTxRTLAlign" val="r"/>
                          </dgm:alg>
                        </dgm:if>
                        <dgm:else name="Name71">
                          <dgm:alg type="tx">
                            <dgm:param type="txAnchorVert" val="t"/>
                            <dgm:param type="parTxLTRAlign" val="l"/>
                            <dgm:param type="parTxRTLAlign" val="l"/>
                          </dgm:alg>
                        </dgm:else>
                      </dgm:choose>
                    </dgm:if>
                    <dgm:else name="Name72">
                      <dgm:choose name="Name73">
                        <dgm:if name="Name74" axis="root des" ptType="all node" func="maxDepth" op="gt" val="1">
                          <dgm:alg type="tx">
                            <dgm:param type="txAnchorVert" val="b"/>
                            <dgm:param type="txAnchorVertCh" val="b"/>
                            <dgm:param type="parTxLTRAlign" val="l"/>
                            <dgm:param type="parTxRTLAlign" val="r"/>
                          </dgm:alg>
                        </dgm:if>
                        <dgm:else name="Name7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76">
                    <dgm:if name="Name77" func="var" arg="dir" op="equ" val="norm">
                      <dgm:constrLst>
                        <dgm:constr type="rMarg"/>
                        <dgm:constr type="tMarg"/>
                        <dgm:constr type="bMarg"/>
                      </dgm:constrLst>
                    </dgm:if>
                    <dgm:else name="Name78">
                      <dgm:constrLst>
                        <dgm:constr type="lMarg"/>
                        <dgm:constr type="tMarg"/>
                        <dgm:constr type="bMarg"/>
                      </dgm:constrLst>
                    </dgm:else>
                  </dgm:choose>
                  <dgm:ruleLst>
                    <dgm:rule type="primFontSz" val="5" fact="NaN" max="NaN"/>
                  </dgm:ruleLst>
                </dgm:layoutNode>
              </dgm:forEach>
            </dgm:layoutNode>
          </dgm:if>
          <dgm:if name="Name79" axis="ch" ptType="node" func="cnt" op="equ" val="4">
            <dgm:layoutNode name="arrowDiagram4">
              <dgm:alg type="composite">
                <dgm:param type="vertAlign" val="none"/>
                <dgm:param type="horzAlign" val="none"/>
              </dgm:alg>
              <dgm:shape xmlns:r="http://schemas.openxmlformats.org/officeDocument/2006/relationships" r:blip="">
                <dgm:adjLst/>
              </dgm:shape>
              <dgm:presOf/>
              <dgm:choose name="Name80">
                <dgm:if name="Name81" func="var" arg="dir" op="equ" val="norm">
                  <dgm:constrLst>
                    <dgm:constr type="ctrX" for="ch" forName="bullet4a" refType="w" fact="0.11"/>
                    <dgm:constr type="ctrY" for="ch" forName="bullet4a" refType="h" fact="0.762"/>
                    <dgm:constr type="w" for="ch" forName="bullet4a" refType="w" fact="0.023"/>
                    <dgm:constr type="h" for="ch" forName="bullet4a" refType="w" refFor="ch" refForName="bullet4a"/>
                    <dgm:constr type="l" for="ch" forName="textBox4a" refType="ctrX" refFor="ch" refForName="bullet4a"/>
                    <dgm:constr type="t" for="ch" forName="textBox4a" refType="ctrY" refFor="ch" refForName="bullet4a"/>
                    <dgm:constr type="w" for="ch" forName="textBox4a" refType="w" fact="0.171"/>
                    <dgm:constr type="h" for="ch" forName="textBox4a" refType="h" fact="0.238"/>
                    <dgm:constr type="userA" refType="h" refFor="ch" refForName="bullet4a" fact="0.53"/>
                    <dgm:constr type="l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l" for="ch" forName="textBox4b" refType="ctrX" refFor="ch" refForName="bullet4b"/>
                    <dgm:constr type="t" for="ch" forName="textBox4b" refType="ctrY" refFor="ch" refForName="bullet4b"/>
                    <dgm:constr type="w" for="ch" forName="textBox4b" refType="w" fact="0.21"/>
                    <dgm:constr type="h" for="ch" forName="textBox4b" refType="h" fact="0.457"/>
                    <dgm:constr type="userB" refType="h" refFor="ch" refForName="bullet4b" fact="0.53"/>
                    <dgm:constr type="l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l" for="ch" forName="textBox4c" refType="ctrX" refFor="ch" refForName="bullet4c"/>
                    <dgm:constr type="t" for="ch" forName="textBox4c" refType="ctrY" refFor="ch" refForName="bullet4c"/>
                    <dgm:constr type="w" for="ch" forName="textBox4c" refType="w" fact="0.21"/>
                    <dgm:constr type="h" for="ch" forName="textBox4c" refType="h" fact="0.618"/>
                    <dgm:constr type="userC" refType="h" refFor="ch" refForName="bullet4c" fact="0.53"/>
                    <dgm:constr type="l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l" for="ch" forName="textBox4d" refType="ctrX" refFor="ch" refForName="bullet4d"/>
                    <dgm:constr type="t" for="ch" forName="textBox4d" refType="ctrY" refFor="ch" refForName="bullet4d"/>
                    <dgm:constr type="w" for="ch" forName="textBox4d" refType="w" fact="0.21"/>
                    <dgm:constr type="h" for="ch" forName="textBox4d" refType="h" fact="0.717"/>
                    <dgm:constr type="userD" refType="h" refFor="ch" refForName="bullet4d" fact="0.53"/>
                    <dgm:constr type="lMarg" for="ch" forName="textBox4d" refType="userD" fact="2.834"/>
                    <dgm:constr type="primFontSz" for="ch" ptType="node" op="equ" val="65"/>
                  </dgm:constrLst>
                </dgm:if>
                <dgm:else name="Name82">
                  <dgm:constrLst>
                    <dgm:constr type="ctrX" for="ch" forName="bullet4a" refType="w" fact="0.11"/>
                    <dgm:constr type="ctrY" for="ch" forName="bullet4a" refType="h" fact="0.762"/>
                    <dgm:constr type="w" for="ch" forName="bullet4a" refType="w" fact="0.023"/>
                    <dgm:constr type="h" for="ch" forName="bullet4a" refType="w" refFor="ch" refForName="bullet4a"/>
                    <dgm:constr type="r" for="ch" forName="textBox4a" refType="ctrX" refFor="ch" refForName="bullet4a"/>
                    <dgm:constr type="b" for="ch" forName="textBox4a" refType="ctrY" refFor="ch" refForName="bullet4a"/>
                    <dgm:constr type="w" for="ch" forName="textBox4a" refType="w" fact="0.11"/>
                    <dgm:constr type="h" for="ch" forName="textBox4a" refType="h" fact="0.762"/>
                    <dgm:constr type="userA" refType="h" refFor="ch" refForName="bullet4a" fact="0.53"/>
                    <dgm:constr type="rMarg" for="ch" forName="textBox4a" refType="userA" fact="2.834"/>
                    <dgm:constr type="ctrX" for="ch" forName="bullet4b" refType="w" fact="0.281"/>
                    <dgm:constr type="ctrY" for="ch" forName="bullet4b" refType="h" fact="0.543"/>
                    <dgm:constr type="w" for="ch" forName="bullet4b" refType="w" fact="0.04"/>
                    <dgm:constr type="h" for="ch" forName="bullet4b" refType="w" refFor="ch" refForName="bullet4b"/>
                    <dgm:constr type="r" for="ch" forName="textBox4b" refType="ctrX" refFor="ch" refForName="bullet4b"/>
                    <dgm:constr type="b" for="ch" forName="textBox4b" refType="ctrY" refFor="ch" refForName="bullet4b"/>
                    <dgm:constr type="w" for="ch" forName="textBox4b" refType="w" fact="0.171"/>
                    <dgm:constr type="h" for="ch" forName="textBox4b" refType="h" fact="0.543"/>
                    <dgm:constr type="userB" refType="h" refFor="ch" refForName="bullet4b" fact="0.53"/>
                    <dgm:constr type="rMarg" for="ch" forName="textBox4b" refType="userB" fact="2.834"/>
                    <dgm:constr type="ctrX" for="ch" forName="bullet4c" refType="w" fact="0.495"/>
                    <dgm:constr type="ctrY" for="ch" forName="bullet4c" refType="h" fact="0.382"/>
                    <dgm:constr type="w" for="ch" forName="bullet4c" refType="w" fact="0.053"/>
                    <dgm:constr type="h" for="ch" forName="bullet4c" refType="w" refFor="ch" refForName="bullet4c"/>
                    <dgm:constr type="r" for="ch" forName="textBox4c" refType="ctrX" refFor="ch" refForName="bullet4c"/>
                    <dgm:constr type="b" for="ch" forName="textBox4c" refType="ctrY" refFor="ch" refForName="bullet4c"/>
                    <dgm:constr type="w" for="ch" forName="textBox4c" refType="w" fact="0.21"/>
                    <dgm:constr type="h" for="ch" forName="textBox4c" refType="h" fact="0.382"/>
                    <dgm:constr type="userC" refType="h" refFor="ch" refForName="bullet4c" fact="0.53"/>
                    <dgm:constr type="rMarg" for="ch" forName="textBox4c" refType="userC" fact="2.834"/>
                    <dgm:constr type="ctrX" for="ch" forName="bullet4d" refType="w" fact="0.73"/>
                    <dgm:constr type="ctrY" for="ch" forName="bullet4d" refType="h" fact="0.283"/>
                    <dgm:constr type="w" for="ch" forName="bullet4d" refType="w" fact="0.071"/>
                    <dgm:constr type="h" for="ch" forName="bullet4d" refType="w" refFor="ch" refForName="bullet4d"/>
                    <dgm:constr type="r" for="ch" forName="textBox4d" refType="ctrX" refFor="ch" refForName="bullet4d"/>
                    <dgm:constr type="b" for="ch" forName="textBox4d" refType="ctrY" refFor="ch" refForName="bullet4d"/>
                    <dgm:constr type="w" for="ch" forName="textBox4d" refType="w" fact="0.21"/>
                    <dgm:constr type="h" for="ch" forName="textBox4d" refType="h" fact="0.283"/>
                    <dgm:constr type="userD" refType="h" refFor="ch" refForName="bullet4d" fact="0.53"/>
                    <dgm:constr type="rMarg" for="ch" forName="textBox4d" refType="userD" fact="2.834"/>
                    <dgm:constr type="primFontSz" for="ch" ptType="node" op="equ" val="65"/>
                  </dgm:constrLst>
                </dgm:else>
              </dgm:choose>
              <dgm:ruleLst/>
              <dgm:forEach name="Name83" axis="ch" ptType="node" cnt="1">
                <dgm:layoutNode name="bullet4a" styleLbl="node1">
                  <dgm:alg type="sp"/>
                  <dgm:shape xmlns:r="http://schemas.openxmlformats.org/officeDocument/2006/relationships" type="ellipse" r:blip="">
                    <dgm:adjLst/>
                  </dgm:shape>
                  <dgm:presOf/>
                  <dgm:constrLst/>
                  <dgm:ruleLst/>
                </dgm:layoutNode>
                <dgm:layoutNode name="textBox4a" styleLbl="revTx">
                  <dgm:varLst>
                    <dgm:bulletEnabled val="1"/>
                  </dgm:varLst>
                  <dgm:choose name="Name84">
                    <dgm:if name="Name85" func="var" arg="dir" op="equ" val="norm">
                      <dgm:choose name="Name86">
                        <dgm:if name="Name87" axis="root des" ptType="all node" func="maxDepth" op="gt" val="1">
                          <dgm:alg type="tx">
                            <dgm:param type="txAnchorVert" val="t"/>
                            <dgm:param type="parTxLTRAlign" val="l"/>
                            <dgm:param type="parTxRTLAlign" val="r"/>
                          </dgm:alg>
                        </dgm:if>
                        <dgm:else name="Name88">
                          <dgm:alg type="tx">
                            <dgm:param type="txAnchorVert" val="t"/>
                            <dgm:param type="parTxLTRAlign" val="l"/>
                            <dgm:param type="parTxRTLAlign" val="l"/>
                          </dgm:alg>
                        </dgm:else>
                      </dgm:choose>
                    </dgm:if>
                    <dgm:else name="Name89">
                      <dgm:choose name="Name90">
                        <dgm:if name="Name91" axis="root des" ptType="all node" func="maxDepth" op="gt" val="1">
                          <dgm:alg type="tx">
                            <dgm:param type="txAnchorVert" val="b"/>
                            <dgm:param type="txAnchorVertCh" val="b"/>
                            <dgm:param type="parTxLTRAlign" val="l"/>
                            <dgm:param type="parTxRTLAlign" val="r"/>
                          </dgm:alg>
                        </dgm:if>
                        <dgm:else name="Name92">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93">
                    <dgm:if name="Name94" func="var" arg="dir" op="equ" val="norm">
                      <dgm:constrLst>
                        <dgm:constr type="rMarg"/>
                        <dgm:constr type="tMarg"/>
                        <dgm:constr type="bMarg"/>
                      </dgm:constrLst>
                    </dgm:if>
                    <dgm:else name="Name95">
                      <dgm:constrLst>
                        <dgm:constr type="lMarg"/>
                        <dgm:constr type="tMarg"/>
                        <dgm:constr type="bMarg"/>
                      </dgm:constrLst>
                    </dgm:else>
                  </dgm:choose>
                  <dgm:ruleLst>
                    <dgm:rule type="primFontSz" val="5" fact="NaN" max="NaN"/>
                  </dgm:ruleLst>
                </dgm:layoutNode>
              </dgm:forEach>
              <dgm:forEach name="Name96" axis="ch" ptType="node" st="2" cnt="1">
                <dgm:layoutNode name="bullet4b" styleLbl="node1">
                  <dgm:alg type="sp"/>
                  <dgm:shape xmlns:r="http://schemas.openxmlformats.org/officeDocument/2006/relationships" type="ellipse" r:blip="">
                    <dgm:adjLst/>
                  </dgm:shape>
                  <dgm:presOf/>
                  <dgm:constrLst/>
                  <dgm:ruleLst/>
                </dgm:layoutNode>
                <dgm:layoutNode name="textBox4b" styleLbl="revTx">
                  <dgm:varLst>
                    <dgm:bulletEnabled val="1"/>
                  </dgm:varLst>
                  <dgm:choose name="Name97">
                    <dgm:if name="Name98" func="var" arg="dir" op="equ" val="norm">
                      <dgm:choose name="Name99">
                        <dgm:if name="Name100" axis="root des" ptType="all node" func="maxDepth" op="gt" val="1">
                          <dgm:alg type="tx">
                            <dgm:param type="txAnchorVert" val="t"/>
                            <dgm:param type="parTxLTRAlign" val="l"/>
                            <dgm:param type="parTxRTLAlign" val="r"/>
                          </dgm:alg>
                        </dgm:if>
                        <dgm:else name="Name101">
                          <dgm:alg type="tx">
                            <dgm:param type="txAnchorVert" val="t"/>
                            <dgm:param type="parTxLTRAlign" val="l"/>
                            <dgm:param type="parTxRTLAlign" val="l"/>
                          </dgm:alg>
                        </dgm:else>
                      </dgm:choose>
                    </dgm:if>
                    <dgm:else name="Name102">
                      <dgm:choose name="Name103">
                        <dgm:if name="Name104" axis="root des" ptType="all node" func="maxDepth" op="gt" val="1">
                          <dgm:alg type="tx">
                            <dgm:param type="txAnchorVert" val="b"/>
                            <dgm:param type="txAnchorVertCh" val="b"/>
                            <dgm:param type="parTxLTRAlign" val="l"/>
                            <dgm:param type="parTxRTLAlign" val="r"/>
                          </dgm:alg>
                        </dgm:if>
                        <dgm:else name="Name105">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06">
                    <dgm:if name="Name107" func="var" arg="dir" op="equ" val="norm">
                      <dgm:constrLst>
                        <dgm:constr type="rMarg"/>
                        <dgm:constr type="tMarg"/>
                        <dgm:constr type="bMarg"/>
                      </dgm:constrLst>
                    </dgm:if>
                    <dgm:else name="Name108">
                      <dgm:constrLst>
                        <dgm:constr type="lMarg"/>
                        <dgm:constr type="tMarg"/>
                        <dgm:constr type="bMarg"/>
                      </dgm:constrLst>
                    </dgm:else>
                  </dgm:choose>
                  <dgm:ruleLst>
                    <dgm:rule type="primFontSz" val="5" fact="NaN" max="NaN"/>
                  </dgm:ruleLst>
                </dgm:layoutNode>
              </dgm:forEach>
              <dgm:forEach name="Name109" axis="ch" ptType="node" st="3" cnt="1">
                <dgm:layoutNode name="bullet4c" styleLbl="node1">
                  <dgm:alg type="sp"/>
                  <dgm:shape xmlns:r="http://schemas.openxmlformats.org/officeDocument/2006/relationships" type="ellipse" r:blip="">
                    <dgm:adjLst/>
                  </dgm:shape>
                  <dgm:presOf/>
                  <dgm:constrLst/>
                  <dgm:ruleLst/>
                </dgm:layoutNode>
                <dgm:layoutNode name="textBox4c" styleLbl="revTx">
                  <dgm:varLst>
                    <dgm:bulletEnabled val="1"/>
                  </dgm:varLst>
                  <dgm:choose name="Name110">
                    <dgm:if name="Name111" func="var" arg="dir" op="equ" val="norm">
                      <dgm:choose name="Name112">
                        <dgm:if name="Name113" axis="root des" ptType="all node" func="maxDepth" op="gt" val="1">
                          <dgm:alg type="tx">
                            <dgm:param type="txAnchorVert" val="t"/>
                            <dgm:param type="parTxLTRAlign" val="l"/>
                            <dgm:param type="parTxRTLAlign" val="r"/>
                          </dgm:alg>
                        </dgm:if>
                        <dgm:else name="Name114">
                          <dgm:alg type="tx">
                            <dgm:param type="txAnchorVert" val="t"/>
                            <dgm:param type="parTxLTRAlign" val="l"/>
                            <dgm:param type="parTxRTLAlign" val="l"/>
                          </dgm:alg>
                        </dgm:else>
                      </dgm:choose>
                    </dgm:if>
                    <dgm:else name="Name115">
                      <dgm:choose name="Name116">
                        <dgm:if name="Name117" axis="root des" ptType="all node" func="maxDepth" op="gt" val="1">
                          <dgm:alg type="tx">
                            <dgm:param type="txAnchorVert" val="b"/>
                            <dgm:param type="txAnchorVertCh" val="b"/>
                            <dgm:param type="parTxLTRAlign" val="l"/>
                            <dgm:param type="parTxRTLAlign" val="r"/>
                          </dgm:alg>
                        </dgm:if>
                        <dgm:else name="Name11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19">
                    <dgm:if name="Name120" func="var" arg="dir" op="equ" val="norm">
                      <dgm:constrLst>
                        <dgm:constr type="rMarg"/>
                        <dgm:constr type="tMarg"/>
                        <dgm:constr type="bMarg"/>
                      </dgm:constrLst>
                    </dgm:if>
                    <dgm:else name="Name121">
                      <dgm:constrLst>
                        <dgm:constr type="lMarg"/>
                        <dgm:constr type="tMarg"/>
                        <dgm:constr type="bMarg"/>
                      </dgm:constrLst>
                    </dgm:else>
                  </dgm:choose>
                  <dgm:ruleLst>
                    <dgm:rule type="primFontSz" val="5" fact="NaN" max="NaN"/>
                  </dgm:ruleLst>
                </dgm:layoutNode>
              </dgm:forEach>
              <dgm:forEach name="Name122" axis="ch" ptType="node" st="4" cnt="1">
                <dgm:layoutNode name="bullet4d" styleLbl="node1">
                  <dgm:alg type="sp"/>
                  <dgm:shape xmlns:r="http://schemas.openxmlformats.org/officeDocument/2006/relationships" type="ellipse" r:blip="">
                    <dgm:adjLst/>
                  </dgm:shape>
                  <dgm:presOf/>
                  <dgm:constrLst/>
                  <dgm:ruleLst/>
                </dgm:layoutNode>
                <dgm:layoutNode name="textBox4d" styleLbl="revTx">
                  <dgm:varLst>
                    <dgm:bulletEnabled val="1"/>
                  </dgm:varLst>
                  <dgm:choose name="Name123">
                    <dgm:if name="Name124" func="var" arg="dir" op="equ" val="norm">
                      <dgm:choose name="Name125">
                        <dgm:if name="Name126" axis="root des" ptType="all node" func="maxDepth" op="gt" val="1">
                          <dgm:alg type="tx">
                            <dgm:param type="txAnchorVert" val="t"/>
                            <dgm:param type="parTxLTRAlign" val="l"/>
                            <dgm:param type="parTxRTLAlign" val="r"/>
                          </dgm:alg>
                        </dgm:if>
                        <dgm:else name="Name127">
                          <dgm:alg type="tx">
                            <dgm:param type="txAnchorVert" val="t"/>
                            <dgm:param type="parTxLTRAlign" val="l"/>
                            <dgm:param type="parTxRTLAlign" val="l"/>
                          </dgm:alg>
                        </dgm:else>
                      </dgm:choose>
                    </dgm:if>
                    <dgm:else name="Name128">
                      <dgm:choose name="Name129">
                        <dgm:if name="Name130" axis="root des" ptType="all node" func="maxDepth" op="gt" val="1">
                          <dgm:alg type="tx">
                            <dgm:param type="txAnchorVert" val="b"/>
                            <dgm:param type="txAnchorVertCh" val="b"/>
                            <dgm:param type="parTxLTRAlign" val="l"/>
                            <dgm:param type="parTxRTLAlign" val="r"/>
                          </dgm:alg>
                        </dgm:if>
                        <dgm:else name="Name13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32">
                    <dgm:if name="Name133" func="var" arg="dir" op="equ" val="norm">
                      <dgm:constrLst>
                        <dgm:constr type="rMarg"/>
                        <dgm:constr type="tMarg"/>
                        <dgm:constr type="bMarg"/>
                      </dgm:constrLst>
                    </dgm:if>
                    <dgm:else name="Name134">
                      <dgm:constrLst>
                        <dgm:constr type="lMarg"/>
                        <dgm:constr type="tMarg"/>
                        <dgm:constr type="bMarg"/>
                      </dgm:constrLst>
                    </dgm:else>
                  </dgm:choose>
                  <dgm:ruleLst>
                    <dgm:rule type="primFontSz" val="5" fact="NaN" max="NaN"/>
                  </dgm:ruleLst>
                </dgm:layoutNode>
              </dgm:forEach>
            </dgm:layoutNode>
          </dgm:if>
          <dgm:else name="Name135">
            <dgm:layoutNode name="arrowDiagram5">
              <dgm:alg type="composite">
                <dgm:param type="vertAlign" val="none"/>
                <dgm:param type="horzAlign" val="none"/>
              </dgm:alg>
              <dgm:shape xmlns:r="http://schemas.openxmlformats.org/officeDocument/2006/relationships" r:blip="">
                <dgm:adjLst/>
              </dgm:shape>
              <dgm:presOf/>
              <dgm:choose name="Name136">
                <dgm:if name="Name137" func="var" arg="dir" op="equ" val="norm">
                  <dgm:constrLst>
                    <dgm:constr type="ctrX" for="ch" forName="bullet5a" refType="w" fact="0.11"/>
                    <dgm:constr type="ctrY" for="ch" forName="bullet5a" refType="h" fact="0.762"/>
                    <dgm:constr type="w" for="ch" forName="bullet5a" refType="w" fact="0.023"/>
                    <dgm:constr type="h" for="ch" forName="bullet5a" refType="w" refFor="ch" refForName="bullet5a"/>
                    <dgm:constr type="l" for="ch" forName="textBox5a" refType="ctrX" refFor="ch" refForName="bullet5a"/>
                    <dgm:constr type="t" for="ch" forName="textBox5a" refType="ctrY" refFor="ch" refForName="bullet5a"/>
                    <dgm:constr type="w" for="ch" forName="textBox5a" refType="w" fact="0.131"/>
                    <dgm:constr type="h" for="ch" forName="textBox5a" refType="h" fact="0.238"/>
                    <dgm:constr type="userA" refType="h" refFor="ch" refForName="bullet5a" fact="0.53"/>
                    <dgm:constr type="l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l" for="ch" forName="textBox5b" refType="ctrX" refFor="ch" refForName="bullet5b"/>
                    <dgm:constr type="t" for="ch" forName="textBox5b" refType="ctrY" refFor="ch" refForName="bullet5b"/>
                    <dgm:constr type="w" for="ch" forName="textBox5b" refType="w" fact="0.166"/>
                    <dgm:constr type="h" for="ch" forName="textBox5b" refType="h" fact="0.419"/>
                    <dgm:constr type="userB" refType="h" refFor="ch" refForName="bullet5b" fact="0.53"/>
                    <dgm:constr type="l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l" for="ch" forName="textBox5c" refType="ctrX" refFor="ch" refForName="bullet5c"/>
                    <dgm:constr type="t" for="ch" forName="textBox5c" refType="ctrY" refFor="ch" refForName="bullet5c"/>
                    <dgm:constr type="w" for="ch" forName="textBox5c" refType="w" fact="0.193"/>
                    <dgm:constr type="h" for="ch" forName="textBox5c" refType="h" fact="0.562"/>
                    <dgm:constr type="userC" refType="h" refFor="ch" refForName="bullet5c" fact="0.53"/>
                    <dgm:constr type="l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l" for="ch" forName="textBox5d" refType="ctrX" refFor="ch" refForName="bullet5d"/>
                    <dgm:constr type="t" for="ch" forName="textBox5d" refType="ctrY" refFor="ch" refForName="bullet5d"/>
                    <dgm:constr type="w" for="ch" forName="textBox5d" refType="w" fact="0.2"/>
                    <dgm:constr type="h" for="ch" forName="textBox5d" refType="h" fact="0.67"/>
                    <dgm:constr type="userD" refType="h" refFor="ch" refForName="bullet5d" fact="0.53"/>
                    <dgm:constr type="l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l" for="ch" forName="textBox5e" refType="ctrX" refFor="ch" refForName="bullet5e"/>
                    <dgm:constr type="t" for="ch" forName="textBox5e" refType="ctrY" refFor="ch" refForName="bullet5e"/>
                    <dgm:constr type="w" for="ch" forName="textBox5e" refType="w" fact="0.2"/>
                    <dgm:constr type="h" for="ch" forName="textBox5e" refType="h" fact="0.736"/>
                    <dgm:constr type="userE" refType="h" refFor="ch" refForName="bullet5e" fact="0.53"/>
                    <dgm:constr type="lMarg" for="ch" forName="textBox5e" refType="userE" fact="2.834"/>
                    <dgm:constr type="primFontSz" for="ch" ptType="node" op="equ" val="65"/>
                  </dgm:constrLst>
                </dgm:if>
                <dgm:else name="Name138">
                  <dgm:constrLst>
                    <dgm:constr type="ctrX" for="ch" forName="bullet5a" refType="w" fact="0.11"/>
                    <dgm:constr type="ctrY" for="ch" forName="bullet5a" refType="h" fact="0.762"/>
                    <dgm:constr type="w" for="ch" forName="bullet5a" refType="w" fact="0.023"/>
                    <dgm:constr type="h" for="ch" forName="bullet5a" refType="w" refFor="ch" refForName="bullet5a"/>
                    <dgm:constr type="r" for="ch" forName="textBox5a" refType="ctrX" refFor="ch" refForName="bullet5a"/>
                    <dgm:constr type="b" for="ch" forName="textBox5a" refType="ctrY" refFor="ch" refForName="bullet5a"/>
                    <dgm:constr type="w" for="ch" forName="textBox5a" refType="w" fact="0.11"/>
                    <dgm:constr type="h" for="ch" forName="textBox5a" refType="h" fact="0.762"/>
                    <dgm:constr type="userA" refType="h" refFor="ch" refForName="bullet5a" fact="0.53"/>
                    <dgm:constr type="rMarg" for="ch" forName="textBox5a" refType="userA" fact="2.834"/>
                    <dgm:constr type="ctrX" for="ch" forName="bullet5b" refType="w" fact="0.241"/>
                    <dgm:constr type="ctrY" for="ch" forName="bullet5b" refType="h" fact="0.581"/>
                    <dgm:constr type="w" for="ch" forName="bullet5b" refType="w" fact="0.036"/>
                    <dgm:constr type="h" for="ch" forName="bullet5b" refType="w" refFor="ch" refForName="bullet5b"/>
                    <dgm:constr type="r" for="ch" forName="textBox5b" refType="ctrX" refFor="ch" refForName="bullet5b"/>
                    <dgm:constr type="b" for="ch" forName="textBox5b" refType="ctrY" refFor="ch" refForName="bullet5b"/>
                    <dgm:constr type="w" for="ch" forName="textBox5b" refType="w" fact="0.131"/>
                    <dgm:constr type="h" for="ch" forName="textBox5b" refType="h" fact="0.581"/>
                    <dgm:constr type="userB" refType="h" refFor="ch" refForName="bullet5b" fact="0.53"/>
                    <dgm:constr type="rMarg" for="ch" forName="textBox5b" refType="userB" fact="2.834"/>
                    <dgm:constr type="ctrX" for="ch" forName="bullet5c" refType="w" fact="0.407"/>
                    <dgm:constr type="ctrY" for="ch" forName="bullet5c" refType="h" fact="0.438"/>
                    <dgm:constr type="w" for="ch" forName="bullet5c" refType="w" fact="0.048"/>
                    <dgm:constr type="h" for="ch" forName="bullet5c" refType="w" refFor="ch" refForName="bullet5c"/>
                    <dgm:constr type="r" for="ch" forName="textBox5c" refType="ctrX" refFor="ch" refForName="bullet5c"/>
                    <dgm:constr type="b" for="ch" forName="textBox5c" refType="ctrY" refFor="ch" refForName="bullet5c"/>
                    <dgm:constr type="w" for="ch" forName="textBox5c" refType="w" fact="0.166"/>
                    <dgm:constr type="h" for="ch" forName="textBox5c" refType="h" fact="0.438"/>
                    <dgm:constr type="userC" refType="h" refFor="ch" refForName="bullet5c" fact="0.53"/>
                    <dgm:constr type="rMarg" for="ch" forName="textBox5c" refType="userC" fact="2.834"/>
                    <dgm:constr type="ctrX" for="ch" forName="bullet5d" refType="w" fact="0.6"/>
                    <dgm:constr type="ctrY" for="ch" forName="bullet5d" refType="h" fact="0.33"/>
                    <dgm:constr type="w" for="ch" forName="bullet5d" refType="w" fact="0.062"/>
                    <dgm:constr type="h" for="ch" forName="bullet5d" refType="w" refFor="ch" refForName="bullet5d"/>
                    <dgm:constr type="r" for="ch" forName="textBox5d" refType="ctrX" refFor="ch" refForName="bullet5d"/>
                    <dgm:constr type="b" for="ch" forName="textBox5d" refType="ctrY" refFor="ch" refForName="bullet5d"/>
                    <dgm:constr type="w" for="ch" forName="textBox5d" refType="w" fact="0.193"/>
                    <dgm:constr type="h" for="ch" forName="textBox5d" refType="h" fact="0.33"/>
                    <dgm:constr type="userD" refType="h" refFor="ch" refForName="bullet5d" fact="0.53"/>
                    <dgm:constr type="rMarg" for="ch" forName="textBox5d" refType="userD" fact="2.834"/>
                    <dgm:constr type="ctrX" for="ch" forName="bullet5e" refType="w" fact="0.8"/>
                    <dgm:constr type="ctrY" for="ch" forName="bullet5e" refType="h" fact="0.264"/>
                    <dgm:constr type="w" for="ch" forName="bullet5e" refType="w" fact="0.079"/>
                    <dgm:constr type="h" for="ch" forName="bullet5e" refType="w" refFor="ch" refForName="bullet5e"/>
                    <dgm:constr type="r" for="ch" forName="textBox5e" refType="ctrX" refFor="ch" refForName="bullet5e"/>
                    <dgm:constr type="b" for="ch" forName="textBox5e" refType="ctrY" refFor="ch" refForName="bullet5e"/>
                    <dgm:constr type="w" for="ch" forName="textBox5e" refType="w" fact="0.2"/>
                    <dgm:constr type="h" for="ch" forName="textBox5e" refType="h" fact="0.264"/>
                    <dgm:constr type="userE" refType="h" refFor="ch" refForName="bullet5e" fact="0.53"/>
                    <dgm:constr type="rMarg" for="ch" forName="textBox5e" refType="userE" fact="2.834"/>
                    <dgm:constr type="primFontSz" for="ch" ptType="node" op="equ" val="65"/>
                  </dgm:constrLst>
                </dgm:else>
              </dgm:choose>
              <dgm:ruleLst/>
              <dgm:forEach name="Name139" axis="ch" ptType="node" cnt="1">
                <dgm:layoutNode name="bullet5a" styleLbl="node1">
                  <dgm:alg type="sp"/>
                  <dgm:shape xmlns:r="http://schemas.openxmlformats.org/officeDocument/2006/relationships" type="ellipse" r:blip="">
                    <dgm:adjLst/>
                  </dgm:shape>
                  <dgm:presOf/>
                  <dgm:constrLst/>
                  <dgm:ruleLst/>
                </dgm:layoutNode>
                <dgm:layoutNode name="textBox5a" styleLbl="revTx">
                  <dgm:varLst>
                    <dgm:bulletEnabled val="1"/>
                  </dgm:varLst>
                  <dgm:choose name="Name140">
                    <dgm:if name="Name141" func="var" arg="dir" op="equ" val="norm">
                      <dgm:choose name="Name142">
                        <dgm:if name="Name143" axis="root des" ptType="all node" func="maxDepth" op="gt" val="1">
                          <dgm:alg type="tx">
                            <dgm:param type="txAnchorVert" val="t"/>
                            <dgm:param type="parTxLTRAlign" val="l"/>
                            <dgm:param type="parTxRTLAlign" val="r"/>
                          </dgm:alg>
                        </dgm:if>
                        <dgm:else name="Name144">
                          <dgm:alg type="tx">
                            <dgm:param type="txAnchorVert" val="t"/>
                            <dgm:param type="parTxLTRAlign" val="l"/>
                            <dgm:param type="parTxRTLAlign" val="l"/>
                          </dgm:alg>
                        </dgm:else>
                      </dgm:choose>
                    </dgm:if>
                    <dgm:else name="Name145">
                      <dgm:choose name="Name146">
                        <dgm:if name="Name147" axis="root des" ptType="all node" func="maxDepth" op="gt" val="1">
                          <dgm:alg type="tx">
                            <dgm:param type="txAnchorVert" val="b"/>
                            <dgm:param type="txAnchorVertCh" val="b"/>
                            <dgm:param type="parTxLTRAlign" val="l"/>
                            <dgm:param type="parTxRTLAlign" val="r"/>
                          </dgm:alg>
                        </dgm:if>
                        <dgm:else name="Name148">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49">
                    <dgm:if name="Name150" func="var" arg="dir" op="equ" val="norm">
                      <dgm:constrLst>
                        <dgm:constr type="rMarg"/>
                        <dgm:constr type="tMarg"/>
                        <dgm:constr type="bMarg"/>
                      </dgm:constrLst>
                    </dgm:if>
                    <dgm:else name="Name151">
                      <dgm:constrLst>
                        <dgm:constr type="lMarg"/>
                        <dgm:constr type="tMarg"/>
                        <dgm:constr type="bMarg"/>
                      </dgm:constrLst>
                    </dgm:else>
                  </dgm:choose>
                  <dgm:ruleLst>
                    <dgm:rule type="primFontSz" val="5" fact="NaN" max="NaN"/>
                  </dgm:ruleLst>
                </dgm:layoutNode>
              </dgm:forEach>
              <dgm:forEach name="Name152" axis="ch" ptType="node" st="2" cnt="1">
                <dgm:layoutNode name="bullet5b" styleLbl="node1">
                  <dgm:alg type="sp"/>
                  <dgm:shape xmlns:r="http://schemas.openxmlformats.org/officeDocument/2006/relationships" type="ellipse" r:blip="">
                    <dgm:adjLst/>
                  </dgm:shape>
                  <dgm:presOf/>
                  <dgm:constrLst/>
                  <dgm:ruleLst/>
                </dgm:layoutNode>
                <dgm:layoutNode name="textBox5b" styleLbl="revTx">
                  <dgm:varLst>
                    <dgm:bulletEnabled val="1"/>
                  </dgm:varLst>
                  <dgm:choose name="Name153">
                    <dgm:if name="Name154" func="var" arg="dir" op="equ" val="norm">
                      <dgm:choose name="Name155">
                        <dgm:if name="Name156" axis="root des" ptType="all node" func="maxDepth" op="gt" val="1">
                          <dgm:alg type="tx">
                            <dgm:param type="txAnchorVert" val="t"/>
                            <dgm:param type="parTxLTRAlign" val="l"/>
                            <dgm:param type="parTxRTLAlign" val="r"/>
                          </dgm:alg>
                        </dgm:if>
                        <dgm:else name="Name157">
                          <dgm:alg type="tx">
                            <dgm:param type="txAnchorVert" val="t"/>
                            <dgm:param type="parTxLTRAlign" val="l"/>
                            <dgm:param type="parTxRTLAlign" val="l"/>
                          </dgm:alg>
                        </dgm:else>
                      </dgm:choose>
                    </dgm:if>
                    <dgm:else name="Name158">
                      <dgm:choose name="Name159">
                        <dgm:if name="Name160" axis="root des" ptType="all node" func="maxDepth" op="gt" val="1">
                          <dgm:alg type="tx">
                            <dgm:param type="txAnchorVert" val="b"/>
                            <dgm:param type="txAnchorVertCh" val="b"/>
                            <dgm:param type="parTxLTRAlign" val="l"/>
                            <dgm:param type="parTxRTLAlign" val="r"/>
                          </dgm:alg>
                        </dgm:if>
                        <dgm:else name="Name161">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62">
                    <dgm:if name="Name163" func="var" arg="dir" op="equ" val="norm">
                      <dgm:constrLst>
                        <dgm:constr type="rMarg"/>
                        <dgm:constr type="tMarg"/>
                        <dgm:constr type="bMarg"/>
                      </dgm:constrLst>
                    </dgm:if>
                    <dgm:else name="Name164">
                      <dgm:constrLst>
                        <dgm:constr type="lMarg"/>
                        <dgm:constr type="tMarg"/>
                        <dgm:constr type="bMarg"/>
                      </dgm:constrLst>
                    </dgm:else>
                  </dgm:choose>
                  <dgm:ruleLst>
                    <dgm:rule type="primFontSz" val="5" fact="NaN" max="NaN"/>
                  </dgm:ruleLst>
                </dgm:layoutNode>
              </dgm:forEach>
              <dgm:forEach name="Name165" axis="ch" ptType="node" st="3" cnt="1">
                <dgm:layoutNode name="bullet5c" styleLbl="node1">
                  <dgm:alg type="sp"/>
                  <dgm:shape xmlns:r="http://schemas.openxmlformats.org/officeDocument/2006/relationships" type="ellipse" r:blip="">
                    <dgm:adjLst/>
                  </dgm:shape>
                  <dgm:presOf/>
                  <dgm:constrLst/>
                  <dgm:ruleLst/>
                </dgm:layoutNode>
                <dgm:layoutNode name="textBox5c" styleLbl="revTx">
                  <dgm:varLst>
                    <dgm:bulletEnabled val="1"/>
                  </dgm:varLst>
                  <dgm:choose name="Name166">
                    <dgm:if name="Name167" func="var" arg="dir" op="equ" val="norm">
                      <dgm:choose name="Name168">
                        <dgm:if name="Name169" axis="root des" ptType="all node" func="maxDepth" op="gt" val="1">
                          <dgm:alg type="tx">
                            <dgm:param type="txAnchorVert" val="t"/>
                            <dgm:param type="parTxLTRAlign" val="l"/>
                            <dgm:param type="parTxRTLAlign" val="r"/>
                          </dgm:alg>
                        </dgm:if>
                        <dgm:else name="Name170">
                          <dgm:alg type="tx">
                            <dgm:param type="txAnchorVert" val="t"/>
                            <dgm:param type="parTxLTRAlign" val="l"/>
                            <dgm:param type="parTxRTLAlign" val="l"/>
                          </dgm:alg>
                        </dgm:else>
                      </dgm:choose>
                    </dgm:if>
                    <dgm:else name="Name171">
                      <dgm:choose name="Name172">
                        <dgm:if name="Name173" axis="root des" ptType="all node" func="maxDepth" op="gt" val="1">
                          <dgm:alg type="tx">
                            <dgm:param type="txAnchorVert" val="b"/>
                            <dgm:param type="txAnchorVertCh" val="b"/>
                            <dgm:param type="parTxLTRAlign" val="l"/>
                            <dgm:param type="parTxRTLAlign" val="r"/>
                          </dgm:alg>
                        </dgm:if>
                        <dgm:else name="Name174">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75">
                    <dgm:if name="Name176" func="var" arg="dir" op="equ" val="norm">
                      <dgm:constrLst>
                        <dgm:constr type="rMarg"/>
                        <dgm:constr type="tMarg"/>
                        <dgm:constr type="bMarg"/>
                      </dgm:constrLst>
                    </dgm:if>
                    <dgm:else name="Name177">
                      <dgm:constrLst>
                        <dgm:constr type="lMarg"/>
                        <dgm:constr type="tMarg"/>
                        <dgm:constr type="bMarg"/>
                      </dgm:constrLst>
                    </dgm:else>
                  </dgm:choose>
                  <dgm:ruleLst>
                    <dgm:rule type="primFontSz" val="5" fact="NaN" max="NaN"/>
                  </dgm:ruleLst>
                </dgm:layoutNode>
              </dgm:forEach>
              <dgm:forEach name="Name178" axis="ch" ptType="node" st="4" cnt="1">
                <dgm:layoutNode name="bullet5d" styleLbl="node1">
                  <dgm:alg type="sp"/>
                  <dgm:shape xmlns:r="http://schemas.openxmlformats.org/officeDocument/2006/relationships" type="ellipse" r:blip="">
                    <dgm:adjLst/>
                  </dgm:shape>
                  <dgm:presOf/>
                  <dgm:constrLst/>
                  <dgm:ruleLst/>
                </dgm:layoutNode>
                <dgm:layoutNode name="textBox5d" styleLbl="revTx">
                  <dgm:varLst>
                    <dgm:bulletEnabled val="1"/>
                  </dgm:varLst>
                  <dgm:choose name="Name179">
                    <dgm:if name="Name180" func="var" arg="dir" op="equ" val="norm">
                      <dgm:choose name="Name181">
                        <dgm:if name="Name182" axis="root des" ptType="all node" func="maxDepth" op="gt" val="1">
                          <dgm:alg type="tx">
                            <dgm:param type="txAnchorVert" val="t"/>
                            <dgm:param type="parTxLTRAlign" val="l"/>
                            <dgm:param type="parTxRTLAlign" val="r"/>
                          </dgm:alg>
                        </dgm:if>
                        <dgm:else name="Name183">
                          <dgm:alg type="tx">
                            <dgm:param type="txAnchorVert" val="t"/>
                            <dgm:param type="parTxLTRAlign" val="l"/>
                            <dgm:param type="parTxRTLAlign" val="l"/>
                          </dgm:alg>
                        </dgm:else>
                      </dgm:choose>
                    </dgm:if>
                    <dgm:else name="Name184">
                      <dgm:choose name="Name185">
                        <dgm:if name="Name186" axis="root des" ptType="all node" func="maxDepth" op="gt" val="1">
                          <dgm:alg type="tx">
                            <dgm:param type="txAnchorVert" val="b"/>
                            <dgm:param type="txAnchorVertCh" val="b"/>
                            <dgm:param type="parTxLTRAlign" val="l"/>
                            <dgm:param type="parTxRTLAlign" val="r"/>
                          </dgm:alg>
                        </dgm:if>
                        <dgm:else name="Name187">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188">
                    <dgm:if name="Name189" func="var" arg="dir" op="equ" val="norm">
                      <dgm:constrLst>
                        <dgm:constr type="rMarg"/>
                        <dgm:constr type="tMarg"/>
                        <dgm:constr type="bMarg"/>
                      </dgm:constrLst>
                    </dgm:if>
                    <dgm:else name="Name190">
                      <dgm:constrLst>
                        <dgm:constr type="lMarg"/>
                        <dgm:constr type="tMarg"/>
                        <dgm:constr type="bMarg"/>
                      </dgm:constrLst>
                    </dgm:else>
                  </dgm:choose>
                  <dgm:ruleLst>
                    <dgm:rule type="primFontSz" val="5" fact="NaN" max="NaN"/>
                  </dgm:ruleLst>
                </dgm:layoutNode>
              </dgm:forEach>
              <dgm:forEach name="Name191" axis="ch" ptType="node" st="5" cnt="1">
                <dgm:layoutNode name="bullet5e" styleLbl="node1">
                  <dgm:alg type="sp"/>
                  <dgm:shape xmlns:r="http://schemas.openxmlformats.org/officeDocument/2006/relationships" type="ellipse" r:blip="">
                    <dgm:adjLst/>
                  </dgm:shape>
                  <dgm:presOf/>
                  <dgm:constrLst/>
                  <dgm:ruleLst/>
                </dgm:layoutNode>
                <dgm:layoutNode name="textBox5e" styleLbl="revTx">
                  <dgm:varLst>
                    <dgm:bulletEnabled val="1"/>
                  </dgm:varLst>
                  <dgm:choose name="Name192">
                    <dgm:if name="Name193" func="var" arg="dir" op="equ" val="norm">
                      <dgm:choose name="Name194">
                        <dgm:if name="Name195" axis="root des" ptType="all node" func="maxDepth" op="gt" val="1">
                          <dgm:alg type="tx">
                            <dgm:param type="txAnchorVert" val="t"/>
                            <dgm:param type="parTxLTRAlign" val="l"/>
                            <dgm:param type="parTxRTLAlign" val="r"/>
                          </dgm:alg>
                        </dgm:if>
                        <dgm:else name="Name196">
                          <dgm:alg type="tx">
                            <dgm:param type="txAnchorVert" val="t"/>
                            <dgm:param type="parTxLTRAlign" val="l"/>
                            <dgm:param type="parTxRTLAlign" val="l"/>
                          </dgm:alg>
                        </dgm:else>
                      </dgm:choose>
                    </dgm:if>
                    <dgm:else name="Name197">
                      <dgm:choose name="Name198">
                        <dgm:if name="Name199" axis="root des" ptType="all node" func="maxDepth" op="gt" val="1">
                          <dgm:alg type="tx">
                            <dgm:param type="txAnchorVert" val="b"/>
                            <dgm:param type="txAnchorVertCh" val="b"/>
                            <dgm:param type="parTxLTRAlign" val="l"/>
                            <dgm:param type="parTxRTLAlign" val="r"/>
                          </dgm:alg>
                        </dgm:if>
                        <dgm:else name="Name200">
                          <dgm:alg type="tx">
                            <dgm:param type="txAnchorVert" val="b"/>
                            <dgm:param type="parTxLTRAlign" val="r"/>
                            <dgm:param type="parTxRTLAlign" val="r"/>
                          </dgm:alg>
                        </dgm:else>
                      </dgm:choose>
                    </dgm:else>
                  </dgm:choose>
                  <dgm:shape xmlns:r="http://schemas.openxmlformats.org/officeDocument/2006/relationships" type="rect" r:blip="">
                    <dgm:adjLst/>
                  </dgm:shape>
                  <dgm:presOf axis="desOrSelf" ptType="node"/>
                  <dgm:choose name="Name201">
                    <dgm:if name="Name202" func="var" arg="dir" op="equ" val="norm">
                      <dgm:constrLst>
                        <dgm:constr type="rMarg"/>
                        <dgm:constr type="tMarg"/>
                        <dgm:constr type="bMarg"/>
                      </dgm:constrLst>
                    </dgm:if>
                    <dgm:else name="Name203">
                      <dgm:constrLst>
                        <dgm:constr type="lMarg"/>
                        <dgm:constr type="tMarg"/>
                        <dgm:constr type="bMarg"/>
                      </dgm:constrLst>
                    </dgm:else>
                  </dgm:choose>
                  <dgm:ruleLst>
                    <dgm:rule type="primFontSz" val="5" fact="NaN" max="NaN"/>
                  </dgm:ruleLst>
                </dgm:layoutNode>
              </dgm:forEach>
            </dgm:layoutNode>
          </dgm:else>
        </dgm:choose>
      </dgm:if>
      <dgm:else name="Name204"/>
    </dgm:choose>
  </dgm:layoutNode>
</dgm:layoutDef>
</file>

<file path=word/diagrams/quickStyle1.xml><?xml version="1.0" encoding="utf-8"?>
<dgm:styleDef xmlns:dgm="http://schemas.openxmlformats.org/drawingml/2006/diagram" xmlns:a="http://schemas.openxmlformats.org/drawingml/2006/main" uniqueId="urn:microsoft.com/office/officeart/2005/8/quickstyle/simple1">
  <dgm:title val=""/>
  <dgm:desc val=""/>
  <dgm:catLst>
    <dgm:cat type="simple" pri="10100"/>
  </dgm:catLst>
  <dgm:scene3d>
    <a:camera prst="orthographicFront"/>
    <a:lightRig rig="threePt" dir="t"/>
  </dgm:scene3d>
  <dgm:styleLbl name="node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l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vennNode1">
    <dgm:scene3d>
      <a:camera prst="orthographicFront"/>
      <a:lightRig rig="threePt" dir="t"/>
    </dgm:scene3d>
    <dgm:sp3d/>
    <dgm:txPr/>
    <dgm:style>
      <a:lnRef idx="2">
        <a:scrgbClr r="0" g="0" b="0"/>
      </a:lnRef>
      <a:fillRef idx="1">
        <a:scrgbClr r="0" g="0" b="0"/>
      </a:fillRef>
      <a:effectRef idx="0">
        <a:scrgbClr r="0" g="0" b="0"/>
      </a:effectRef>
      <a:fontRef idx="minor">
        <a:schemeClr val="tx1"/>
      </a:fontRef>
    </dgm:style>
  </dgm:styleLbl>
  <dgm:styleLbl name="align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node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f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ImgPlac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f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bgSibTrans2D1">
    <dgm:scene3d>
      <a:camera prst="orthographicFront"/>
      <a:lightRig rig="threePt" dir="t"/>
    </dgm:scene3d>
    <dgm:sp3d/>
    <dgm:txPr/>
    <dgm:style>
      <a:lnRef idx="0">
        <a:scrgbClr r="0" g="0" b="0"/>
      </a:lnRef>
      <a:fillRef idx="1">
        <a:scrgbClr r="0" g="0" b="0"/>
      </a:fillRef>
      <a:effectRef idx="0">
        <a:scrgbClr r="0" g="0" b="0"/>
      </a:effectRef>
      <a:fontRef idx="minor">
        <a:schemeClr val="lt1"/>
      </a:fontRef>
    </dgm:style>
  </dgm:styleLbl>
  <dgm:styleLbl name="sibTrans1D1">
    <dgm:scene3d>
      <a:camera prst="orthographicFront"/>
      <a:lightRig rig="threePt" dir="t"/>
    </dgm:scene3d>
    <dgm:sp3d/>
    <dgm:txPr/>
    <dgm:style>
      <a:lnRef idx="1">
        <a:scrgbClr r="0" g="0" b="0"/>
      </a:lnRef>
      <a:fillRef idx="0">
        <a:scrgbClr r="0" g="0" b="0"/>
      </a:fillRef>
      <a:effectRef idx="0">
        <a:scrgbClr r="0" g="0" b="0"/>
      </a:effectRef>
      <a:fontRef idx="minor"/>
    </dgm:style>
  </dgm:styleLbl>
  <dgm:styleLbl name="callout">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sst0">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asst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1">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2">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3">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2D4">
    <dgm:scene3d>
      <a:camera prst="orthographicFront"/>
      <a:lightRig rig="threePt" dir="t"/>
    </dgm:scene3d>
    <dgm:sp3d/>
    <dgm:txPr/>
    <dgm:style>
      <a:lnRef idx="2">
        <a:scrgbClr r="0" g="0" b="0"/>
      </a:lnRef>
      <a:fillRef idx="1">
        <a:scrgbClr r="0" g="0" b="0"/>
      </a:fillRef>
      <a:effectRef idx="0">
        <a:scrgbClr r="0" g="0" b="0"/>
      </a:effectRef>
      <a:fontRef idx="minor">
        <a:schemeClr val="lt1"/>
      </a:fontRef>
    </dgm:style>
  </dgm:styleLbl>
  <dgm:styleLbl name="parChTrans1D1">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2">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3">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parChTrans1D4">
    <dgm:scene3d>
      <a:camera prst="orthographicFront"/>
      <a:lightRig rig="threePt" dir="t"/>
    </dgm:scene3d>
    <dgm:sp3d/>
    <dgm:txPr/>
    <dgm:style>
      <a:lnRef idx="2">
        <a:scrgbClr r="0" g="0" b="0"/>
      </a:lnRef>
      <a:fillRef idx="0">
        <a:scrgbClr r="0" g="0" b="0"/>
      </a:fillRef>
      <a:effectRef idx="0">
        <a:scrgbClr r="0" g="0" b="0"/>
      </a:effectRef>
      <a:fontRef idx="minor"/>
    </dgm:style>
  </dgm:styleLbl>
  <dgm:styleLbl name="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con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trAlignAcc1">
    <dgm:scene3d>
      <a:camera prst="orthographicFront"/>
      <a:lightRig rig="threePt" dir="t"/>
    </dgm:scene3d>
    <dgm:sp3d/>
    <dgm:txPr/>
    <dgm:style>
      <a:lnRef idx="1">
        <a:scrgbClr r="0" g="0" b="0"/>
      </a:lnRef>
      <a:fillRef idx="1">
        <a:scrgbClr r="0" g="0" b="0"/>
      </a:fillRef>
      <a:effectRef idx="0">
        <a:scrgbClr r="0" g="0" b="0"/>
      </a:effectRef>
      <a:fontRef idx="minor"/>
    </dgm:style>
  </dgm:styleLbl>
  <dgm:styleLbl name="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F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Align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solidBgAcc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align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AccFollowNode1">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0">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2">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3">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fgAcc4">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dk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trBgShp">
    <dgm:scene3d>
      <a:camera prst="orthographicFront"/>
      <a:lightRig rig="threePt" dir="t"/>
    </dgm:scene3d>
    <dgm:sp3d/>
    <dgm:txPr/>
    <dgm:style>
      <a:lnRef idx="0">
        <a:scrgbClr r="0" g="0" b="0"/>
      </a:lnRef>
      <a:fillRef idx="1">
        <a:scrgbClr r="0" g="0" b="0"/>
      </a:fillRef>
      <a:effectRef idx="0">
        <a:scrgbClr r="0" g="0" b="0"/>
      </a:effectRef>
      <a:fontRef idx="minor"/>
    </dgm:style>
  </dgm:styleLbl>
  <dgm:styleLbl name="fgShp">
    <dgm:scene3d>
      <a:camera prst="orthographicFront"/>
      <a:lightRig rig="threePt" dir="t"/>
    </dgm:scene3d>
    <dgm:sp3d/>
    <dgm:txPr/>
    <dgm:style>
      <a:lnRef idx="2">
        <a:scrgbClr r="0" g="0" b="0"/>
      </a:lnRef>
      <a:fillRef idx="1">
        <a:scrgbClr r="0" g="0" b="0"/>
      </a:fillRef>
      <a:effectRef idx="0">
        <a:scrgbClr r="0" g="0" b="0"/>
      </a:effectRef>
      <a:fontRef idx="minor"/>
    </dgm:style>
  </dgm:styleLbl>
  <dgm:styleLbl name="revTx">
    <dgm:scene3d>
      <a:camera prst="orthographicFront"/>
      <a:lightRig rig="threePt" dir="t"/>
    </dgm:scene3d>
    <dgm:sp3d/>
    <dgm:txPr/>
    <dgm:style>
      <a:lnRef idx="0">
        <a:scrgbClr r="0" g="0" b="0"/>
      </a:lnRef>
      <a:fillRef idx="0">
        <a:scrgbClr r="0" g="0" b="0"/>
      </a:fillRef>
      <a:effectRef idx="0">
        <a:scrgbClr r="0" g="0" b="0"/>
      </a:effectRef>
      <a:fontRef idx="minor"/>
    </dgm:style>
  </dgm:styleLbl>
</dgm:styleDef>
</file>

<file path=word/theme/theme1.xml><?xml version="1.0" encoding="utf-8"?>
<a:theme xmlns:a="http://schemas.openxmlformats.org/drawingml/2006/main" name="Office Theme">
  <a:themeElements>
    <a:clrScheme name="Blue Warm">
      <a:dk1>
        <a:sysClr val="windowText" lastClr="000000"/>
      </a:dk1>
      <a:lt1>
        <a:sysClr val="window" lastClr="FFFFFF"/>
      </a:lt1>
      <a:dk2>
        <a:srgbClr val="242852"/>
      </a:dk2>
      <a:lt2>
        <a:srgbClr val="ACCBF9"/>
      </a:lt2>
      <a:accent1>
        <a:srgbClr val="4A66AC"/>
      </a:accent1>
      <a:accent2>
        <a:srgbClr val="629DD1"/>
      </a:accent2>
      <a:accent3>
        <a:srgbClr val="297FD5"/>
      </a:accent3>
      <a:accent4>
        <a:srgbClr val="7F8FA9"/>
      </a:accent4>
      <a:accent5>
        <a:srgbClr val="5AA2AE"/>
      </a:accent5>
      <a:accent6>
        <a:srgbClr val="9D90A0"/>
      </a:accent6>
      <a:hlink>
        <a:srgbClr val="9454C3"/>
      </a:hlink>
      <a:folHlink>
        <a:srgbClr val="3EBBF0"/>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7BDD55D9-F4A3-4101-8621-AD0ACB4DE7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55</Pages>
  <Words>16251</Words>
  <Characters>92631</Characters>
  <Application>Microsoft Office Word</Application>
  <DocSecurity>4</DocSecurity>
  <Lines>771</Lines>
  <Paragraphs>217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108665</CharactersWithSpaces>
  <SharedDoc>false</SharedDoc>
  <HLinks>
    <vt:vector size="24" baseType="variant">
      <vt:variant>
        <vt:i4>8257640</vt:i4>
      </vt:variant>
      <vt:variant>
        <vt:i4>18</vt:i4>
      </vt:variant>
      <vt:variant>
        <vt:i4>0</vt:i4>
      </vt:variant>
      <vt:variant>
        <vt:i4>5</vt:i4>
      </vt:variant>
      <vt:variant>
        <vt:lpwstr>http://www.oecd.org/sti/sci-tech/CERN-case-studies.pdf</vt:lpwstr>
      </vt:variant>
      <vt:variant>
        <vt:lpwstr/>
      </vt:variant>
      <vt:variant>
        <vt:i4>4522071</vt:i4>
      </vt:variant>
      <vt:variant>
        <vt:i4>15</vt:i4>
      </vt:variant>
      <vt:variant>
        <vt:i4>0</vt:i4>
      </vt:variant>
      <vt:variant>
        <vt:i4>5</vt:i4>
      </vt:variant>
      <vt:variant>
        <vt:lpwstr>javascript:;</vt:lpwstr>
      </vt:variant>
      <vt:variant>
        <vt:lpwstr/>
      </vt:variant>
      <vt:variant>
        <vt:i4>5505128</vt:i4>
      </vt:variant>
      <vt:variant>
        <vt:i4>12</vt:i4>
      </vt:variant>
      <vt:variant>
        <vt:i4>0</vt:i4>
      </vt:variant>
      <vt:variant>
        <vt:i4>5</vt:i4>
      </vt:variant>
      <vt:variant>
        <vt:lpwstr>http://www.publications.parliament.uk/pa/cm201011/cmselect/cmsctech/619/61902.htm</vt:lpwstr>
      </vt:variant>
      <vt:variant>
        <vt:lpwstr/>
      </vt:variant>
      <vt:variant>
        <vt:i4>5570633</vt:i4>
      </vt:variant>
      <vt:variant>
        <vt:i4>9</vt:i4>
      </vt:variant>
      <vt:variant>
        <vt:i4>0</vt:i4>
      </vt:variant>
      <vt:variant>
        <vt:i4>5</vt:i4>
      </vt:variant>
      <vt:variant>
        <vt:lpwstr>http://www.bbc.co.uk/news/uk-scotland-scotland-business-35294800</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Prabhat Vaze</dc:creator>
  <cp:keywords/>
  <dc:description/>
  <cp:lastModifiedBy>Francesca Ezzelino</cp:lastModifiedBy>
  <cp:revision>2</cp:revision>
  <cp:lastPrinted>2018-06-12T08:03:00Z</cp:lastPrinted>
  <dcterms:created xsi:type="dcterms:W3CDTF">2018-07-30T11:41:00Z</dcterms:created>
  <dcterms:modified xsi:type="dcterms:W3CDTF">2018-07-30T11:41:00Z</dcterms:modified>
</cp:coreProperties>
</file>