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BA5" w:rsidRDefault="00671BA5" w:rsidP="008967A6">
      <w:pPr>
        <w:pStyle w:val="BCSDocumenttitle"/>
      </w:pPr>
      <w:bookmarkStart w:id="0" w:name="_Toc114544747"/>
    </w:p>
    <w:p w:rsidR="00CE519A" w:rsidRDefault="00477DD0" w:rsidP="008967A6">
      <w:pPr>
        <w:pStyle w:val="BCSDocumentcovertitle"/>
      </w:pPr>
      <w:r>
        <w:t xml:space="preserve">Narrowing the </w:t>
      </w:r>
      <w:r w:rsidR="00473FF1">
        <w:t>g</w:t>
      </w:r>
      <w:r w:rsidR="00671BA5">
        <w:t>ap</w:t>
      </w:r>
      <w:r w:rsidR="008967A6">
        <w:t xml:space="preserve">: </w:t>
      </w:r>
      <w:r w:rsidR="00671BA5">
        <w:t>An exploration of the ways technology can support approaches to narrowing the gap for under</w:t>
      </w:r>
      <w:r w:rsidR="00530524">
        <w:t>achieving</w:t>
      </w:r>
      <w:r w:rsidR="00671BA5">
        <w:t xml:space="preserve"> and low-achieving learners in secondary schools</w:t>
      </w:r>
    </w:p>
    <w:p w:rsidR="00CE519A" w:rsidRDefault="00CE519A" w:rsidP="00C4275E">
      <w:pPr>
        <w:pStyle w:val="BCSDocumenttitle"/>
      </w:pPr>
    </w:p>
    <w:p w:rsidR="00671BA5" w:rsidRDefault="00F37FA0" w:rsidP="00F37FA0">
      <w:pPr>
        <w:pStyle w:val="BCSDocumenttitle"/>
        <w:jc w:val="center"/>
      </w:pPr>
      <w:r>
        <w:t>December 2009</w:t>
      </w:r>
    </w:p>
    <w:p w:rsidR="00671BA5" w:rsidRDefault="00671BA5" w:rsidP="00671BA5">
      <w:pPr>
        <w:pStyle w:val="BCSDocumenttitle"/>
      </w:pPr>
    </w:p>
    <w:p w:rsidR="00671BA5" w:rsidRPr="00175E21" w:rsidRDefault="00671BA5" w:rsidP="00175E21">
      <w:pPr>
        <w:pStyle w:val="BCSDocumenttitle"/>
        <w:jc w:val="center"/>
        <w:rPr>
          <w:sz w:val="28"/>
          <w:szCs w:val="28"/>
        </w:rPr>
      </w:pPr>
      <w:r w:rsidRPr="00175E21">
        <w:rPr>
          <w:sz w:val="28"/>
          <w:szCs w:val="28"/>
        </w:rPr>
        <w:t>Jean Underwood, Philip Banyard, Lucy Betts, Lee Farrington-Flint,</w:t>
      </w:r>
    </w:p>
    <w:p w:rsidR="00671BA5" w:rsidRPr="00175E21" w:rsidRDefault="00671BA5" w:rsidP="00175E21">
      <w:pPr>
        <w:pStyle w:val="BCSDocumenttitle"/>
        <w:jc w:val="center"/>
        <w:rPr>
          <w:sz w:val="28"/>
          <w:szCs w:val="28"/>
        </w:rPr>
      </w:pPr>
      <w:r w:rsidRPr="00175E21">
        <w:rPr>
          <w:sz w:val="28"/>
          <w:szCs w:val="28"/>
        </w:rPr>
        <w:t>Lianne Kerlin, James Stiller and Susanne Yeomans</w:t>
      </w:r>
    </w:p>
    <w:p w:rsidR="00CE519A" w:rsidRPr="00175E21" w:rsidRDefault="00CE519A" w:rsidP="00175E21">
      <w:pPr>
        <w:pStyle w:val="BCSDocumenttitle"/>
        <w:jc w:val="center"/>
        <w:rPr>
          <w:sz w:val="28"/>
          <w:szCs w:val="28"/>
        </w:rPr>
      </w:pPr>
    </w:p>
    <w:p w:rsidR="00797878" w:rsidRDefault="00671BA5" w:rsidP="00797878">
      <w:pPr>
        <w:pStyle w:val="BCSHeadingA"/>
      </w:pPr>
      <w:r>
        <w:br w:type="page"/>
      </w:r>
      <w:bookmarkStart w:id="1" w:name="_Toc248651134"/>
      <w:bookmarkStart w:id="2" w:name="_Toc248651402"/>
      <w:bookmarkStart w:id="3" w:name="_Toc248651445"/>
      <w:bookmarkStart w:id="4" w:name="_Toc248651594"/>
      <w:bookmarkStart w:id="5" w:name="_Toc248652451"/>
      <w:r w:rsidR="00797878">
        <w:lastRenderedPageBreak/>
        <w:t>Acknowledgments</w:t>
      </w:r>
      <w:bookmarkEnd w:id="1"/>
      <w:bookmarkEnd w:id="2"/>
      <w:bookmarkEnd w:id="3"/>
      <w:bookmarkEnd w:id="4"/>
      <w:bookmarkEnd w:id="5"/>
    </w:p>
    <w:p w:rsidR="00797878" w:rsidRDefault="00797878" w:rsidP="00797878">
      <w:pPr>
        <w:pStyle w:val="BCSParagraph"/>
      </w:pPr>
      <w:r>
        <w:t>We would like to acknowl</w:t>
      </w:r>
      <w:r w:rsidR="003C277E">
        <w:t>edge all of the individuals who</w:t>
      </w:r>
      <w:r>
        <w:t xml:space="preserve"> contributed to this project. </w:t>
      </w:r>
    </w:p>
    <w:p w:rsidR="00CE519A" w:rsidRDefault="00797878" w:rsidP="00797878">
      <w:pPr>
        <w:pStyle w:val="BCSParagraph"/>
      </w:pPr>
      <w:r>
        <w:t>Acknowledgements</w:t>
      </w:r>
      <w:r w:rsidR="00850FA7">
        <w:t xml:space="preserve"> are given to the staff at the local a</w:t>
      </w:r>
      <w:r>
        <w:t xml:space="preserve">uthorities </w:t>
      </w:r>
      <w:r w:rsidR="00850FA7">
        <w:t>and to the staff and the learner</w:t>
      </w:r>
      <w:r w:rsidR="003C277E">
        <w:t xml:space="preserve">s at all of the schools </w:t>
      </w:r>
      <w:r>
        <w:t>we worked with on this project. Thank you for the time you put into this research</w:t>
      </w:r>
      <w:r w:rsidR="003C277E">
        <w:t xml:space="preserve">, as well as </w:t>
      </w:r>
      <w:r>
        <w:t>the information, assistance and ide</w:t>
      </w:r>
      <w:r w:rsidR="009714BB">
        <w:t xml:space="preserve">as that have helped make </w:t>
      </w:r>
      <w:r>
        <w:t>this project</w:t>
      </w:r>
      <w:r w:rsidR="009714BB">
        <w:t xml:space="preserve"> flourish</w:t>
      </w:r>
      <w:r>
        <w:t>.</w:t>
      </w:r>
    </w:p>
    <w:p w:rsidR="00735367" w:rsidRDefault="00797878" w:rsidP="0004357F">
      <w:pPr>
        <w:pStyle w:val="BCSParagraph"/>
        <w:rPr>
          <w:noProof/>
        </w:rPr>
      </w:pPr>
      <w:r>
        <w:br w:type="page"/>
      </w:r>
      <w:r w:rsidR="006D47AD">
        <w:lastRenderedPageBreak/>
        <w:fldChar w:fldCharType="begin"/>
      </w:r>
      <w:r w:rsidR="00735367">
        <w:instrText xml:space="preserve"> TOC \o "2-3" \h \z \t "Heading 1,1,| BCS | Heading A,1,| BCS | Heading B,2,| BCS | Heading C,3" </w:instrText>
      </w:r>
      <w:r w:rsidR="006D47AD">
        <w:fldChar w:fldCharType="separate"/>
      </w:r>
    </w:p>
    <w:p w:rsidR="00735367" w:rsidRDefault="006D47AD">
      <w:pPr>
        <w:pStyle w:val="TOC1"/>
        <w:tabs>
          <w:tab w:val="right" w:leader="dot" w:pos="9016"/>
        </w:tabs>
        <w:rPr>
          <w:rFonts w:ascii="Times New Roman" w:hAnsi="Times New Roman" w:cs="Times New Roman"/>
          <w:b w:val="0"/>
          <w:noProof/>
          <w:color w:val="auto"/>
          <w:szCs w:val="24"/>
        </w:rPr>
      </w:pPr>
      <w:hyperlink w:anchor="_Toc248652451" w:history="1">
        <w:r w:rsidR="00735367" w:rsidRPr="004B2C2B">
          <w:rPr>
            <w:rStyle w:val="Hyperlink"/>
            <w:noProof/>
          </w:rPr>
          <w:t>Acknowledgments</w:t>
        </w:r>
        <w:r w:rsidR="00735367">
          <w:rPr>
            <w:noProof/>
            <w:webHidden/>
          </w:rPr>
          <w:tab/>
        </w:r>
        <w:r>
          <w:rPr>
            <w:noProof/>
            <w:webHidden/>
          </w:rPr>
          <w:fldChar w:fldCharType="begin"/>
        </w:r>
        <w:r w:rsidR="00735367">
          <w:rPr>
            <w:noProof/>
            <w:webHidden/>
          </w:rPr>
          <w:instrText xml:space="preserve"> PAGEREF _Toc248652451 \h </w:instrText>
        </w:r>
        <w:r>
          <w:rPr>
            <w:noProof/>
            <w:webHidden/>
          </w:rPr>
        </w:r>
        <w:r>
          <w:rPr>
            <w:noProof/>
            <w:webHidden/>
          </w:rPr>
          <w:fldChar w:fldCharType="separate"/>
        </w:r>
        <w:r w:rsidR="00AE1C93">
          <w:rPr>
            <w:noProof/>
            <w:webHidden/>
          </w:rPr>
          <w:t>2</w:t>
        </w:r>
        <w:r>
          <w:rPr>
            <w:noProof/>
            <w:webHidden/>
          </w:rPr>
          <w:fldChar w:fldCharType="end"/>
        </w:r>
      </w:hyperlink>
    </w:p>
    <w:p w:rsidR="00735367" w:rsidRDefault="006D47AD">
      <w:pPr>
        <w:pStyle w:val="TOC1"/>
        <w:tabs>
          <w:tab w:val="right" w:leader="dot" w:pos="9016"/>
        </w:tabs>
        <w:rPr>
          <w:rFonts w:ascii="Times New Roman" w:hAnsi="Times New Roman" w:cs="Times New Roman"/>
          <w:b w:val="0"/>
          <w:noProof/>
          <w:color w:val="auto"/>
          <w:szCs w:val="24"/>
        </w:rPr>
      </w:pPr>
      <w:hyperlink w:anchor="_Toc248652452" w:history="1">
        <w:r w:rsidR="00735367" w:rsidRPr="004B2C2B">
          <w:rPr>
            <w:rStyle w:val="Hyperlink"/>
            <w:noProof/>
          </w:rPr>
          <w:t>Key messages</w:t>
        </w:r>
        <w:r w:rsidR="00735367">
          <w:rPr>
            <w:noProof/>
            <w:webHidden/>
          </w:rPr>
          <w:tab/>
        </w:r>
        <w:r>
          <w:rPr>
            <w:noProof/>
            <w:webHidden/>
          </w:rPr>
          <w:fldChar w:fldCharType="begin"/>
        </w:r>
        <w:r w:rsidR="00735367">
          <w:rPr>
            <w:noProof/>
            <w:webHidden/>
          </w:rPr>
          <w:instrText xml:space="preserve"> PAGEREF _Toc248652452 \h </w:instrText>
        </w:r>
        <w:r>
          <w:rPr>
            <w:noProof/>
            <w:webHidden/>
          </w:rPr>
        </w:r>
        <w:r>
          <w:rPr>
            <w:noProof/>
            <w:webHidden/>
          </w:rPr>
          <w:fldChar w:fldCharType="separate"/>
        </w:r>
        <w:r w:rsidR="00AE1C93">
          <w:rPr>
            <w:noProof/>
            <w:webHidden/>
          </w:rPr>
          <w:t>6</w:t>
        </w:r>
        <w:r>
          <w:rPr>
            <w:noProof/>
            <w:webHidden/>
          </w:rPr>
          <w:fldChar w:fldCharType="end"/>
        </w:r>
      </w:hyperlink>
    </w:p>
    <w:p w:rsidR="00735367" w:rsidRDefault="006D47AD">
      <w:pPr>
        <w:pStyle w:val="TOC1"/>
        <w:tabs>
          <w:tab w:val="right" w:leader="dot" w:pos="9016"/>
        </w:tabs>
        <w:rPr>
          <w:rFonts w:ascii="Times New Roman" w:hAnsi="Times New Roman" w:cs="Times New Roman"/>
          <w:b w:val="0"/>
          <w:noProof/>
          <w:color w:val="auto"/>
          <w:szCs w:val="24"/>
        </w:rPr>
      </w:pPr>
      <w:hyperlink w:anchor="_Toc248652453" w:history="1">
        <w:r w:rsidR="00735367" w:rsidRPr="004B2C2B">
          <w:rPr>
            <w:rStyle w:val="Hyperlink"/>
            <w:noProof/>
          </w:rPr>
          <w:t>The challenge</w:t>
        </w:r>
        <w:r w:rsidR="00735367">
          <w:rPr>
            <w:noProof/>
            <w:webHidden/>
          </w:rPr>
          <w:tab/>
        </w:r>
        <w:r>
          <w:rPr>
            <w:noProof/>
            <w:webHidden/>
          </w:rPr>
          <w:fldChar w:fldCharType="begin"/>
        </w:r>
        <w:r w:rsidR="00735367">
          <w:rPr>
            <w:noProof/>
            <w:webHidden/>
          </w:rPr>
          <w:instrText xml:space="preserve"> PAGEREF _Toc248652453 \h </w:instrText>
        </w:r>
        <w:r>
          <w:rPr>
            <w:noProof/>
            <w:webHidden/>
          </w:rPr>
        </w:r>
        <w:r>
          <w:rPr>
            <w:noProof/>
            <w:webHidden/>
          </w:rPr>
          <w:fldChar w:fldCharType="separate"/>
        </w:r>
        <w:r w:rsidR="00AE1C93">
          <w:rPr>
            <w:noProof/>
            <w:webHidden/>
          </w:rPr>
          <w:t>7</w:t>
        </w:r>
        <w:r>
          <w:rPr>
            <w:noProof/>
            <w:webHidden/>
          </w:rPr>
          <w:fldChar w:fldCharType="end"/>
        </w:r>
      </w:hyperlink>
    </w:p>
    <w:p w:rsidR="00735367" w:rsidRDefault="006D47AD">
      <w:pPr>
        <w:pStyle w:val="TOC2"/>
        <w:rPr>
          <w:rFonts w:ascii="Times New Roman" w:hAnsi="Times New Roman" w:cs="Times New Roman"/>
          <w:noProof/>
          <w:color w:val="auto"/>
          <w:szCs w:val="24"/>
        </w:rPr>
      </w:pPr>
      <w:hyperlink w:anchor="_Toc248652454" w:history="1">
        <w:r w:rsidR="00735367" w:rsidRPr="004B2C2B">
          <w:rPr>
            <w:rStyle w:val="Hyperlink"/>
            <w:noProof/>
          </w:rPr>
          <w:t>Narrowing the gap for low achievers and underachievers</w:t>
        </w:r>
        <w:r w:rsidR="00735367">
          <w:rPr>
            <w:noProof/>
            <w:webHidden/>
          </w:rPr>
          <w:tab/>
        </w:r>
        <w:r>
          <w:rPr>
            <w:noProof/>
            <w:webHidden/>
          </w:rPr>
          <w:fldChar w:fldCharType="begin"/>
        </w:r>
        <w:r w:rsidR="00735367">
          <w:rPr>
            <w:noProof/>
            <w:webHidden/>
          </w:rPr>
          <w:instrText xml:space="preserve"> PAGEREF _Toc248652454 \h </w:instrText>
        </w:r>
        <w:r>
          <w:rPr>
            <w:noProof/>
            <w:webHidden/>
          </w:rPr>
        </w:r>
        <w:r>
          <w:rPr>
            <w:noProof/>
            <w:webHidden/>
          </w:rPr>
          <w:fldChar w:fldCharType="separate"/>
        </w:r>
        <w:r w:rsidR="00AE1C93">
          <w:rPr>
            <w:noProof/>
            <w:webHidden/>
          </w:rPr>
          <w:t>7</w:t>
        </w:r>
        <w:r>
          <w:rPr>
            <w:noProof/>
            <w:webHidden/>
          </w:rPr>
          <w:fldChar w:fldCharType="end"/>
        </w:r>
      </w:hyperlink>
    </w:p>
    <w:p w:rsidR="00735367" w:rsidRDefault="006D47AD">
      <w:pPr>
        <w:pStyle w:val="TOC2"/>
        <w:rPr>
          <w:rFonts w:ascii="Times New Roman" w:hAnsi="Times New Roman" w:cs="Times New Roman"/>
          <w:noProof/>
          <w:color w:val="auto"/>
          <w:szCs w:val="24"/>
        </w:rPr>
      </w:pPr>
      <w:hyperlink w:anchor="_Toc248652455" w:history="1">
        <w:r w:rsidR="00735367" w:rsidRPr="004B2C2B">
          <w:rPr>
            <w:rStyle w:val="Hyperlink"/>
            <w:noProof/>
          </w:rPr>
          <w:t>Key issues</w:t>
        </w:r>
        <w:r w:rsidR="00735367">
          <w:rPr>
            <w:noProof/>
            <w:webHidden/>
          </w:rPr>
          <w:tab/>
        </w:r>
        <w:r>
          <w:rPr>
            <w:noProof/>
            <w:webHidden/>
          </w:rPr>
          <w:fldChar w:fldCharType="begin"/>
        </w:r>
        <w:r w:rsidR="00735367">
          <w:rPr>
            <w:noProof/>
            <w:webHidden/>
          </w:rPr>
          <w:instrText xml:space="preserve"> PAGEREF _Toc248652455 \h </w:instrText>
        </w:r>
        <w:r>
          <w:rPr>
            <w:noProof/>
            <w:webHidden/>
          </w:rPr>
        </w:r>
        <w:r>
          <w:rPr>
            <w:noProof/>
            <w:webHidden/>
          </w:rPr>
          <w:fldChar w:fldCharType="separate"/>
        </w:r>
        <w:r w:rsidR="00AE1C93">
          <w:rPr>
            <w:noProof/>
            <w:webHidden/>
          </w:rPr>
          <w:t>7</w:t>
        </w:r>
        <w:r>
          <w:rPr>
            <w:noProof/>
            <w:webHidden/>
          </w:rPr>
          <w:fldChar w:fldCharType="end"/>
        </w:r>
      </w:hyperlink>
    </w:p>
    <w:p w:rsidR="00735367" w:rsidRDefault="006D47AD">
      <w:pPr>
        <w:pStyle w:val="TOC1"/>
        <w:tabs>
          <w:tab w:val="right" w:leader="dot" w:pos="9016"/>
        </w:tabs>
        <w:rPr>
          <w:rFonts w:ascii="Times New Roman" w:hAnsi="Times New Roman" w:cs="Times New Roman"/>
          <w:b w:val="0"/>
          <w:noProof/>
          <w:color w:val="auto"/>
          <w:szCs w:val="24"/>
        </w:rPr>
      </w:pPr>
      <w:hyperlink w:anchor="_Toc248652456" w:history="1">
        <w:r w:rsidR="00735367" w:rsidRPr="004B2C2B">
          <w:rPr>
            <w:rStyle w:val="Hyperlink"/>
            <w:noProof/>
          </w:rPr>
          <w:t>Methodology</w:t>
        </w:r>
        <w:r w:rsidR="00735367">
          <w:rPr>
            <w:noProof/>
            <w:webHidden/>
          </w:rPr>
          <w:tab/>
        </w:r>
        <w:r>
          <w:rPr>
            <w:noProof/>
            <w:webHidden/>
          </w:rPr>
          <w:fldChar w:fldCharType="begin"/>
        </w:r>
        <w:r w:rsidR="00735367">
          <w:rPr>
            <w:noProof/>
            <w:webHidden/>
          </w:rPr>
          <w:instrText xml:space="preserve"> PAGEREF _Toc248652456 \h </w:instrText>
        </w:r>
        <w:r>
          <w:rPr>
            <w:noProof/>
            <w:webHidden/>
          </w:rPr>
        </w:r>
        <w:r>
          <w:rPr>
            <w:noProof/>
            <w:webHidden/>
          </w:rPr>
          <w:fldChar w:fldCharType="separate"/>
        </w:r>
        <w:r w:rsidR="00AE1C93">
          <w:rPr>
            <w:noProof/>
            <w:webHidden/>
          </w:rPr>
          <w:t>9</w:t>
        </w:r>
        <w:r>
          <w:rPr>
            <w:noProof/>
            <w:webHidden/>
          </w:rPr>
          <w:fldChar w:fldCharType="end"/>
        </w:r>
      </w:hyperlink>
    </w:p>
    <w:p w:rsidR="00735367" w:rsidRDefault="006D47AD">
      <w:pPr>
        <w:pStyle w:val="TOC2"/>
        <w:rPr>
          <w:rFonts w:ascii="Times New Roman" w:hAnsi="Times New Roman" w:cs="Times New Roman"/>
          <w:noProof/>
          <w:color w:val="auto"/>
          <w:szCs w:val="24"/>
        </w:rPr>
      </w:pPr>
      <w:hyperlink w:anchor="_Toc248652457" w:history="1">
        <w:r w:rsidR="00735367" w:rsidRPr="004B2C2B">
          <w:rPr>
            <w:rStyle w:val="Hyperlink"/>
            <w:noProof/>
          </w:rPr>
          <w:t>Sample schools</w:t>
        </w:r>
        <w:r w:rsidR="00735367">
          <w:rPr>
            <w:noProof/>
            <w:webHidden/>
          </w:rPr>
          <w:tab/>
        </w:r>
        <w:r>
          <w:rPr>
            <w:noProof/>
            <w:webHidden/>
          </w:rPr>
          <w:fldChar w:fldCharType="begin"/>
        </w:r>
        <w:r w:rsidR="00735367">
          <w:rPr>
            <w:noProof/>
            <w:webHidden/>
          </w:rPr>
          <w:instrText xml:space="preserve"> PAGEREF _Toc248652457 \h </w:instrText>
        </w:r>
        <w:r>
          <w:rPr>
            <w:noProof/>
            <w:webHidden/>
          </w:rPr>
        </w:r>
        <w:r>
          <w:rPr>
            <w:noProof/>
            <w:webHidden/>
          </w:rPr>
          <w:fldChar w:fldCharType="separate"/>
        </w:r>
        <w:r w:rsidR="00AE1C93">
          <w:rPr>
            <w:noProof/>
            <w:webHidden/>
          </w:rPr>
          <w:t>9</w:t>
        </w:r>
        <w:r>
          <w:rPr>
            <w:noProof/>
            <w:webHidden/>
          </w:rPr>
          <w:fldChar w:fldCharType="end"/>
        </w:r>
      </w:hyperlink>
    </w:p>
    <w:p w:rsidR="00735367" w:rsidRDefault="006D47AD">
      <w:pPr>
        <w:pStyle w:val="TOC2"/>
        <w:rPr>
          <w:rFonts w:ascii="Times New Roman" w:hAnsi="Times New Roman" w:cs="Times New Roman"/>
          <w:noProof/>
          <w:color w:val="auto"/>
          <w:szCs w:val="24"/>
        </w:rPr>
      </w:pPr>
      <w:hyperlink w:anchor="_Toc248652458" w:history="1">
        <w:r w:rsidR="00735367" w:rsidRPr="004B2C2B">
          <w:rPr>
            <w:rStyle w:val="Hyperlink"/>
            <w:noProof/>
          </w:rPr>
          <w:t>Summary of the fieldwork data collection</w:t>
        </w:r>
        <w:r w:rsidR="00735367">
          <w:rPr>
            <w:noProof/>
            <w:webHidden/>
          </w:rPr>
          <w:tab/>
        </w:r>
        <w:r>
          <w:rPr>
            <w:noProof/>
            <w:webHidden/>
          </w:rPr>
          <w:fldChar w:fldCharType="begin"/>
        </w:r>
        <w:r w:rsidR="00735367">
          <w:rPr>
            <w:noProof/>
            <w:webHidden/>
          </w:rPr>
          <w:instrText xml:space="preserve"> PAGEREF _Toc248652458 \h </w:instrText>
        </w:r>
        <w:r>
          <w:rPr>
            <w:noProof/>
            <w:webHidden/>
          </w:rPr>
        </w:r>
        <w:r>
          <w:rPr>
            <w:noProof/>
            <w:webHidden/>
          </w:rPr>
          <w:fldChar w:fldCharType="separate"/>
        </w:r>
        <w:r w:rsidR="00AE1C93">
          <w:rPr>
            <w:noProof/>
            <w:webHidden/>
          </w:rPr>
          <w:t>10</w:t>
        </w:r>
        <w:r>
          <w:rPr>
            <w:noProof/>
            <w:webHidden/>
          </w:rPr>
          <w:fldChar w:fldCharType="end"/>
        </w:r>
      </w:hyperlink>
    </w:p>
    <w:p w:rsidR="00735367" w:rsidRDefault="006D47AD">
      <w:pPr>
        <w:pStyle w:val="TOC2"/>
        <w:rPr>
          <w:rFonts w:ascii="Times New Roman" w:hAnsi="Times New Roman" w:cs="Times New Roman"/>
          <w:noProof/>
          <w:color w:val="auto"/>
          <w:szCs w:val="24"/>
        </w:rPr>
      </w:pPr>
      <w:hyperlink w:anchor="_Toc248652459" w:history="1">
        <w:r w:rsidR="00735367" w:rsidRPr="004B2C2B">
          <w:rPr>
            <w:rStyle w:val="Hyperlink"/>
            <w:noProof/>
          </w:rPr>
          <w:t>Defining low achievement and underachievement</w:t>
        </w:r>
        <w:r w:rsidR="00735367">
          <w:rPr>
            <w:noProof/>
            <w:webHidden/>
          </w:rPr>
          <w:tab/>
        </w:r>
        <w:r>
          <w:rPr>
            <w:noProof/>
            <w:webHidden/>
          </w:rPr>
          <w:fldChar w:fldCharType="begin"/>
        </w:r>
        <w:r w:rsidR="00735367">
          <w:rPr>
            <w:noProof/>
            <w:webHidden/>
          </w:rPr>
          <w:instrText xml:space="preserve"> PAGEREF _Toc248652459 \h </w:instrText>
        </w:r>
        <w:r>
          <w:rPr>
            <w:noProof/>
            <w:webHidden/>
          </w:rPr>
        </w:r>
        <w:r>
          <w:rPr>
            <w:noProof/>
            <w:webHidden/>
          </w:rPr>
          <w:fldChar w:fldCharType="separate"/>
        </w:r>
        <w:r w:rsidR="00AE1C93">
          <w:rPr>
            <w:noProof/>
            <w:webHidden/>
          </w:rPr>
          <w:t>10</w:t>
        </w:r>
        <w:r>
          <w:rPr>
            <w:noProof/>
            <w:webHidden/>
          </w:rPr>
          <w:fldChar w:fldCharType="end"/>
        </w:r>
      </w:hyperlink>
    </w:p>
    <w:p w:rsidR="00735367" w:rsidRDefault="006D47AD">
      <w:pPr>
        <w:pStyle w:val="TOC1"/>
        <w:tabs>
          <w:tab w:val="right" w:leader="dot" w:pos="9016"/>
        </w:tabs>
        <w:rPr>
          <w:rFonts w:ascii="Times New Roman" w:hAnsi="Times New Roman" w:cs="Times New Roman"/>
          <w:b w:val="0"/>
          <w:noProof/>
          <w:color w:val="auto"/>
          <w:szCs w:val="24"/>
        </w:rPr>
      </w:pPr>
      <w:hyperlink w:anchor="_Toc248652460" w:history="1">
        <w:r w:rsidR="00735367" w:rsidRPr="004B2C2B">
          <w:rPr>
            <w:rStyle w:val="Hyperlink"/>
            <w:noProof/>
          </w:rPr>
          <w:t>Where are the gaps?</w:t>
        </w:r>
        <w:r w:rsidR="00735367">
          <w:rPr>
            <w:noProof/>
            <w:webHidden/>
          </w:rPr>
          <w:tab/>
        </w:r>
        <w:r>
          <w:rPr>
            <w:noProof/>
            <w:webHidden/>
          </w:rPr>
          <w:fldChar w:fldCharType="begin"/>
        </w:r>
        <w:r w:rsidR="00735367">
          <w:rPr>
            <w:noProof/>
            <w:webHidden/>
          </w:rPr>
          <w:instrText xml:space="preserve"> PAGEREF _Toc248652460 \h </w:instrText>
        </w:r>
        <w:r>
          <w:rPr>
            <w:noProof/>
            <w:webHidden/>
          </w:rPr>
        </w:r>
        <w:r>
          <w:rPr>
            <w:noProof/>
            <w:webHidden/>
          </w:rPr>
          <w:fldChar w:fldCharType="separate"/>
        </w:r>
        <w:r w:rsidR="00AE1C93">
          <w:rPr>
            <w:noProof/>
            <w:webHidden/>
          </w:rPr>
          <w:t>15</w:t>
        </w:r>
        <w:r>
          <w:rPr>
            <w:noProof/>
            <w:webHidden/>
          </w:rPr>
          <w:fldChar w:fldCharType="end"/>
        </w:r>
      </w:hyperlink>
    </w:p>
    <w:p w:rsidR="00735367" w:rsidRDefault="006D47AD">
      <w:pPr>
        <w:pStyle w:val="TOC2"/>
        <w:rPr>
          <w:rFonts w:ascii="Times New Roman" w:hAnsi="Times New Roman" w:cs="Times New Roman"/>
          <w:noProof/>
          <w:color w:val="auto"/>
          <w:szCs w:val="24"/>
        </w:rPr>
      </w:pPr>
      <w:hyperlink w:anchor="_Toc248652461" w:history="1">
        <w:r w:rsidR="00735367" w:rsidRPr="004B2C2B">
          <w:rPr>
            <w:rStyle w:val="Hyperlink"/>
            <w:noProof/>
          </w:rPr>
          <w:t>Local authority policies related to low achievers and underachievers</w:t>
        </w:r>
        <w:r w:rsidR="00735367">
          <w:rPr>
            <w:noProof/>
            <w:webHidden/>
          </w:rPr>
          <w:tab/>
        </w:r>
        <w:r>
          <w:rPr>
            <w:noProof/>
            <w:webHidden/>
          </w:rPr>
          <w:fldChar w:fldCharType="begin"/>
        </w:r>
        <w:r w:rsidR="00735367">
          <w:rPr>
            <w:noProof/>
            <w:webHidden/>
          </w:rPr>
          <w:instrText xml:space="preserve"> PAGEREF _Toc248652461 \h </w:instrText>
        </w:r>
        <w:r>
          <w:rPr>
            <w:noProof/>
            <w:webHidden/>
          </w:rPr>
        </w:r>
        <w:r>
          <w:rPr>
            <w:noProof/>
            <w:webHidden/>
          </w:rPr>
          <w:fldChar w:fldCharType="separate"/>
        </w:r>
        <w:r w:rsidR="00AE1C93">
          <w:rPr>
            <w:noProof/>
            <w:webHidden/>
          </w:rPr>
          <w:t>15</w:t>
        </w:r>
        <w:r>
          <w:rPr>
            <w:noProof/>
            <w:webHidden/>
          </w:rPr>
          <w:fldChar w:fldCharType="end"/>
        </w:r>
      </w:hyperlink>
    </w:p>
    <w:p w:rsidR="00735367" w:rsidRDefault="006D47AD">
      <w:pPr>
        <w:pStyle w:val="TOC2"/>
        <w:rPr>
          <w:rFonts w:ascii="Times New Roman" w:hAnsi="Times New Roman" w:cs="Times New Roman"/>
          <w:noProof/>
          <w:color w:val="auto"/>
          <w:szCs w:val="24"/>
        </w:rPr>
      </w:pPr>
      <w:hyperlink w:anchor="_Toc248652462" w:history="1">
        <w:r w:rsidR="00735367" w:rsidRPr="004B2C2B">
          <w:rPr>
            <w:rStyle w:val="Hyperlink"/>
            <w:noProof/>
          </w:rPr>
          <w:t>Policy gaps</w:t>
        </w:r>
        <w:r w:rsidR="00735367">
          <w:rPr>
            <w:noProof/>
            <w:webHidden/>
          </w:rPr>
          <w:tab/>
        </w:r>
        <w:r>
          <w:rPr>
            <w:noProof/>
            <w:webHidden/>
          </w:rPr>
          <w:fldChar w:fldCharType="begin"/>
        </w:r>
        <w:r w:rsidR="00735367">
          <w:rPr>
            <w:noProof/>
            <w:webHidden/>
          </w:rPr>
          <w:instrText xml:space="preserve"> PAGEREF _Toc248652462 \h </w:instrText>
        </w:r>
        <w:r>
          <w:rPr>
            <w:noProof/>
            <w:webHidden/>
          </w:rPr>
        </w:r>
        <w:r>
          <w:rPr>
            <w:noProof/>
            <w:webHidden/>
          </w:rPr>
          <w:fldChar w:fldCharType="separate"/>
        </w:r>
        <w:r w:rsidR="00AE1C93">
          <w:rPr>
            <w:noProof/>
            <w:webHidden/>
          </w:rPr>
          <w:t>15</w:t>
        </w:r>
        <w:r>
          <w:rPr>
            <w:noProof/>
            <w:webHidden/>
          </w:rPr>
          <w:fldChar w:fldCharType="end"/>
        </w:r>
      </w:hyperlink>
    </w:p>
    <w:p w:rsidR="00735367" w:rsidRDefault="006D47AD">
      <w:pPr>
        <w:pStyle w:val="TOC1"/>
        <w:tabs>
          <w:tab w:val="right" w:leader="dot" w:pos="9016"/>
        </w:tabs>
        <w:rPr>
          <w:rFonts w:ascii="Times New Roman" w:hAnsi="Times New Roman" w:cs="Times New Roman"/>
          <w:b w:val="0"/>
          <w:noProof/>
          <w:color w:val="auto"/>
          <w:szCs w:val="24"/>
        </w:rPr>
      </w:pPr>
      <w:hyperlink w:anchor="_Toc248652463" w:history="1">
        <w:r w:rsidR="00735367" w:rsidRPr="004B2C2B">
          <w:rPr>
            <w:rStyle w:val="Hyperlink"/>
            <w:noProof/>
          </w:rPr>
          <w:t>Identifying effective strategies to support low achievers and underachievers within the sample schools</w:t>
        </w:r>
        <w:r w:rsidR="00735367">
          <w:rPr>
            <w:noProof/>
            <w:webHidden/>
          </w:rPr>
          <w:tab/>
        </w:r>
        <w:r>
          <w:rPr>
            <w:noProof/>
            <w:webHidden/>
          </w:rPr>
          <w:fldChar w:fldCharType="begin"/>
        </w:r>
        <w:r w:rsidR="00735367">
          <w:rPr>
            <w:noProof/>
            <w:webHidden/>
          </w:rPr>
          <w:instrText xml:space="preserve"> PAGEREF _Toc248652463 \h </w:instrText>
        </w:r>
        <w:r>
          <w:rPr>
            <w:noProof/>
            <w:webHidden/>
          </w:rPr>
        </w:r>
        <w:r>
          <w:rPr>
            <w:noProof/>
            <w:webHidden/>
          </w:rPr>
          <w:fldChar w:fldCharType="separate"/>
        </w:r>
        <w:r w:rsidR="00AE1C93">
          <w:rPr>
            <w:noProof/>
            <w:webHidden/>
          </w:rPr>
          <w:t>18</w:t>
        </w:r>
        <w:r>
          <w:rPr>
            <w:noProof/>
            <w:webHidden/>
          </w:rPr>
          <w:fldChar w:fldCharType="end"/>
        </w:r>
      </w:hyperlink>
    </w:p>
    <w:p w:rsidR="00735367" w:rsidRDefault="006D47AD">
      <w:pPr>
        <w:pStyle w:val="TOC2"/>
        <w:rPr>
          <w:rFonts w:ascii="Times New Roman" w:hAnsi="Times New Roman" w:cs="Times New Roman"/>
          <w:noProof/>
          <w:color w:val="auto"/>
          <w:szCs w:val="24"/>
        </w:rPr>
      </w:pPr>
      <w:hyperlink w:anchor="_Toc248652464" w:history="1">
        <w:r w:rsidR="00735367" w:rsidRPr="004B2C2B">
          <w:rPr>
            <w:rStyle w:val="Hyperlink"/>
            <w:noProof/>
          </w:rPr>
          <w:t>Key examples from the field evidence</w:t>
        </w:r>
        <w:r w:rsidR="00735367">
          <w:rPr>
            <w:noProof/>
            <w:webHidden/>
          </w:rPr>
          <w:tab/>
        </w:r>
        <w:r>
          <w:rPr>
            <w:noProof/>
            <w:webHidden/>
          </w:rPr>
          <w:fldChar w:fldCharType="begin"/>
        </w:r>
        <w:r w:rsidR="00735367">
          <w:rPr>
            <w:noProof/>
            <w:webHidden/>
          </w:rPr>
          <w:instrText xml:space="preserve"> PAGEREF _Toc248652464 \h </w:instrText>
        </w:r>
        <w:r>
          <w:rPr>
            <w:noProof/>
            <w:webHidden/>
          </w:rPr>
        </w:r>
        <w:r>
          <w:rPr>
            <w:noProof/>
            <w:webHidden/>
          </w:rPr>
          <w:fldChar w:fldCharType="separate"/>
        </w:r>
        <w:r w:rsidR="00AE1C93">
          <w:rPr>
            <w:noProof/>
            <w:webHidden/>
          </w:rPr>
          <w:t>18</w:t>
        </w:r>
        <w:r>
          <w:rPr>
            <w:noProof/>
            <w:webHidden/>
          </w:rPr>
          <w:fldChar w:fldCharType="end"/>
        </w:r>
      </w:hyperlink>
    </w:p>
    <w:p w:rsidR="00735367" w:rsidRDefault="006D47AD">
      <w:pPr>
        <w:pStyle w:val="TOC3"/>
        <w:tabs>
          <w:tab w:val="right" w:leader="dot" w:pos="9016"/>
        </w:tabs>
        <w:rPr>
          <w:rFonts w:ascii="Times New Roman" w:hAnsi="Times New Roman" w:cs="Times New Roman"/>
          <w:noProof/>
          <w:color w:val="auto"/>
          <w:szCs w:val="24"/>
        </w:rPr>
      </w:pPr>
      <w:hyperlink w:anchor="_Toc248652465" w:history="1">
        <w:r w:rsidR="00735367" w:rsidRPr="004B2C2B">
          <w:rPr>
            <w:rStyle w:val="Hyperlink"/>
            <w:noProof/>
          </w:rPr>
          <w:t>Improving results by monitoring behaviour</w:t>
        </w:r>
        <w:r w:rsidR="00735367">
          <w:rPr>
            <w:noProof/>
            <w:webHidden/>
          </w:rPr>
          <w:tab/>
        </w:r>
        <w:r>
          <w:rPr>
            <w:noProof/>
            <w:webHidden/>
          </w:rPr>
          <w:fldChar w:fldCharType="begin"/>
        </w:r>
        <w:r w:rsidR="00735367">
          <w:rPr>
            <w:noProof/>
            <w:webHidden/>
          </w:rPr>
          <w:instrText xml:space="preserve"> PAGEREF _Toc248652465 \h </w:instrText>
        </w:r>
        <w:r>
          <w:rPr>
            <w:noProof/>
            <w:webHidden/>
          </w:rPr>
        </w:r>
        <w:r>
          <w:rPr>
            <w:noProof/>
            <w:webHidden/>
          </w:rPr>
          <w:fldChar w:fldCharType="separate"/>
        </w:r>
        <w:r w:rsidR="00AE1C93">
          <w:rPr>
            <w:noProof/>
            <w:webHidden/>
          </w:rPr>
          <w:t>18</w:t>
        </w:r>
        <w:r>
          <w:rPr>
            <w:noProof/>
            <w:webHidden/>
          </w:rPr>
          <w:fldChar w:fldCharType="end"/>
        </w:r>
      </w:hyperlink>
    </w:p>
    <w:p w:rsidR="00735367" w:rsidRDefault="006D47AD">
      <w:pPr>
        <w:pStyle w:val="TOC3"/>
        <w:tabs>
          <w:tab w:val="right" w:leader="dot" w:pos="9016"/>
        </w:tabs>
        <w:rPr>
          <w:rFonts w:ascii="Times New Roman" w:hAnsi="Times New Roman" w:cs="Times New Roman"/>
          <w:noProof/>
          <w:color w:val="auto"/>
          <w:szCs w:val="24"/>
        </w:rPr>
      </w:pPr>
      <w:hyperlink w:anchor="_Toc248652466" w:history="1">
        <w:r w:rsidR="00735367" w:rsidRPr="004B2C2B">
          <w:rPr>
            <w:rStyle w:val="Hyperlink"/>
            <w:noProof/>
            <w:lang w:val="en-US"/>
          </w:rPr>
          <w:t>Readiness for learning</w:t>
        </w:r>
        <w:r w:rsidR="00735367">
          <w:rPr>
            <w:noProof/>
            <w:webHidden/>
          </w:rPr>
          <w:tab/>
        </w:r>
        <w:r>
          <w:rPr>
            <w:noProof/>
            <w:webHidden/>
          </w:rPr>
          <w:fldChar w:fldCharType="begin"/>
        </w:r>
        <w:r w:rsidR="00735367">
          <w:rPr>
            <w:noProof/>
            <w:webHidden/>
          </w:rPr>
          <w:instrText xml:space="preserve"> PAGEREF _Toc248652466 \h </w:instrText>
        </w:r>
        <w:r>
          <w:rPr>
            <w:noProof/>
            <w:webHidden/>
          </w:rPr>
        </w:r>
        <w:r>
          <w:rPr>
            <w:noProof/>
            <w:webHidden/>
          </w:rPr>
          <w:fldChar w:fldCharType="separate"/>
        </w:r>
        <w:r w:rsidR="00AE1C93">
          <w:rPr>
            <w:noProof/>
            <w:webHidden/>
          </w:rPr>
          <w:t>21</w:t>
        </w:r>
        <w:r>
          <w:rPr>
            <w:noProof/>
            <w:webHidden/>
          </w:rPr>
          <w:fldChar w:fldCharType="end"/>
        </w:r>
      </w:hyperlink>
    </w:p>
    <w:p w:rsidR="00735367" w:rsidRDefault="006D47AD">
      <w:pPr>
        <w:pStyle w:val="TOC3"/>
        <w:tabs>
          <w:tab w:val="right" w:leader="dot" w:pos="9016"/>
        </w:tabs>
        <w:rPr>
          <w:rFonts w:ascii="Times New Roman" w:hAnsi="Times New Roman" w:cs="Times New Roman"/>
          <w:noProof/>
          <w:color w:val="auto"/>
          <w:szCs w:val="24"/>
        </w:rPr>
      </w:pPr>
      <w:hyperlink w:anchor="_Toc248652467" w:history="1">
        <w:r w:rsidR="00735367" w:rsidRPr="004B2C2B">
          <w:rPr>
            <w:rStyle w:val="Hyperlink"/>
            <w:noProof/>
          </w:rPr>
          <w:t>Nurture groups</w:t>
        </w:r>
        <w:r w:rsidR="00735367">
          <w:rPr>
            <w:noProof/>
            <w:webHidden/>
          </w:rPr>
          <w:tab/>
        </w:r>
        <w:r>
          <w:rPr>
            <w:noProof/>
            <w:webHidden/>
          </w:rPr>
          <w:fldChar w:fldCharType="begin"/>
        </w:r>
        <w:r w:rsidR="00735367">
          <w:rPr>
            <w:noProof/>
            <w:webHidden/>
          </w:rPr>
          <w:instrText xml:space="preserve"> PAGEREF _Toc248652467 \h </w:instrText>
        </w:r>
        <w:r>
          <w:rPr>
            <w:noProof/>
            <w:webHidden/>
          </w:rPr>
        </w:r>
        <w:r>
          <w:rPr>
            <w:noProof/>
            <w:webHidden/>
          </w:rPr>
          <w:fldChar w:fldCharType="separate"/>
        </w:r>
        <w:r w:rsidR="00AE1C93">
          <w:rPr>
            <w:noProof/>
            <w:webHidden/>
          </w:rPr>
          <w:t>22</w:t>
        </w:r>
        <w:r>
          <w:rPr>
            <w:noProof/>
            <w:webHidden/>
          </w:rPr>
          <w:fldChar w:fldCharType="end"/>
        </w:r>
      </w:hyperlink>
    </w:p>
    <w:p w:rsidR="00735367" w:rsidRDefault="006D47AD">
      <w:pPr>
        <w:pStyle w:val="TOC3"/>
        <w:tabs>
          <w:tab w:val="right" w:leader="dot" w:pos="9016"/>
        </w:tabs>
        <w:rPr>
          <w:rFonts w:ascii="Times New Roman" w:hAnsi="Times New Roman" w:cs="Times New Roman"/>
          <w:noProof/>
          <w:color w:val="auto"/>
          <w:szCs w:val="24"/>
        </w:rPr>
      </w:pPr>
      <w:hyperlink w:anchor="_Toc248652468" w:history="1">
        <w:r w:rsidR="00735367" w:rsidRPr="004B2C2B">
          <w:rPr>
            <w:rStyle w:val="Hyperlink"/>
            <w:noProof/>
          </w:rPr>
          <w:t>Attentional training</w:t>
        </w:r>
        <w:r w:rsidR="00735367">
          <w:rPr>
            <w:noProof/>
            <w:webHidden/>
          </w:rPr>
          <w:tab/>
        </w:r>
        <w:r>
          <w:rPr>
            <w:noProof/>
            <w:webHidden/>
          </w:rPr>
          <w:fldChar w:fldCharType="begin"/>
        </w:r>
        <w:r w:rsidR="00735367">
          <w:rPr>
            <w:noProof/>
            <w:webHidden/>
          </w:rPr>
          <w:instrText xml:space="preserve"> PAGEREF _Toc248652468 \h </w:instrText>
        </w:r>
        <w:r>
          <w:rPr>
            <w:noProof/>
            <w:webHidden/>
          </w:rPr>
        </w:r>
        <w:r>
          <w:rPr>
            <w:noProof/>
            <w:webHidden/>
          </w:rPr>
          <w:fldChar w:fldCharType="separate"/>
        </w:r>
        <w:r w:rsidR="00AE1C93">
          <w:rPr>
            <w:noProof/>
            <w:webHidden/>
          </w:rPr>
          <w:t>23</w:t>
        </w:r>
        <w:r>
          <w:rPr>
            <w:noProof/>
            <w:webHidden/>
          </w:rPr>
          <w:fldChar w:fldCharType="end"/>
        </w:r>
      </w:hyperlink>
    </w:p>
    <w:p w:rsidR="00735367" w:rsidRDefault="006D47AD">
      <w:pPr>
        <w:pStyle w:val="TOC3"/>
        <w:tabs>
          <w:tab w:val="right" w:leader="dot" w:pos="9016"/>
        </w:tabs>
        <w:rPr>
          <w:rFonts w:ascii="Times New Roman" w:hAnsi="Times New Roman" w:cs="Times New Roman"/>
          <w:noProof/>
          <w:color w:val="auto"/>
          <w:szCs w:val="24"/>
        </w:rPr>
      </w:pPr>
      <w:hyperlink w:anchor="_Toc248652469" w:history="1">
        <w:r w:rsidR="00735367" w:rsidRPr="004B2C2B">
          <w:rPr>
            <w:rStyle w:val="Hyperlink"/>
            <w:noProof/>
            <w:lang w:val="en-US"/>
          </w:rPr>
          <w:t>Inclusion strategies</w:t>
        </w:r>
        <w:r w:rsidR="00735367">
          <w:rPr>
            <w:noProof/>
            <w:webHidden/>
          </w:rPr>
          <w:tab/>
        </w:r>
        <w:r>
          <w:rPr>
            <w:noProof/>
            <w:webHidden/>
          </w:rPr>
          <w:fldChar w:fldCharType="begin"/>
        </w:r>
        <w:r w:rsidR="00735367">
          <w:rPr>
            <w:noProof/>
            <w:webHidden/>
          </w:rPr>
          <w:instrText xml:space="preserve"> PAGEREF _Toc248652469 \h </w:instrText>
        </w:r>
        <w:r>
          <w:rPr>
            <w:noProof/>
            <w:webHidden/>
          </w:rPr>
        </w:r>
        <w:r>
          <w:rPr>
            <w:noProof/>
            <w:webHidden/>
          </w:rPr>
          <w:fldChar w:fldCharType="separate"/>
        </w:r>
        <w:r w:rsidR="00AE1C93">
          <w:rPr>
            <w:noProof/>
            <w:webHidden/>
          </w:rPr>
          <w:t>24</w:t>
        </w:r>
        <w:r>
          <w:rPr>
            <w:noProof/>
            <w:webHidden/>
          </w:rPr>
          <w:fldChar w:fldCharType="end"/>
        </w:r>
      </w:hyperlink>
    </w:p>
    <w:p w:rsidR="00735367" w:rsidRDefault="006D47AD">
      <w:pPr>
        <w:pStyle w:val="TOC3"/>
        <w:tabs>
          <w:tab w:val="right" w:leader="dot" w:pos="9016"/>
        </w:tabs>
        <w:rPr>
          <w:rFonts w:ascii="Times New Roman" w:hAnsi="Times New Roman" w:cs="Times New Roman"/>
          <w:noProof/>
          <w:color w:val="auto"/>
          <w:szCs w:val="24"/>
        </w:rPr>
      </w:pPr>
      <w:hyperlink w:anchor="_Toc248652470" w:history="1">
        <w:r w:rsidR="00735367" w:rsidRPr="004B2C2B">
          <w:rPr>
            <w:rStyle w:val="Hyperlink"/>
            <w:noProof/>
          </w:rPr>
          <w:t>Resources that aid the personalisation of learning</w:t>
        </w:r>
        <w:r w:rsidR="00735367">
          <w:rPr>
            <w:noProof/>
            <w:webHidden/>
          </w:rPr>
          <w:tab/>
        </w:r>
        <w:r>
          <w:rPr>
            <w:noProof/>
            <w:webHidden/>
          </w:rPr>
          <w:fldChar w:fldCharType="begin"/>
        </w:r>
        <w:r w:rsidR="00735367">
          <w:rPr>
            <w:noProof/>
            <w:webHidden/>
          </w:rPr>
          <w:instrText xml:space="preserve"> PAGEREF _Toc248652470 \h </w:instrText>
        </w:r>
        <w:r>
          <w:rPr>
            <w:noProof/>
            <w:webHidden/>
          </w:rPr>
        </w:r>
        <w:r>
          <w:rPr>
            <w:noProof/>
            <w:webHidden/>
          </w:rPr>
          <w:fldChar w:fldCharType="separate"/>
        </w:r>
        <w:r w:rsidR="00AE1C93">
          <w:rPr>
            <w:noProof/>
            <w:webHidden/>
          </w:rPr>
          <w:t>24</w:t>
        </w:r>
        <w:r>
          <w:rPr>
            <w:noProof/>
            <w:webHidden/>
          </w:rPr>
          <w:fldChar w:fldCharType="end"/>
        </w:r>
      </w:hyperlink>
    </w:p>
    <w:p w:rsidR="00735367" w:rsidRDefault="006D47AD">
      <w:pPr>
        <w:pStyle w:val="TOC3"/>
        <w:tabs>
          <w:tab w:val="right" w:leader="dot" w:pos="9016"/>
        </w:tabs>
        <w:rPr>
          <w:rFonts w:ascii="Times New Roman" w:hAnsi="Times New Roman" w:cs="Times New Roman"/>
          <w:noProof/>
          <w:color w:val="auto"/>
          <w:szCs w:val="24"/>
        </w:rPr>
      </w:pPr>
      <w:hyperlink w:anchor="_Toc248652471" w:history="1">
        <w:r w:rsidR="00735367" w:rsidRPr="004B2C2B">
          <w:rPr>
            <w:rStyle w:val="Hyperlink"/>
            <w:noProof/>
          </w:rPr>
          <w:t>Authentic learning</w:t>
        </w:r>
        <w:r w:rsidR="00735367">
          <w:rPr>
            <w:noProof/>
            <w:webHidden/>
          </w:rPr>
          <w:tab/>
        </w:r>
        <w:r>
          <w:rPr>
            <w:noProof/>
            <w:webHidden/>
          </w:rPr>
          <w:fldChar w:fldCharType="begin"/>
        </w:r>
        <w:r w:rsidR="00735367">
          <w:rPr>
            <w:noProof/>
            <w:webHidden/>
          </w:rPr>
          <w:instrText xml:space="preserve"> PAGEREF _Toc248652471 \h </w:instrText>
        </w:r>
        <w:r>
          <w:rPr>
            <w:noProof/>
            <w:webHidden/>
          </w:rPr>
        </w:r>
        <w:r>
          <w:rPr>
            <w:noProof/>
            <w:webHidden/>
          </w:rPr>
          <w:fldChar w:fldCharType="separate"/>
        </w:r>
        <w:r w:rsidR="00AE1C93">
          <w:rPr>
            <w:noProof/>
            <w:webHidden/>
          </w:rPr>
          <w:t>25</w:t>
        </w:r>
        <w:r>
          <w:rPr>
            <w:noProof/>
            <w:webHidden/>
          </w:rPr>
          <w:fldChar w:fldCharType="end"/>
        </w:r>
      </w:hyperlink>
    </w:p>
    <w:p w:rsidR="00735367" w:rsidRDefault="006D47AD">
      <w:pPr>
        <w:pStyle w:val="TOC3"/>
        <w:tabs>
          <w:tab w:val="right" w:leader="dot" w:pos="9016"/>
        </w:tabs>
        <w:rPr>
          <w:rFonts w:ascii="Times New Roman" w:hAnsi="Times New Roman" w:cs="Times New Roman"/>
          <w:noProof/>
          <w:color w:val="auto"/>
          <w:szCs w:val="24"/>
        </w:rPr>
      </w:pPr>
      <w:hyperlink w:anchor="_Toc248652472" w:history="1">
        <w:r w:rsidR="00735367" w:rsidRPr="004B2C2B">
          <w:rPr>
            <w:rStyle w:val="Hyperlink"/>
            <w:noProof/>
            <w:lang w:val="en-US"/>
          </w:rPr>
          <w:t xml:space="preserve">Facilitating integration: </w:t>
        </w:r>
        <w:r w:rsidR="00735367" w:rsidRPr="004B2C2B">
          <w:rPr>
            <w:rStyle w:val="Hyperlink"/>
            <w:noProof/>
          </w:rPr>
          <w:t>tools to allow engagement</w:t>
        </w:r>
        <w:r w:rsidR="00735367">
          <w:rPr>
            <w:noProof/>
            <w:webHidden/>
          </w:rPr>
          <w:tab/>
        </w:r>
        <w:r>
          <w:rPr>
            <w:noProof/>
            <w:webHidden/>
          </w:rPr>
          <w:fldChar w:fldCharType="begin"/>
        </w:r>
        <w:r w:rsidR="00735367">
          <w:rPr>
            <w:noProof/>
            <w:webHidden/>
          </w:rPr>
          <w:instrText xml:space="preserve"> PAGEREF _Toc248652472 \h </w:instrText>
        </w:r>
        <w:r>
          <w:rPr>
            <w:noProof/>
            <w:webHidden/>
          </w:rPr>
        </w:r>
        <w:r>
          <w:rPr>
            <w:noProof/>
            <w:webHidden/>
          </w:rPr>
          <w:fldChar w:fldCharType="separate"/>
        </w:r>
        <w:r w:rsidR="00AE1C93">
          <w:rPr>
            <w:noProof/>
            <w:webHidden/>
          </w:rPr>
          <w:t>25</w:t>
        </w:r>
        <w:r>
          <w:rPr>
            <w:noProof/>
            <w:webHidden/>
          </w:rPr>
          <w:fldChar w:fldCharType="end"/>
        </w:r>
      </w:hyperlink>
    </w:p>
    <w:p w:rsidR="00735367" w:rsidRDefault="006D47AD">
      <w:pPr>
        <w:pStyle w:val="TOC3"/>
        <w:tabs>
          <w:tab w:val="right" w:leader="dot" w:pos="9016"/>
        </w:tabs>
        <w:rPr>
          <w:rFonts w:ascii="Times New Roman" w:hAnsi="Times New Roman" w:cs="Times New Roman"/>
          <w:noProof/>
          <w:color w:val="auto"/>
          <w:szCs w:val="24"/>
        </w:rPr>
      </w:pPr>
      <w:hyperlink w:anchor="_Toc248652473" w:history="1">
        <w:r w:rsidR="00735367" w:rsidRPr="004B2C2B">
          <w:rPr>
            <w:rStyle w:val="Hyperlink"/>
            <w:noProof/>
          </w:rPr>
          <w:t>Resource access in the home</w:t>
        </w:r>
        <w:r w:rsidR="00735367">
          <w:rPr>
            <w:noProof/>
            <w:webHidden/>
          </w:rPr>
          <w:tab/>
        </w:r>
        <w:r>
          <w:rPr>
            <w:noProof/>
            <w:webHidden/>
          </w:rPr>
          <w:fldChar w:fldCharType="begin"/>
        </w:r>
        <w:r w:rsidR="00735367">
          <w:rPr>
            <w:noProof/>
            <w:webHidden/>
          </w:rPr>
          <w:instrText xml:space="preserve"> PAGEREF _Toc248652473 \h </w:instrText>
        </w:r>
        <w:r>
          <w:rPr>
            <w:noProof/>
            <w:webHidden/>
          </w:rPr>
        </w:r>
        <w:r>
          <w:rPr>
            <w:noProof/>
            <w:webHidden/>
          </w:rPr>
          <w:fldChar w:fldCharType="separate"/>
        </w:r>
        <w:r w:rsidR="00AE1C93">
          <w:rPr>
            <w:noProof/>
            <w:webHidden/>
          </w:rPr>
          <w:t>26</w:t>
        </w:r>
        <w:r>
          <w:rPr>
            <w:noProof/>
            <w:webHidden/>
          </w:rPr>
          <w:fldChar w:fldCharType="end"/>
        </w:r>
      </w:hyperlink>
    </w:p>
    <w:p w:rsidR="00735367" w:rsidRDefault="006D47AD">
      <w:pPr>
        <w:pStyle w:val="TOC3"/>
        <w:tabs>
          <w:tab w:val="right" w:leader="dot" w:pos="9016"/>
        </w:tabs>
        <w:rPr>
          <w:rFonts w:ascii="Times New Roman" w:hAnsi="Times New Roman" w:cs="Times New Roman"/>
          <w:noProof/>
          <w:color w:val="auto"/>
          <w:szCs w:val="24"/>
        </w:rPr>
      </w:pPr>
      <w:hyperlink w:anchor="_Toc248652474" w:history="1">
        <w:r w:rsidR="00735367" w:rsidRPr="004B2C2B">
          <w:rPr>
            <w:rStyle w:val="Hyperlink"/>
            <w:noProof/>
          </w:rPr>
          <w:t>The technological sweet</w:t>
        </w:r>
        <w:r w:rsidR="00735367">
          <w:rPr>
            <w:noProof/>
            <w:webHidden/>
          </w:rPr>
          <w:tab/>
        </w:r>
        <w:r>
          <w:rPr>
            <w:noProof/>
            <w:webHidden/>
          </w:rPr>
          <w:fldChar w:fldCharType="begin"/>
        </w:r>
        <w:r w:rsidR="00735367">
          <w:rPr>
            <w:noProof/>
            <w:webHidden/>
          </w:rPr>
          <w:instrText xml:space="preserve"> PAGEREF _Toc248652474 \h </w:instrText>
        </w:r>
        <w:r>
          <w:rPr>
            <w:noProof/>
            <w:webHidden/>
          </w:rPr>
        </w:r>
        <w:r>
          <w:rPr>
            <w:noProof/>
            <w:webHidden/>
          </w:rPr>
          <w:fldChar w:fldCharType="separate"/>
        </w:r>
        <w:r w:rsidR="00AE1C93">
          <w:rPr>
            <w:noProof/>
            <w:webHidden/>
          </w:rPr>
          <w:t>26</w:t>
        </w:r>
        <w:r>
          <w:rPr>
            <w:noProof/>
            <w:webHidden/>
          </w:rPr>
          <w:fldChar w:fldCharType="end"/>
        </w:r>
      </w:hyperlink>
    </w:p>
    <w:p w:rsidR="00735367" w:rsidRDefault="006D47AD">
      <w:pPr>
        <w:pStyle w:val="TOC3"/>
        <w:tabs>
          <w:tab w:val="right" w:leader="dot" w:pos="9016"/>
        </w:tabs>
        <w:rPr>
          <w:rFonts w:ascii="Times New Roman" w:hAnsi="Times New Roman" w:cs="Times New Roman"/>
          <w:noProof/>
          <w:color w:val="auto"/>
          <w:szCs w:val="24"/>
        </w:rPr>
      </w:pPr>
      <w:hyperlink w:anchor="_Toc248652475" w:history="1">
        <w:r w:rsidR="00735367" w:rsidRPr="004B2C2B">
          <w:rPr>
            <w:rStyle w:val="Hyperlink"/>
            <w:noProof/>
            <w:lang w:val="en-US"/>
          </w:rPr>
          <w:t>T</w:t>
        </w:r>
        <w:r w:rsidR="00735367" w:rsidRPr="004B2C2B">
          <w:rPr>
            <w:rStyle w:val="Hyperlink"/>
            <w:noProof/>
          </w:rPr>
          <w:t>he transition process</w:t>
        </w:r>
        <w:r w:rsidR="00735367">
          <w:rPr>
            <w:noProof/>
            <w:webHidden/>
          </w:rPr>
          <w:tab/>
        </w:r>
        <w:r>
          <w:rPr>
            <w:noProof/>
            <w:webHidden/>
          </w:rPr>
          <w:fldChar w:fldCharType="begin"/>
        </w:r>
        <w:r w:rsidR="00735367">
          <w:rPr>
            <w:noProof/>
            <w:webHidden/>
          </w:rPr>
          <w:instrText xml:space="preserve"> PAGEREF _Toc248652475 \h </w:instrText>
        </w:r>
        <w:r>
          <w:rPr>
            <w:noProof/>
            <w:webHidden/>
          </w:rPr>
        </w:r>
        <w:r>
          <w:rPr>
            <w:noProof/>
            <w:webHidden/>
          </w:rPr>
          <w:fldChar w:fldCharType="separate"/>
        </w:r>
        <w:r w:rsidR="00AE1C93">
          <w:rPr>
            <w:noProof/>
            <w:webHidden/>
          </w:rPr>
          <w:t>26</w:t>
        </w:r>
        <w:r>
          <w:rPr>
            <w:noProof/>
            <w:webHidden/>
          </w:rPr>
          <w:fldChar w:fldCharType="end"/>
        </w:r>
      </w:hyperlink>
    </w:p>
    <w:p w:rsidR="00735367" w:rsidRDefault="006D47AD">
      <w:pPr>
        <w:pStyle w:val="TOC3"/>
        <w:tabs>
          <w:tab w:val="right" w:leader="dot" w:pos="9016"/>
        </w:tabs>
        <w:rPr>
          <w:rFonts w:ascii="Times New Roman" w:hAnsi="Times New Roman" w:cs="Times New Roman"/>
          <w:noProof/>
          <w:color w:val="auto"/>
          <w:szCs w:val="24"/>
        </w:rPr>
      </w:pPr>
      <w:hyperlink w:anchor="_Toc248652476" w:history="1">
        <w:r w:rsidR="00735367" w:rsidRPr="004B2C2B">
          <w:rPr>
            <w:rStyle w:val="Hyperlink"/>
            <w:noProof/>
          </w:rPr>
          <w:t>Strategies for low achievers and underachievers</w:t>
        </w:r>
        <w:r w:rsidR="00735367">
          <w:rPr>
            <w:noProof/>
            <w:webHidden/>
          </w:rPr>
          <w:tab/>
        </w:r>
        <w:r>
          <w:rPr>
            <w:noProof/>
            <w:webHidden/>
          </w:rPr>
          <w:fldChar w:fldCharType="begin"/>
        </w:r>
        <w:r w:rsidR="00735367">
          <w:rPr>
            <w:noProof/>
            <w:webHidden/>
          </w:rPr>
          <w:instrText xml:space="preserve"> PAGEREF _Toc248652476 \h </w:instrText>
        </w:r>
        <w:r>
          <w:rPr>
            <w:noProof/>
            <w:webHidden/>
          </w:rPr>
        </w:r>
        <w:r>
          <w:rPr>
            <w:noProof/>
            <w:webHidden/>
          </w:rPr>
          <w:fldChar w:fldCharType="separate"/>
        </w:r>
        <w:r w:rsidR="00AE1C93">
          <w:rPr>
            <w:noProof/>
            <w:webHidden/>
          </w:rPr>
          <w:t>27</w:t>
        </w:r>
        <w:r>
          <w:rPr>
            <w:noProof/>
            <w:webHidden/>
          </w:rPr>
          <w:fldChar w:fldCharType="end"/>
        </w:r>
      </w:hyperlink>
    </w:p>
    <w:p w:rsidR="00735367" w:rsidRDefault="006D47AD">
      <w:pPr>
        <w:pStyle w:val="TOC3"/>
        <w:tabs>
          <w:tab w:val="right" w:leader="dot" w:pos="9016"/>
        </w:tabs>
        <w:rPr>
          <w:rFonts w:ascii="Times New Roman" w:hAnsi="Times New Roman" w:cs="Times New Roman"/>
          <w:noProof/>
          <w:color w:val="auto"/>
          <w:szCs w:val="24"/>
        </w:rPr>
      </w:pPr>
      <w:hyperlink w:anchor="_Toc248652477" w:history="1">
        <w:r w:rsidR="00735367" w:rsidRPr="004B2C2B">
          <w:rPr>
            <w:rStyle w:val="Hyperlink"/>
            <w:noProof/>
          </w:rPr>
          <w:t>Learner voice</w:t>
        </w:r>
        <w:r w:rsidR="00735367">
          <w:rPr>
            <w:noProof/>
            <w:webHidden/>
          </w:rPr>
          <w:tab/>
        </w:r>
        <w:r>
          <w:rPr>
            <w:noProof/>
            <w:webHidden/>
          </w:rPr>
          <w:fldChar w:fldCharType="begin"/>
        </w:r>
        <w:r w:rsidR="00735367">
          <w:rPr>
            <w:noProof/>
            <w:webHidden/>
          </w:rPr>
          <w:instrText xml:space="preserve"> PAGEREF _Toc248652477 \h </w:instrText>
        </w:r>
        <w:r>
          <w:rPr>
            <w:noProof/>
            <w:webHidden/>
          </w:rPr>
        </w:r>
        <w:r>
          <w:rPr>
            <w:noProof/>
            <w:webHidden/>
          </w:rPr>
          <w:fldChar w:fldCharType="separate"/>
        </w:r>
        <w:r w:rsidR="00AE1C93">
          <w:rPr>
            <w:noProof/>
            <w:webHidden/>
          </w:rPr>
          <w:t>27</w:t>
        </w:r>
        <w:r>
          <w:rPr>
            <w:noProof/>
            <w:webHidden/>
          </w:rPr>
          <w:fldChar w:fldCharType="end"/>
        </w:r>
      </w:hyperlink>
    </w:p>
    <w:p w:rsidR="00735367" w:rsidRDefault="006D47AD">
      <w:pPr>
        <w:pStyle w:val="TOC1"/>
        <w:tabs>
          <w:tab w:val="right" w:leader="dot" w:pos="9016"/>
        </w:tabs>
        <w:rPr>
          <w:rFonts w:ascii="Times New Roman" w:hAnsi="Times New Roman" w:cs="Times New Roman"/>
          <w:b w:val="0"/>
          <w:noProof/>
          <w:color w:val="auto"/>
          <w:szCs w:val="24"/>
        </w:rPr>
      </w:pPr>
      <w:hyperlink w:anchor="_Toc248652479" w:history="1">
        <w:r w:rsidR="00735367" w:rsidRPr="004B2C2B">
          <w:rPr>
            <w:rStyle w:val="Hyperlink"/>
            <w:noProof/>
          </w:rPr>
          <w:t>Conclusion</w:t>
        </w:r>
        <w:r w:rsidR="00735367">
          <w:rPr>
            <w:noProof/>
            <w:webHidden/>
          </w:rPr>
          <w:tab/>
        </w:r>
        <w:r>
          <w:rPr>
            <w:noProof/>
            <w:webHidden/>
          </w:rPr>
          <w:fldChar w:fldCharType="begin"/>
        </w:r>
        <w:r w:rsidR="00735367">
          <w:rPr>
            <w:noProof/>
            <w:webHidden/>
          </w:rPr>
          <w:instrText xml:space="preserve"> PAGEREF _Toc248652479 \h </w:instrText>
        </w:r>
        <w:r>
          <w:rPr>
            <w:noProof/>
            <w:webHidden/>
          </w:rPr>
        </w:r>
        <w:r>
          <w:rPr>
            <w:noProof/>
            <w:webHidden/>
          </w:rPr>
          <w:fldChar w:fldCharType="separate"/>
        </w:r>
        <w:r w:rsidR="00AE1C93">
          <w:rPr>
            <w:noProof/>
            <w:webHidden/>
          </w:rPr>
          <w:t>30</w:t>
        </w:r>
        <w:r>
          <w:rPr>
            <w:noProof/>
            <w:webHidden/>
          </w:rPr>
          <w:fldChar w:fldCharType="end"/>
        </w:r>
      </w:hyperlink>
    </w:p>
    <w:p w:rsidR="00735367" w:rsidRDefault="006D47AD">
      <w:pPr>
        <w:pStyle w:val="TOC1"/>
        <w:tabs>
          <w:tab w:val="right" w:leader="dot" w:pos="9016"/>
        </w:tabs>
        <w:rPr>
          <w:rFonts w:ascii="Times New Roman" w:hAnsi="Times New Roman" w:cs="Times New Roman"/>
          <w:b w:val="0"/>
          <w:noProof/>
          <w:color w:val="auto"/>
          <w:szCs w:val="24"/>
        </w:rPr>
      </w:pPr>
      <w:hyperlink w:anchor="_Toc248652480" w:history="1">
        <w:r w:rsidR="00735367" w:rsidRPr="004B2C2B">
          <w:rPr>
            <w:rStyle w:val="Hyperlink"/>
            <w:noProof/>
          </w:rPr>
          <w:t>References</w:t>
        </w:r>
        <w:r w:rsidR="00735367">
          <w:rPr>
            <w:noProof/>
            <w:webHidden/>
          </w:rPr>
          <w:tab/>
        </w:r>
        <w:r>
          <w:rPr>
            <w:noProof/>
            <w:webHidden/>
          </w:rPr>
          <w:fldChar w:fldCharType="begin"/>
        </w:r>
        <w:r w:rsidR="00735367">
          <w:rPr>
            <w:noProof/>
            <w:webHidden/>
          </w:rPr>
          <w:instrText xml:space="preserve"> PAGEREF _Toc248652480 \h </w:instrText>
        </w:r>
        <w:r>
          <w:rPr>
            <w:noProof/>
            <w:webHidden/>
          </w:rPr>
        </w:r>
        <w:r>
          <w:rPr>
            <w:noProof/>
            <w:webHidden/>
          </w:rPr>
          <w:fldChar w:fldCharType="separate"/>
        </w:r>
        <w:r w:rsidR="00AE1C93">
          <w:rPr>
            <w:noProof/>
            <w:webHidden/>
          </w:rPr>
          <w:t>31</w:t>
        </w:r>
        <w:r>
          <w:rPr>
            <w:noProof/>
            <w:webHidden/>
          </w:rPr>
          <w:fldChar w:fldCharType="end"/>
        </w:r>
      </w:hyperlink>
    </w:p>
    <w:p w:rsidR="00735367" w:rsidRDefault="006D47AD">
      <w:pPr>
        <w:pStyle w:val="TOC1"/>
        <w:tabs>
          <w:tab w:val="right" w:leader="dot" w:pos="9016"/>
        </w:tabs>
        <w:rPr>
          <w:rFonts w:ascii="Times New Roman" w:hAnsi="Times New Roman" w:cs="Times New Roman"/>
          <w:b w:val="0"/>
          <w:noProof/>
          <w:color w:val="auto"/>
          <w:szCs w:val="24"/>
        </w:rPr>
      </w:pPr>
      <w:hyperlink w:anchor="_Toc248652481" w:history="1">
        <w:r w:rsidR="00735367" w:rsidRPr="004B2C2B">
          <w:rPr>
            <w:rStyle w:val="Hyperlink"/>
            <w:noProof/>
          </w:rPr>
          <w:t>Appendix A</w:t>
        </w:r>
        <w:r w:rsidR="00735367">
          <w:rPr>
            <w:noProof/>
            <w:webHidden/>
          </w:rPr>
          <w:tab/>
        </w:r>
        <w:r>
          <w:rPr>
            <w:noProof/>
            <w:webHidden/>
          </w:rPr>
          <w:fldChar w:fldCharType="begin"/>
        </w:r>
        <w:r w:rsidR="00735367">
          <w:rPr>
            <w:noProof/>
            <w:webHidden/>
          </w:rPr>
          <w:instrText xml:space="preserve"> PAGEREF _Toc248652481 \h </w:instrText>
        </w:r>
        <w:r>
          <w:rPr>
            <w:noProof/>
            <w:webHidden/>
          </w:rPr>
        </w:r>
        <w:r>
          <w:rPr>
            <w:noProof/>
            <w:webHidden/>
          </w:rPr>
          <w:fldChar w:fldCharType="separate"/>
        </w:r>
        <w:r w:rsidR="00AE1C93">
          <w:rPr>
            <w:noProof/>
            <w:webHidden/>
          </w:rPr>
          <w:t>32</w:t>
        </w:r>
        <w:r>
          <w:rPr>
            <w:noProof/>
            <w:webHidden/>
          </w:rPr>
          <w:fldChar w:fldCharType="end"/>
        </w:r>
      </w:hyperlink>
    </w:p>
    <w:p w:rsidR="00735367" w:rsidRDefault="006D47AD">
      <w:pPr>
        <w:pStyle w:val="TOC2"/>
        <w:rPr>
          <w:rFonts w:ascii="Times New Roman" w:hAnsi="Times New Roman" w:cs="Times New Roman"/>
          <w:noProof/>
          <w:color w:val="auto"/>
          <w:szCs w:val="24"/>
        </w:rPr>
      </w:pPr>
      <w:hyperlink w:anchor="_Toc248652482" w:history="1">
        <w:r w:rsidR="00735367" w:rsidRPr="004B2C2B">
          <w:rPr>
            <w:rStyle w:val="Hyperlink"/>
            <w:noProof/>
          </w:rPr>
          <w:t>Illustrative strategies to resolve issues of low achievement and underachievement</w:t>
        </w:r>
        <w:r w:rsidR="00735367">
          <w:rPr>
            <w:noProof/>
            <w:webHidden/>
          </w:rPr>
          <w:tab/>
        </w:r>
        <w:r>
          <w:rPr>
            <w:noProof/>
            <w:webHidden/>
          </w:rPr>
          <w:fldChar w:fldCharType="begin"/>
        </w:r>
        <w:r w:rsidR="00735367">
          <w:rPr>
            <w:noProof/>
            <w:webHidden/>
          </w:rPr>
          <w:instrText xml:space="preserve"> PAGEREF _Toc248652482 \h </w:instrText>
        </w:r>
        <w:r>
          <w:rPr>
            <w:noProof/>
            <w:webHidden/>
          </w:rPr>
        </w:r>
        <w:r>
          <w:rPr>
            <w:noProof/>
            <w:webHidden/>
          </w:rPr>
          <w:fldChar w:fldCharType="separate"/>
        </w:r>
        <w:r w:rsidR="00AE1C93">
          <w:rPr>
            <w:noProof/>
            <w:webHidden/>
          </w:rPr>
          <w:t>32</w:t>
        </w:r>
        <w:r>
          <w:rPr>
            <w:noProof/>
            <w:webHidden/>
          </w:rPr>
          <w:fldChar w:fldCharType="end"/>
        </w:r>
      </w:hyperlink>
    </w:p>
    <w:p w:rsidR="00735367" w:rsidRDefault="006D47AD">
      <w:pPr>
        <w:pStyle w:val="TOC1"/>
        <w:tabs>
          <w:tab w:val="right" w:leader="dot" w:pos="9016"/>
        </w:tabs>
        <w:rPr>
          <w:rFonts w:ascii="Times New Roman" w:hAnsi="Times New Roman" w:cs="Times New Roman"/>
          <w:b w:val="0"/>
          <w:noProof/>
          <w:color w:val="auto"/>
          <w:szCs w:val="24"/>
        </w:rPr>
      </w:pPr>
      <w:hyperlink w:anchor="_Toc248652483" w:history="1">
        <w:r w:rsidR="00735367" w:rsidRPr="004B2C2B">
          <w:rPr>
            <w:rStyle w:val="Hyperlink"/>
            <w:noProof/>
          </w:rPr>
          <w:t>List of associated materials</w:t>
        </w:r>
        <w:r w:rsidR="00735367">
          <w:rPr>
            <w:noProof/>
            <w:webHidden/>
          </w:rPr>
          <w:tab/>
        </w:r>
        <w:r>
          <w:rPr>
            <w:noProof/>
            <w:webHidden/>
          </w:rPr>
          <w:fldChar w:fldCharType="begin"/>
        </w:r>
        <w:r w:rsidR="00735367">
          <w:rPr>
            <w:noProof/>
            <w:webHidden/>
          </w:rPr>
          <w:instrText xml:space="preserve"> PAGEREF _Toc248652483 \h </w:instrText>
        </w:r>
        <w:r>
          <w:rPr>
            <w:noProof/>
            <w:webHidden/>
          </w:rPr>
        </w:r>
        <w:r>
          <w:rPr>
            <w:noProof/>
            <w:webHidden/>
          </w:rPr>
          <w:fldChar w:fldCharType="separate"/>
        </w:r>
        <w:r w:rsidR="00AE1C93">
          <w:rPr>
            <w:noProof/>
            <w:webHidden/>
          </w:rPr>
          <w:t>41</w:t>
        </w:r>
        <w:r>
          <w:rPr>
            <w:noProof/>
            <w:webHidden/>
          </w:rPr>
          <w:fldChar w:fldCharType="end"/>
        </w:r>
      </w:hyperlink>
    </w:p>
    <w:p w:rsidR="0004357F" w:rsidRDefault="006D47AD" w:rsidP="0004357F">
      <w:pPr>
        <w:pStyle w:val="BCSParagraph"/>
        <w:rPr>
          <w:b/>
          <w:bCs/>
        </w:rPr>
      </w:pPr>
      <w:r>
        <w:fldChar w:fldCharType="end"/>
      </w:r>
    </w:p>
    <w:p w:rsidR="008B7475" w:rsidRPr="004F695F" w:rsidRDefault="00B1214A" w:rsidP="0004357F">
      <w:pPr>
        <w:pStyle w:val="BCSParagraph"/>
      </w:pPr>
      <w:r>
        <w:br w:type="page"/>
      </w:r>
      <w:bookmarkStart w:id="6" w:name="_Toc248222198"/>
      <w:bookmarkStart w:id="7" w:name="_Toc248651135"/>
      <w:r w:rsidR="008B7475" w:rsidRPr="004F695F">
        <w:lastRenderedPageBreak/>
        <w:t>Introduction</w:t>
      </w:r>
      <w:bookmarkEnd w:id="6"/>
      <w:bookmarkEnd w:id="7"/>
    </w:p>
    <w:p w:rsidR="008B7475" w:rsidRPr="00346390" w:rsidRDefault="008B7475" w:rsidP="008B7475">
      <w:pPr>
        <w:pStyle w:val="BCSParagraph"/>
        <w:rPr>
          <w:rFonts w:eastAsia="MS Mincho"/>
        </w:rPr>
      </w:pPr>
      <w:r w:rsidRPr="00346390">
        <w:rPr>
          <w:rFonts w:eastAsia="MS Mincho"/>
        </w:rPr>
        <w:t>The research programme presented here comes under the Harnessing Technology Programme</w:t>
      </w:r>
      <w:r w:rsidRPr="00346390">
        <w:rPr>
          <w:rStyle w:val="FootnoteReference"/>
          <w:rFonts w:eastAsia="MS Mincho"/>
        </w:rPr>
        <w:footnoteReference w:id="1"/>
      </w:r>
      <w:r w:rsidRPr="00346390">
        <w:rPr>
          <w:rFonts w:eastAsia="MS Mincho"/>
        </w:rPr>
        <w:t xml:space="preserve"> and sp</w:t>
      </w:r>
      <w:r w:rsidR="00E848FB">
        <w:rPr>
          <w:rFonts w:eastAsia="MS Mincho"/>
        </w:rPr>
        <w:t xml:space="preserve">ecifically addresses </w:t>
      </w:r>
      <w:r w:rsidRPr="00346390">
        <w:rPr>
          <w:rFonts w:eastAsia="MS Mincho"/>
        </w:rPr>
        <w:t>how technology can be used to meet the</w:t>
      </w:r>
      <w:r w:rsidRPr="00346390">
        <w:t xml:space="preserve"> challenge of equipping young people with the skills to participate in learning throughout their lives. </w:t>
      </w:r>
      <w:r w:rsidRPr="00346390">
        <w:rPr>
          <w:rFonts w:eastAsia="MS Mincho"/>
        </w:rPr>
        <w:t>T</w:t>
      </w:r>
      <w:r w:rsidR="00E848FB">
        <w:rPr>
          <w:rFonts w:eastAsia="MS Mincho"/>
        </w:rPr>
        <w:t>he specific focus is</w:t>
      </w:r>
      <w:r w:rsidRPr="00346390">
        <w:rPr>
          <w:rFonts w:eastAsia="MS Mincho"/>
        </w:rPr>
        <w:t xml:space="preserve"> on low</w:t>
      </w:r>
      <w:r w:rsidR="00E848FB">
        <w:rPr>
          <w:rFonts w:eastAsia="MS Mincho"/>
        </w:rPr>
        <w:t>-achieving</w:t>
      </w:r>
      <w:r w:rsidRPr="00346390">
        <w:rPr>
          <w:rFonts w:eastAsia="MS Mincho"/>
        </w:rPr>
        <w:t xml:space="preserve"> and</w:t>
      </w:r>
      <w:r>
        <w:rPr>
          <w:rFonts w:eastAsia="MS Mincho"/>
        </w:rPr>
        <w:t xml:space="preserve"> under</w:t>
      </w:r>
      <w:r w:rsidRPr="00346390">
        <w:rPr>
          <w:rFonts w:eastAsia="MS Mincho"/>
        </w:rPr>
        <w:t>achieving learners</w:t>
      </w:r>
      <w:r w:rsidR="00E848FB">
        <w:rPr>
          <w:rFonts w:eastAsia="MS Mincho"/>
        </w:rPr>
        <w:t>,</w:t>
      </w:r>
      <w:r w:rsidRPr="00346390">
        <w:rPr>
          <w:rFonts w:eastAsia="MS Mincho"/>
        </w:rPr>
        <w:t xml:space="preserve"> with the aim of </w:t>
      </w:r>
      <w:r w:rsidR="00E848FB">
        <w:rPr>
          <w:lang w:val="en-US"/>
        </w:rPr>
        <w:t>identifying and analysing a</w:t>
      </w:r>
      <w:r w:rsidRPr="00346390">
        <w:rPr>
          <w:lang w:val="en-US"/>
        </w:rPr>
        <w:t xml:space="preserve"> range of effective pedagogical approaches that may help </w:t>
      </w:r>
      <w:r w:rsidRPr="00E848FB">
        <w:rPr>
          <w:lang w:val="en-US"/>
        </w:rPr>
        <w:t>to</w:t>
      </w:r>
      <w:r w:rsidRPr="00E848FB">
        <w:rPr>
          <w:bCs/>
          <w:iCs/>
          <w:lang w:val="en-US"/>
        </w:rPr>
        <w:t xml:space="preserve"> narrow the gap</w:t>
      </w:r>
      <w:r w:rsidR="004E4A1B">
        <w:rPr>
          <w:lang w:val="en-US"/>
        </w:rPr>
        <w:t xml:space="preserve"> for such student</w:t>
      </w:r>
      <w:r w:rsidRPr="00346390">
        <w:rPr>
          <w:lang w:val="en-US"/>
        </w:rPr>
        <w:t>s in secondary schools.</w:t>
      </w:r>
      <w:r w:rsidRPr="00346390">
        <w:rPr>
          <w:rFonts w:eastAsia="MS Mincho"/>
        </w:rPr>
        <w:t xml:space="preserve"> </w:t>
      </w:r>
    </w:p>
    <w:p w:rsidR="008B7475" w:rsidRPr="003B728E" w:rsidRDefault="008B7475" w:rsidP="008B7475">
      <w:pPr>
        <w:pStyle w:val="BCSParagraph"/>
        <w:rPr>
          <w:rFonts w:eastAsia="MS Mincho"/>
        </w:rPr>
      </w:pPr>
      <w:r w:rsidRPr="003B728E">
        <w:rPr>
          <w:rFonts w:eastAsia="MS Mincho"/>
        </w:rPr>
        <w:t xml:space="preserve">The </w:t>
      </w:r>
      <w:r w:rsidRPr="00E848FB">
        <w:rPr>
          <w:rFonts w:eastAsia="MS Mincho"/>
          <w:bCs/>
          <w:iCs/>
        </w:rPr>
        <w:t>Narrowing the Gap</w:t>
      </w:r>
      <w:r w:rsidR="00B80F14">
        <w:rPr>
          <w:rFonts w:eastAsia="MS Mincho"/>
        </w:rPr>
        <w:t xml:space="preserve"> project</w:t>
      </w:r>
      <w:r w:rsidR="00C13FCA">
        <w:rPr>
          <w:rFonts w:eastAsia="MS Mincho"/>
        </w:rPr>
        <w:t xml:space="preserve"> involved</w:t>
      </w:r>
      <w:r w:rsidR="00B80F14">
        <w:rPr>
          <w:rFonts w:eastAsia="MS Mincho"/>
        </w:rPr>
        <w:t xml:space="preserve"> </w:t>
      </w:r>
      <w:r w:rsidRPr="003B728E">
        <w:rPr>
          <w:rFonts w:eastAsia="MS Mincho"/>
        </w:rPr>
        <w:t xml:space="preserve">two distinct phases: </w:t>
      </w:r>
      <w:hyperlink r:id="rId8" w:history="1">
        <w:r w:rsidRPr="00E7490F">
          <w:rPr>
            <w:rStyle w:val="Hyperlink"/>
            <w:rFonts w:eastAsia="MS Mincho"/>
          </w:rPr>
          <w:t>an initial r</w:t>
        </w:r>
        <w:r w:rsidR="00E7490F" w:rsidRPr="00E7490F">
          <w:rPr>
            <w:rStyle w:val="Hyperlink"/>
            <w:rFonts w:eastAsia="MS Mincho"/>
          </w:rPr>
          <w:t>eview of the literature</w:t>
        </w:r>
      </w:hyperlink>
      <w:r w:rsidR="00E7490F">
        <w:rPr>
          <w:rFonts w:eastAsia="MS Mincho"/>
        </w:rPr>
        <w:t xml:space="preserve"> </w:t>
      </w:r>
      <w:r w:rsidRPr="003B728E">
        <w:rPr>
          <w:rFonts w:eastAsia="MS Mincho"/>
        </w:rPr>
        <w:t>followed by a programme of field res</w:t>
      </w:r>
      <w:r w:rsidR="00E848FB">
        <w:rPr>
          <w:rFonts w:eastAsia="MS Mincho"/>
        </w:rPr>
        <w:t>earch. This report presents the</w:t>
      </w:r>
      <w:r w:rsidRPr="003B728E">
        <w:rPr>
          <w:rFonts w:eastAsia="MS Mincho"/>
        </w:rPr>
        <w:t xml:space="preserve"> field research.</w:t>
      </w:r>
    </w:p>
    <w:p w:rsidR="008B7475" w:rsidRPr="003B728E" w:rsidRDefault="00E848FB" w:rsidP="008B7475">
      <w:pPr>
        <w:pStyle w:val="BCSParagraph"/>
      </w:pPr>
      <w:r>
        <w:t>In phase</w:t>
      </w:r>
      <w:r w:rsidR="003535E3">
        <w:t xml:space="preserve"> one,</w:t>
      </w:r>
      <w:r w:rsidR="00AA09D3">
        <w:t xml:space="preserve"> the literature review explored</w:t>
      </w:r>
      <w:r w:rsidR="008B7475" w:rsidRPr="00346390">
        <w:t xml:space="preserve"> how previous research had defined </w:t>
      </w:r>
      <w:r w:rsidR="00934AD8">
        <w:t xml:space="preserve">the target populations and identified </w:t>
      </w:r>
      <w:r w:rsidR="008B7475" w:rsidRPr="00346390">
        <w:t>the interplay of fact</w:t>
      </w:r>
      <w:r w:rsidR="00934AD8">
        <w:t xml:space="preserve">ors </w:t>
      </w:r>
      <w:r w:rsidR="008B7475" w:rsidRPr="00346390">
        <w:t>linked to low</w:t>
      </w:r>
      <w:r w:rsidR="00934AD8">
        <w:t xml:space="preserve"> achievement</w:t>
      </w:r>
      <w:r w:rsidR="00D04AC5">
        <w:t xml:space="preserve"> or underachievement of learner</w:t>
      </w:r>
      <w:r w:rsidR="008B7475" w:rsidRPr="00346390">
        <w:t xml:space="preserve">s. </w:t>
      </w:r>
      <w:r w:rsidR="00C13FCA">
        <w:t>With</w:t>
      </w:r>
      <w:r w:rsidR="00AA09D3">
        <w:t xml:space="preserve"> </w:t>
      </w:r>
      <w:r w:rsidR="008B7475" w:rsidRPr="003B728E">
        <w:t>these parameters</w:t>
      </w:r>
      <w:r w:rsidR="00D64DE1">
        <w:t xml:space="preserve"> </w:t>
      </w:r>
      <w:r w:rsidR="00C13FCA">
        <w:t>established</w:t>
      </w:r>
      <w:r w:rsidR="003535E3">
        <w:t xml:space="preserve">, </w:t>
      </w:r>
      <w:r w:rsidR="003535E3">
        <w:rPr>
          <w:rFonts w:eastAsia="MS Mincho"/>
        </w:rPr>
        <w:t>the field research</w:t>
      </w:r>
      <w:r w:rsidR="00C13FCA">
        <w:rPr>
          <w:rFonts w:eastAsia="MS Mincho"/>
        </w:rPr>
        <w:t xml:space="preserve"> focused on</w:t>
      </w:r>
      <w:r w:rsidR="00AA09D3">
        <w:rPr>
          <w:rFonts w:eastAsia="MS Mincho"/>
        </w:rPr>
        <w:t xml:space="preserve"> current </w:t>
      </w:r>
      <w:r w:rsidR="008B7475" w:rsidRPr="003B728E">
        <w:rPr>
          <w:rFonts w:eastAsia="MS Mincho"/>
        </w:rPr>
        <w:t>s</w:t>
      </w:r>
      <w:r w:rsidR="00AA09D3">
        <w:rPr>
          <w:rFonts w:eastAsia="MS Mincho"/>
        </w:rPr>
        <w:t>trategies</w:t>
      </w:r>
      <w:r w:rsidR="007C7DCD">
        <w:rPr>
          <w:rFonts w:eastAsia="MS Mincho"/>
        </w:rPr>
        <w:t xml:space="preserve"> proven </w:t>
      </w:r>
      <w:r w:rsidR="00C13FCA">
        <w:rPr>
          <w:rFonts w:eastAsia="MS Mincho"/>
        </w:rPr>
        <w:t xml:space="preserve">to be </w:t>
      </w:r>
      <w:r w:rsidR="007C7DCD">
        <w:rPr>
          <w:rFonts w:eastAsia="MS Mincho"/>
        </w:rPr>
        <w:t xml:space="preserve">effective in </w:t>
      </w:r>
      <w:r w:rsidR="008B7475" w:rsidRPr="003B728E">
        <w:rPr>
          <w:rFonts w:eastAsia="MS Mincho"/>
        </w:rPr>
        <w:t>s</w:t>
      </w:r>
      <w:r w:rsidR="007C7DCD">
        <w:rPr>
          <w:rFonts w:eastAsia="MS Mincho"/>
        </w:rPr>
        <w:t>upporting</w:t>
      </w:r>
      <w:r w:rsidR="00515048">
        <w:rPr>
          <w:rFonts w:eastAsia="MS Mincho"/>
        </w:rPr>
        <w:t xml:space="preserve"> learner</w:t>
      </w:r>
      <w:r w:rsidR="00AA09D3">
        <w:rPr>
          <w:rFonts w:eastAsia="MS Mincho"/>
        </w:rPr>
        <w:t>s</w:t>
      </w:r>
      <w:r w:rsidR="007C7DCD">
        <w:rPr>
          <w:rFonts w:eastAsia="MS Mincho"/>
        </w:rPr>
        <w:t xml:space="preserve"> identified as low-achieving </w:t>
      </w:r>
      <w:r w:rsidR="00D04AC5">
        <w:rPr>
          <w:rFonts w:eastAsia="MS Mincho"/>
        </w:rPr>
        <w:t xml:space="preserve">or underachieving </w:t>
      </w:r>
      <w:r w:rsidR="00AA09D3">
        <w:rPr>
          <w:rFonts w:eastAsia="MS Mincho"/>
        </w:rPr>
        <w:t>in a range of schools</w:t>
      </w:r>
      <w:r w:rsidR="008B7475" w:rsidRPr="003B728E">
        <w:rPr>
          <w:rFonts w:eastAsia="MS Mincho"/>
        </w:rPr>
        <w:t xml:space="preserve">. </w:t>
      </w:r>
      <w:r w:rsidR="008B7475" w:rsidRPr="003B728E">
        <w:t xml:space="preserve">Essentially we asked how technology can be used to reduce the attainment gap between </w:t>
      </w:r>
      <w:r w:rsidR="008B7475">
        <w:t>low</w:t>
      </w:r>
      <w:r w:rsidR="007C7DCD">
        <w:t>-achieving</w:t>
      </w:r>
      <w:r w:rsidR="008B7475">
        <w:t xml:space="preserve"> and under</w:t>
      </w:r>
      <w:r w:rsidR="008B7475" w:rsidRPr="003B728E">
        <w:t xml:space="preserve">achieving learners </w:t>
      </w:r>
      <w:r w:rsidR="008B7475">
        <w:t>and the majority of</w:t>
      </w:r>
      <w:r w:rsidR="00AA09D3">
        <w:t xml:space="preserve"> students</w:t>
      </w:r>
      <w:r w:rsidR="008B7475" w:rsidRPr="003B728E">
        <w:t xml:space="preserve"> in secondary schools. </w:t>
      </w:r>
    </w:p>
    <w:p w:rsidR="008B7475" w:rsidRPr="003B728E" w:rsidRDefault="008B7475" w:rsidP="008B7475">
      <w:pPr>
        <w:pStyle w:val="BCSParagraph"/>
      </w:pPr>
      <w:r w:rsidRPr="003B728E">
        <w:t>Th</w:t>
      </w:r>
      <w:r w:rsidR="007C7DCD">
        <w:t>e scope of the study was broadened</w:t>
      </w:r>
      <w:r w:rsidRPr="003B728E">
        <w:t xml:space="preserve"> to </w:t>
      </w:r>
      <w:r>
        <w:t>explore</w:t>
      </w:r>
      <w:r w:rsidRPr="003B728E">
        <w:t xml:space="preserve"> questions that arose from the initial fieldwork. In this further work we aimed to capture key activities at the interface of p</w:t>
      </w:r>
      <w:r w:rsidR="007C7DCD">
        <w:t>rimary and secondary schools. T</w:t>
      </w:r>
      <w:r w:rsidRPr="003B728E">
        <w:t>he literature review had highlighted this period of transition as a critical event in many pupils</w:t>
      </w:r>
      <w:r w:rsidR="007C7DCD">
        <w:t>’</w:t>
      </w:r>
      <w:r w:rsidRPr="003B728E">
        <w:t xml:space="preserve"> lives.</w:t>
      </w:r>
      <w:r w:rsidRPr="004F4EE4">
        <w:t xml:space="preserve"> For some children</w:t>
      </w:r>
      <w:r w:rsidR="00CC4DCD">
        <w:t>, this transition</w:t>
      </w:r>
      <w:r w:rsidRPr="004F4EE4">
        <w:t xml:space="preserve"> opens up opportunities</w:t>
      </w:r>
      <w:r w:rsidR="00CC4DCD">
        <w:t>,</w:t>
      </w:r>
      <w:r w:rsidRPr="004F4EE4">
        <w:t xml:space="preserve"> but for others it proves to be traumatic.</w:t>
      </w:r>
      <w:r w:rsidRPr="004F4EE4">
        <w:rPr>
          <w:rStyle w:val="FootnoteReference"/>
          <w:rFonts w:eastAsia="Calibri"/>
        </w:rPr>
        <w:footnoteReference w:id="2"/>
      </w:r>
      <w:r w:rsidR="002B7D7E">
        <w:t xml:space="preserve"> </w:t>
      </w:r>
      <w:r w:rsidRPr="004F4EE4">
        <w:rPr>
          <w:rStyle w:val="FootnoteReference"/>
          <w:rFonts w:eastAsia="Calibri"/>
        </w:rPr>
        <w:footnoteReference w:id="3"/>
      </w:r>
      <w:r w:rsidRPr="004F4EE4">
        <w:rPr>
          <w:szCs w:val="18"/>
          <w:lang w:val="en-US"/>
        </w:rPr>
        <w:t xml:space="preserve"> T</w:t>
      </w:r>
      <w:r w:rsidRPr="004F4EE4">
        <w:rPr>
          <w:lang w:val="en-US"/>
        </w:rPr>
        <w:t>eachers have identified adjustment to the school context as critical to a child establishing a place within the school community.</w:t>
      </w:r>
      <w:r w:rsidRPr="004F4EE4">
        <w:rPr>
          <w:rStyle w:val="FootnoteReference"/>
          <w:rFonts w:eastAsia="Calibri"/>
          <w:lang w:val="en-US"/>
        </w:rPr>
        <w:footnoteReference w:id="4"/>
      </w:r>
      <w:r w:rsidRPr="004F4EE4">
        <w:rPr>
          <w:lang w:val="en-US"/>
        </w:rPr>
        <w:t xml:space="preserve"> </w:t>
      </w:r>
    </w:p>
    <w:p w:rsidR="008B7475" w:rsidRPr="003B728E" w:rsidRDefault="00091027" w:rsidP="008D003D">
      <w:pPr>
        <w:pStyle w:val="BCSParagraph"/>
      </w:pPr>
      <w:r>
        <w:rPr>
          <w:rFonts w:eastAsia="MS Mincho"/>
        </w:rPr>
        <w:t xml:space="preserve">A further </w:t>
      </w:r>
      <w:r w:rsidR="008D003D">
        <w:rPr>
          <w:rFonts w:eastAsia="MS Mincho"/>
        </w:rPr>
        <w:t>output emerging from this project</w:t>
      </w:r>
      <w:r>
        <w:rPr>
          <w:rFonts w:eastAsia="MS Mincho"/>
        </w:rPr>
        <w:t xml:space="preserve"> (not presented here) is a set of ex</w:t>
      </w:r>
      <w:r w:rsidR="00DC74A7">
        <w:rPr>
          <w:rFonts w:eastAsia="MS Mincho"/>
        </w:rPr>
        <w:t xml:space="preserve">amples of </w:t>
      </w:r>
      <w:r w:rsidR="00C332B1">
        <w:rPr>
          <w:rFonts w:eastAsia="MS Mincho"/>
        </w:rPr>
        <w:t xml:space="preserve">good </w:t>
      </w:r>
      <w:r w:rsidR="00CC4DCD">
        <w:rPr>
          <w:rFonts w:eastAsia="MS Mincho"/>
        </w:rPr>
        <w:t>practice</w:t>
      </w:r>
      <w:r>
        <w:rPr>
          <w:rFonts w:eastAsia="MS Mincho"/>
        </w:rPr>
        <w:t xml:space="preserve"> that hold promise for</w:t>
      </w:r>
      <w:r w:rsidR="00DC74A7">
        <w:rPr>
          <w:rFonts w:eastAsia="MS Mincho"/>
        </w:rPr>
        <w:t xml:space="preserve"> addressing the</w:t>
      </w:r>
      <w:r w:rsidR="008B7475" w:rsidRPr="00346390">
        <w:rPr>
          <w:rFonts w:eastAsia="MS Mincho"/>
        </w:rPr>
        <w:t xml:space="preserve"> problems associated with the target learners</w:t>
      </w:r>
      <w:r>
        <w:rPr>
          <w:rFonts w:eastAsia="MS Mincho"/>
        </w:rPr>
        <w:t>. These h</w:t>
      </w:r>
      <w:r w:rsidR="008B7475" w:rsidRPr="00346390">
        <w:rPr>
          <w:rFonts w:eastAsia="MS Mincho"/>
        </w:rPr>
        <w:t>ave been develope</w:t>
      </w:r>
      <w:r w:rsidR="004D2F44">
        <w:rPr>
          <w:rFonts w:eastAsia="MS Mincho"/>
        </w:rPr>
        <w:t xml:space="preserve">d to provide a range of </w:t>
      </w:r>
      <w:r w:rsidR="009B525A">
        <w:rPr>
          <w:rFonts w:eastAsia="MS Mincho"/>
        </w:rPr>
        <w:t xml:space="preserve">‘Virtual school’ </w:t>
      </w:r>
      <w:r w:rsidR="004D2F44">
        <w:rPr>
          <w:rFonts w:eastAsia="MS Mincho"/>
        </w:rPr>
        <w:t>teacher-</w:t>
      </w:r>
      <w:r w:rsidR="009B525A">
        <w:rPr>
          <w:rFonts w:eastAsia="MS Mincho"/>
        </w:rPr>
        <w:t>support materials [these materials are planned to be launched end of February 2010]</w:t>
      </w:r>
      <w:r w:rsidR="008B7475" w:rsidRPr="00346390">
        <w:rPr>
          <w:rFonts w:eastAsia="MS Mincho"/>
        </w:rPr>
        <w:t>. Alongside the research evidence, they provide guidance for future policy development.</w:t>
      </w:r>
    </w:p>
    <w:p w:rsidR="00EC1021" w:rsidRDefault="00EC1021" w:rsidP="004F695F">
      <w:pPr>
        <w:pStyle w:val="BCSParagraph"/>
        <w:rPr>
          <w:lang w:val="en-US"/>
        </w:rPr>
      </w:pPr>
    </w:p>
    <w:p w:rsidR="00EC1021" w:rsidRDefault="00EC1021" w:rsidP="004F695F">
      <w:pPr>
        <w:pStyle w:val="BCSParagraph"/>
        <w:rPr>
          <w:lang w:val="en-US"/>
        </w:rPr>
      </w:pPr>
    </w:p>
    <w:p w:rsidR="008B7475" w:rsidRPr="008B7475" w:rsidRDefault="004F695F" w:rsidP="004F695F">
      <w:pPr>
        <w:pStyle w:val="BCSParagraph"/>
        <w:rPr>
          <w:lang w:val="en-US"/>
        </w:rPr>
      </w:pPr>
      <w:r>
        <w:rPr>
          <w:lang w:val="en-US"/>
        </w:rPr>
        <w:lastRenderedPageBreak/>
        <w:t xml:space="preserve">Key goals </w:t>
      </w:r>
      <w:r w:rsidR="00CC4DCD">
        <w:rPr>
          <w:lang w:val="en-US"/>
        </w:rPr>
        <w:t>guiding the field research were</w:t>
      </w:r>
      <w:r w:rsidR="008B7475" w:rsidRPr="00D0149B">
        <w:rPr>
          <w:lang w:val="en-US"/>
        </w:rPr>
        <w:t>:</w:t>
      </w:r>
    </w:p>
    <w:p w:rsidR="00AF64F8" w:rsidRPr="00346390" w:rsidRDefault="00CC4DCD" w:rsidP="006E1A3A">
      <w:pPr>
        <w:pStyle w:val="BCSBulletnumbered"/>
      </w:pPr>
      <w:r>
        <w:rPr>
          <w:lang w:val="en-US"/>
        </w:rPr>
        <w:t xml:space="preserve">to </w:t>
      </w:r>
      <w:r w:rsidR="00AF64F8" w:rsidRPr="00AB510F">
        <w:rPr>
          <w:lang w:val="en-US"/>
        </w:rPr>
        <w:t>identify local authority</w:t>
      </w:r>
      <w:r w:rsidR="00AF64F8">
        <w:rPr>
          <w:lang w:val="en-US"/>
        </w:rPr>
        <w:t xml:space="preserve"> </w:t>
      </w:r>
      <w:r w:rsidR="00AF64F8" w:rsidRPr="00AB510F">
        <w:rPr>
          <w:lang w:val="en-US"/>
        </w:rPr>
        <w:t>policies related to low</w:t>
      </w:r>
      <w:r>
        <w:rPr>
          <w:lang w:val="en-US"/>
        </w:rPr>
        <w:t>-achieving</w:t>
      </w:r>
      <w:r w:rsidR="00AF64F8" w:rsidRPr="00AB510F">
        <w:rPr>
          <w:lang w:val="en-US"/>
        </w:rPr>
        <w:t xml:space="preserve"> and underachieving learners</w:t>
      </w:r>
    </w:p>
    <w:p w:rsidR="00AF64F8" w:rsidRPr="00AB510F" w:rsidRDefault="00CC4DCD" w:rsidP="006E1A3A">
      <w:pPr>
        <w:pStyle w:val="BCSBulletnumbered"/>
        <w:rPr>
          <w:lang w:val="en-US"/>
        </w:rPr>
      </w:pPr>
      <w:r>
        <w:rPr>
          <w:lang w:val="en-US"/>
        </w:rPr>
        <w:t>t</w:t>
      </w:r>
      <w:r w:rsidR="00AF64F8" w:rsidRPr="00AB510F">
        <w:rPr>
          <w:lang w:val="en-US"/>
        </w:rPr>
        <w:t>o establish schools’ and classroom practitioners’ definitions of low</w:t>
      </w:r>
      <w:r>
        <w:rPr>
          <w:lang w:val="en-US"/>
        </w:rPr>
        <w:t>-achieving</w:t>
      </w:r>
      <w:r w:rsidR="00E705A1">
        <w:rPr>
          <w:lang w:val="en-US"/>
        </w:rPr>
        <w:t xml:space="preserve"> and underachieving learners</w:t>
      </w:r>
      <w:r w:rsidR="00AF64F8" w:rsidRPr="00AB510F">
        <w:rPr>
          <w:lang w:val="en-US"/>
        </w:rPr>
        <w:t xml:space="preserve"> </w:t>
      </w:r>
    </w:p>
    <w:p w:rsidR="00AF64F8" w:rsidRPr="00AB510F" w:rsidRDefault="00E705A1" w:rsidP="006E1A3A">
      <w:pPr>
        <w:pStyle w:val="BCSBulletnumbered"/>
        <w:rPr>
          <w:lang w:val="en-US"/>
        </w:rPr>
      </w:pPr>
      <w:r>
        <w:rPr>
          <w:lang w:val="en-US"/>
        </w:rPr>
        <w:t>t</w:t>
      </w:r>
      <w:r w:rsidR="00AF64F8" w:rsidRPr="00AB510F">
        <w:rPr>
          <w:lang w:val="en-US"/>
        </w:rPr>
        <w:t>o establish the extent to which there is agreement between practitioners’ perception</w:t>
      </w:r>
      <w:r>
        <w:rPr>
          <w:lang w:val="en-US"/>
        </w:rPr>
        <w:t>s</w:t>
      </w:r>
      <w:r w:rsidR="00AF64F8" w:rsidRPr="00AB510F">
        <w:rPr>
          <w:lang w:val="en-US"/>
        </w:rPr>
        <w:t xml:space="preserve"> of low</w:t>
      </w:r>
      <w:r>
        <w:rPr>
          <w:lang w:val="en-US"/>
        </w:rPr>
        <w:t xml:space="preserve"> achievement</w:t>
      </w:r>
      <w:r w:rsidR="00AF64F8" w:rsidRPr="00AB510F">
        <w:rPr>
          <w:lang w:val="en-US"/>
        </w:rPr>
        <w:t xml:space="preserve"> and un</w:t>
      </w:r>
      <w:r>
        <w:rPr>
          <w:lang w:val="en-US"/>
        </w:rPr>
        <w:t>derachievement and the way these are defined by the research</w:t>
      </w:r>
    </w:p>
    <w:p w:rsidR="00AF64F8" w:rsidRPr="00AB510F" w:rsidRDefault="00E705A1" w:rsidP="006E1A3A">
      <w:pPr>
        <w:pStyle w:val="BCSBulletnumbered"/>
        <w:rPr>
          <w:lang w:val="en-US"/>
        </w:rPr>
      </w:pPr>
      <w:r>
        <w:rPr>
          <w:lang w:val="en-US"/>
        </w:rPr>
        <w:t>t</w:t>
      </w:r>
      <w:r w:rsidR="00AF64F8" w:rsidRPr="00AB510F">
        <w:rPr>
          <w:lang w:val="en-US"/>
        </w:rPr>
        <w:t>o evaluate the impl</w:t>
      </w:r>
      <w:r w:rsidR="00C332B1">
        <w:rPr>
          <w:lang w:val="en-US"/>
        </w:rPr>
        <w:t>ications for effective practice</w:t>
      </w:r>
      <w:r w:rsidR="00AF64F8" w:rsidRPr="00AB510F">
        <w:rPr>
          <w:lang w:val="en-US"/>
        </w:rPr>
        <w:t xml:space="preserve"> if there is a m</w:t>
      </w:r>
      <w:r w:rsidR="00AF64F8">
        <w:rPr>
          <w:lang w:val="en-US"/>
        </w:rPr>
        <w:t>is</w:t>
      </w:r>
      <w:r w:rsidR="00AF64F8" w:rsidRPr="00AB510F">
        <w:rPr>
          <w:lang w:val="en-US"/>
        </w:rPr>
        <w:t>alignment between practitioners’ perceptions and th</w:t>
      </w:r>
      <w:r>
        <w:rPr>
          <w:lang w:val="en-US"/>
        </w:rPr>
        <w:t>e established research evidence</w:t>
      </w:r>
    </w:p>
    <w:p w:rsidR="00AF64F8" w:rsidRPr="00346390" w:rsidRDefault="00E705A1" w:rsidP="006E1A3A">
      <w:pPr>
        <w:pStyle w:val="BCSBulletnumbered"/>
      </w:pPr>
      <w:r>
        <w:t>t</w:t>
      </w:r>
      <w:r w:rsidR="00AF64F8" w:rsidRPr="00346390">
        <w:t xml:space="preserve">o illustrate a range of different </w:t>
      </w:r>
      <w:r w:rsidR="00AF64F8" w:rsidRPr="00346390">
        <w:rPr>
          <w:lang w:val="en-US"/>
        </w:rPr>
        <w:t>effective peda</w:t>
      </w:r>
      <w:r w:rsidR="006709F6">
        <w:rPr>
          <w:lang w:val="en-US"/>
        </w:rPr>
        <w:t>gogical approaches that</w:t>
      </w:r>
      <w:r>
        <w:rPr>
          <w:lang w:val="en-US"/>
        </w:rPr>
        <w:t xml:space="preserve"> may </w:t>
      </w:r>
      <w:r w:rsidR="00AF64F8" w:rsidRPr="00346390">
        <w:rPr>
          <w:lang w:val="en-US"/>
        </w:rPr>
        <w:t>i</w:t>
      </w:r>
      <w:r>
        <w:rPr>
          <w:lang w:val="en-US"/>
        </w:rPr>
        <w:t>ndicate</w:t>
      </w:r>
      <w:r w:rsidR="00AF64F8" w:rsidRPr="00346390">
        <w:rPr>
          <w:lang w:val="en-US"/>
        </w:rPr>
        <w:t xml:space="preserve"> suitable practices for</w:t>
      </w:r>
      <w:r w:rsidR="00AF64F8" w:rsidRPr="009C1714">
        <w:rPr>
          <w:b/>
          <w:bCs/>
          <w:i/>
          <w:iCs/>
          <w:lang w:val="en-US"/>
        </w:rPr>
        <w:t xml:space="preserve"> </w:t>
      </w:r>
      <w:r w:rsidR="00AF64F8" w:rsidRPr="00E705A1">
        <w:rPr>
          <w:bCs/>
          <w:iCs/>
          <w:lang w:val="en-US"/>
        </w:rPr>
        <w:t>narrowing the gap</w:t>
      </w:r>
    </w:p>
    <w:p w:rsidR="00AF64F8" w:rsidRPr="00346390" w:rsidRDefault="00E705A1" w:rsidP="006E1A3A">
      <w:pPr>
        <w:pStyle w:val="BCSBulletnumbered"/>
      </w:pPr>
      <w:r>
        <w:t>t</w:t>
      </w:r>
      <w:r w:rsidR="00AF64F8" w:rsidRPr="00346390">
        <w:t>o provide evidence of the barrier</w:t>
      </w:r>
      <w:r w:rsidR="006709F6">
        <w:t>s and enablers of technology in</w:t>
      </w:r>
      <w:r w:rsidR="00AF64F8" w:rsidRPr="00346390">
        <w:t xml:space="preserve"> support</w:t>
      </w:r>
      <w:r w:rsidR="006709F6">
        <w:t>ing</w:t>
      </w:r>
      <w:r w:rsidR="00AF64F8" w:rsidRPr="00346390">
        <w:t xml:space="preserve"> underachieving learners</w:t>
      </w:r>
    </w:p>
    <w:p w:rsidR="00AF64F8" w:rsidRPr="00346390" w:rsidRDefault="006709F6" w:rsidP="006E1A3A">
      <w:pPr>
        <w:pStyle w:val="BCSBulletnumbered"/>
        <w:rPr>
          <w:szCs w:val="32"/>
        </w:rPr>
      </w:pPr>
      <w:r>
        <w:t>t</w:t>
      </w:r>
      <w:r w:rsidR="00AF64F8" w:rsidRPr="00346390">
        <w:t>o identify</w:t>
      </w:r>
      <w:r>
        <w:t xml:space="preserve"> examples of good practice related to</w:t>
      </w:r>
      <w:r w:rsidR="00AF64F8" w:rsidRPr="00346390">
        <w:t xml:space="preserve"> technological advances (and digital resources) </w:t>
      </w:r>
      <w:r>
        <w:t xml:space="preserve">that </w:t>
      </w:r>
      <w:r w:rsidR="00AF64F8" w:rsidRPr="00346390">
        <w:t>can help shape, imp</w:t>
      </w:r>
      <w:r>
        <w:t>rove and sustain underachievers</w:t>
      </w:r>
      <w:r w:rsidR="00AF64F8" w:rsidRPr="00346390">
        <w:t xml:space="preserve"> </w:t>
      </w:r>
    </w:p>
    <w:p w:rsidR="00AF64F8" w:rsidRPr="006709F6" w:rsidRDefault="006709F6" w:rsidP="006E1A3A">
      <w:pPr>
        <w:pStyle w:val="BCSBulletnumberedlast"/>
        <w:rPr>
          <w:lang w:val="en-US"/>
        </w:rPr>
      </w:pPr>
      <w:r>
        <w:t>to p</w:t>
      </w:r>
      <w:r w:rsidR="00AF64F8" w:rsidRPr="00346390">
        <w:t>rovide sound and relevant</w:t>
      </w:r>
      <w:r w:rsidR="00DC332C">
        <w:t xml:space="preserve"> data that </w:t>
      </w:r>
      <w:r w:rsidR="00D54E8E">
        <w:t>sustains</w:t>
      </w:r>
      <w:r w:rsidR="00DC332C">
        <w:t xml:space="preserve"> Becta’s role</w:t>
      </w:r>
      <w:r>
        <w:t xml:space="preserve"> as a resource for</w:t>
      </w:r>
      <w:r w:rsidR="00AF64F8" w:rsidRPr="00346390">
        <w:t xml:space="preserve"> support providers and other agencies working to develop the use of technology in </w:t>
      </w:r>
      <w:r w:rsidR="00AF64F8" w:rsidRPr="006709F6">
        <w:rPr>
          <w:bCs/>
          <w:iCs/>
        </w:rPr>
        <w:t>narrowing the gap</w:t>
      </w:r>
      <w:r w:rsidR="00AF64F8" w:rsidRPr="00346390">
        <w:t xml:space="preserve"> for low-achievi</w:t>
      </w:r>
      <w:r>
        <w:t>ng learners in secondary school</w:t>
      </w:r>
      <w:r w:rsidR="00D54E8E">
        <w:t>.</w:t>
      </w:r>
    </w:p>
    <w:p w:rsidR="00AF64F8" w:rsidRPr="004F695F" w:rsidRDefault="00AF64F8" w:rsidP="004F695F">
      <w:pPr>
        <w:pStyle w:val="BCSParagraph"/>
      </w:pPr>
      <w:r w:rsidRPr="004F695F">
        <w:t>Although not part of the original resea</w:t>
      </w:r>
      <w:r w:rsidR="00D54E8E" w:rsidRPr="004F695F">
        <w:t>rch brief, we i</w:t>
      </w:r>
      <w:r w:rsidRPr="004F695F">
        <w:t>nvestig</w:t>
      </w:r>
      <w:r w:rsidR="00D54E8E" w:rsidRPr="004F695F">
        <w:t>ate</w:t>
      </w:r>
      <w:r w:rsidR="00DE765A" w:rsidRPr="004F695F">
        <w:t>d</w:t>
      </w:r>
      <w:r w:rsidR="00D54E8E" w:rsidRPr="004F695F">
        <w:t xml:space="preserve"> the potential differences between</w:t>
      </w:r>
      <w:r w:rsidRPr="004F695F">
        <w:t xml:space="preserve"> primary and secondary school perceptions of low</w:t>
      </w:r>
      <w:r w:rsidR="00D54E8E" w:rsidRPr="004F695F">
        <w:t xml:space="preserve"> achievement</w:t>
      </w:r>
      <w:r w:rsidRPr="004F695F">
        <w:t xml:space="preserve"> and underachievement</w:t>
      </w:r>
      <w:r w:rsidR="00D54E8E" w:rsidRPr="004F695F">
        <w:t>,</w:t>
      </w:r>
      <w:r w:rsidR="00DE765A" w:rsidRPr="004F695F">
        <w:t xml:space="preserve"> along with </w:t>
      </w:r>
      <w:r w:rsidRPr="004F695F">
        <w:t>the resulting strategies that mi</w:t>
      </w:r>
      <w:r w:rsidR="00D54E8E" w:rsidRPr="004F695F">
        <w:t xml:space="preserve">ght ensue from such differences. We also </w:t>
      </w:r>
      <w:r w:rsidR="00DE765A" w:rsidRPr="004F695F">
        <w:t xml:space="preserve">endeavoured </w:t>
      </w:r>
      <w:r w:rsidR="00D54E8E" w:rsidRPr="004F695F">
        <w:t>to i</w:t>
      </w:r>
      <w:r w:rsidRPr="004F695F">
        <w:t>dentify low</w:t>
      </w:r>
      <w:r w:rsidR="00D54E8E" w:rsidRPr="004F695F">
        <w:t>-ac</w:t>
      </w:r>
      <w:r w:rsidR="00BB3262">
        <w:t>hieving and underachieving learner</w:t>
      </w:r>
      <w:r w:rsidRPr="004F695F">
        <w:t>s</w:t>
      </w:r>
      <w:r w:rsidR="00D54E8E" w:rsidRPr="004F695F">
        <w:t>’</w:t>
      </w:r>
      <w:r w:rsidRPr="004F695F">
        <w:t xml:space="preserve"> personal views of their school life.</w:t>
      </w:r>
    </w:p>
    <w:p w:rsidR="004F695F" w:rsidRDefault="004F695F" w:rsidP="00AF64F8">
      <w:pPr>
        <w:pStyle w:val="BCSHeadingA"/>
      </w:pPr>
      <w:bookmarkStart w:id="8" w:name="_Toc248222199"/>
    </w:p>
    <w:p w:rsidR="00175E21" w:rsidRDefault="00175E21" w:rsidP="00175E21">
      <w:pPr>
        <w:pStyle w:val="BCSHeadingA"/>
      </w:pPr>
      <w:r>
        <w:br w:type="page"/>
      </w:r>
      <w:bookmarkStart w:id="9" w:name="_Toc248651136"/>
      <w:bookmarkStart w:id="10" w:name="_Toc248651403"/>
      <w:bookmarkStart w:id="11" w:name="_Toc248651446"/>
      <w:bookmarkStart w:id="12" w:name="_Toc248651595"/>
      <w:bookmarkStart w:id="13" w:name="_Toc248652452"/>
      <w:r>
        <w:lastRenderedPageBreak/>
        <w:t>Key messages</w:t>
      </w:r>
      <w:bookmarkEnd w:id="9"/>
      <w:bookmarkEnd w:id="10"/>
      <w:bookmarkEnd w:id="11"/>
      <w:bookmarkEnd w:id="12"/>
      <w:bookmarkEnd w:id="13"/>
    </w:p>
    <w:p w:rsidR="00175E21" w:rsidRDefault="00175E21" w:rsidP="00175E21">
      <w:pPr>
        <w:pStyle w:val="BCSParagraph"/>
      </w:pPr>
      <w:r>
        <w:t>This project explored how</w:t>
      </w:r>
      <w:r w:rsidRPr="00181FA5">
        <w:t xml:space="preserve"> </w:t>
      </w:r>
      <w:r>
        <w:t>various educational stakeholders conceptualise low achievement and underachievement. Central to the project was the exploration of strategies that support low-achieving and underachieving learners and serve as examples of good practice. In particular, there was a focus on how technology can be used to help improve educational attainment of both low achievers and underachievers.</w:t>
      </w:r>
    </w:p>
    <w:p w:rsidR="008F3840" w:rsidRDefault="008F3840" w:rsidP="008F3840">
      <w:pPr>
        <w:pStyle w:val="BCSParagraph"/>
      </w:pPr>
      <w:r>
        <w:t>We found that:</w:t>
      </w:r>
      <w:r>
        <w:tab/>
      </w:r>
    </w:p>
    <w:p w:rsidR="008F3840" w:rsidRDefault="008F3840" w:rsidP="008F3840">
      <w:pPr>
        <w:pStyle w:val="BCSBulletparagraph"/>
        <w:tabs>
          <w:tab w:val="num" w:pos="1440"/>
        </w:tabs>
        <w:textAlignment w:val="auto"/>
      </w:pPr>
      <w:r>
        <w:t>there is a high level of agreement among educational stakeholders as to what constitutes low achievement and underachievement</w:t>
      </w:r>
    </w:p>
    <w:p w:rsidR="008F3840" w:rsidRDefault="008F3840" w:rsidP="008F3840">
      <w:pPr>
        <w:pStyle w:val="BCSBulletparagraph"/>
        <w:tabs>
          <w:tab w:val="num" w:pos="1440"/>
        </w:tabs>
        <w:textAlignment w:val="auto"/>
      </w:pPr>
      <w:r>
        <w:t>establishing effective practice to tackle the problems of low achievement and underachievement is seen as a priority goal at all levels of the educational system. However, overlapping policies and responsibilities at the local authority level have the potential to cause confusion and less effective action on the ground.</w:t>
      </w:r>
    </w:p>
    <w:p w:rsidR="008F3840" w:rsidRDefault="008F3840" w:rsidP="008F3840">
      <w:pPr>
        <w:pStyle w:val="BCSBulletparagraph"/>
        <w:tabs>
          <w:tab w:val="num" w:pos="1440"/>
        </w:tabs>
        <w:textAlignment w:val="auto"/>
      </w:pPr>
      <w:r>
        <w:t>the concept of readiness for learning in terms of  both cognitive and social development, is key to many learners’ achievement in school</w:t>
      </w:r>
    </w:p>
    <w:p w:rsidR="008F3840" w:rsidRDefault="008F3840" w:rsidP="008F3840">
      <w:pPr>
        <w:pStyle w:val="BCSBulletparagraph"/>
        <w:tabs>
          <w:tab w:val="num" w:pos="1440"/>
        </w:tabs>
        <w:textAlignment w:val="auto"/>
      </w:pPr>
      <w:r>
        <w:t>technology can be seen as a beneficial but not exclusive approach to resolving the problems associated with low achievement and underachievement</w:t>
      </w:r>
    </w:p>
    <w:p w:rsidR="008F3840" w:rsidRDefault="008F3840" w:rsidP="008F3840">
      <w:pPr>
        <w:pStyle w:val="BCSBulletparagraph"/>
        <w:tabs>
          <w:tab w:val="num" w:pos="1440"/>
        </w:tabs>
        <w:textAlignment w:val="auto"/>
      </w:pPr>
      <w:r>
        <w:t>learner profiling has become widespread with the increased availability of technology. Many effective strategies start with detailed profiling of the individual pupil.  The seemingly mundane ‘workhorse’ functionalities of technology should not be underestimated.</w:t>
      </w:r>
    </w:p>
    <w:p w:rsidR="008F3840" w:rsidRDefault="008F3840" w:rsidP="008F3840">
      <w:pPr>
        <w:pStyle w:val="BCSBulletparagraph"/>
        <w:tabs>
          <w:tab w:val="num" w:pos="1440"/>
        </w:tabs>
        <w:textAlignment w:val="auto"/>
        <w:rPr>
          <w:rStyle w:val="BCSBulletlastChar"/>
        </w:rPr>
      </w:pPr>
      <w:r>
        <w:rPr>
          <w:rStyle w:val="BCSBulletlastChar"/>
        </w:rPr>
        <w:t>an individual learner’s self-efficacy, an essential component of academic achievement, can be improved through a variety of strategies that provide the learner with success in an educational setting.</w:t>
      </w:r>
    </w:p>
    <w:p w:rsidR="008F3840" w:rsidRDefault="008F3840" w:rsidP="008F3840">
      <w:pPr>
        <w:pStyle w:val="BCSBulletparagraph"/>
        <w:tabs>
          <w:tab w:val="num" w:pos="1440"/>
        </w:tabs>
        <w:textAlignment w:val="auto"/>
        <w:rPr>
          <w:rStyle w:val="BCSBulletlastChar"/>
        </w:rPr>
      </w:pPr>
      <w:r>
        <w:rPr>
          <w:rStyle w:val="BCSBulletlastChar"/>
        </w:rPr>
        <w:t>the research here found numerous ways in which the technology supported the individual’s self efficacy, from making it possible for the reticent child to speak in class through making learning more active and more relevant to the learner.</w:t>
      </w:r>
    </w:p>
    <w:p w:rsidR="006E1A3A" w:rsidRDefault="006E1A3A" w:rsidP="006E1A3A">
      <w:pPr>
        <w:pStyle w:val="BCSBulletparagraph"/>
        <w:numPr>
          <w:ilvl w:val="0"/>
          <w:numId w:val="0"/>
        </w:numPr>
        <w:tabs>
          <w:tab w:val="clear" w:pos="720"/>
          <w:tab w:val="left" w:pos="709"/>
        </w:tabs>
        <w:ind w:left="720"/>
        <w:rPr>
          <w:rStyle w:val="BCSBulletlastChar"/>
        </w:rPr>
      </w:pPr>
    </w:p>
    <w:p w:rsidR="008B7475" w:rsidRPr="006E1A3A" w:rsidRDefault="00304B1C" w:rsidP="00657146">
      <w:pPr>
        <w:pStyle w:val="BCSBulletparagraph"/>
        <w:numPr>
          <w:ilvl w:val="0"/>
          <w:numId w:val="0"/>
        </w:numPr>
        <w:tabs>
          <w:tab w:val="clear" w:pos="720"/>
        </w:tabs>
        <w:rPr>
          <w:rStyle w:val="BCSHeadingAChar"/>
          <w:b w:val="0"/>
          <w:bCs w:val="0"/>
          <w:color w:val="auto"/>
          <w:sz w:val="24"/>
          <w:szCs w:val="20"/>
        </w:rPr>
      </w:pPr>
      <w:r>
        <w:br w:type="page"/>
      </w:r>
      <w:bookmarkStart w:id="14" w:name="_Toc248651137"/>
      <w:bookmarkStart w:id="15" w:name="_Toc248651404"/>
      <w:bookmarkStart w:id="16" w:name="_Toc248651447"/>
      <w:bookmarkStart w:id="17" w:name="_Toc248651596"/>
      <w:bookmarkStart w:id="18" w:name="_Toc248652453"/>
      <w:r w:rsidR="00A17945" w:rsidRPr="007466B1">
        <w:rPr>
          <w:rStyle w:val="BCSHeadingAChar"/>
        </w:rPr>
        <w:t>The c</w:t>
      </w:r>
      <w:r w:rsidR="00AF64F8" w:rsidRPr="007466B1">
        <w:rPr>
          <w:rStyle w:val="BCSHeadingAChar"/>
        </w:rPr>
        <w:t>hallenge</w:t>
      </w:r>
      <w:bookmarkEnd w:id="8"/>
      <w:bookmarkEnd w:id="14"/>
      <w:bookmarkEnd w:id="15"/>
      <w:bookmarkEnd w:id="16"/>
      <w:bookmarkEnd w:id="17"/>
      <w:bookmarkEnd w:id="18"/>
    </w:p>
    <w:p w:rsidR="007466B1" w:rsidRDefault="007466B1" w:rsidP="00AF64F8">
      <w:pPr>
        <w:pStyle w:val="BCSHeadingB"/>
      </w:pPr>
    </w:p>
    <w:p w:rsidR="00AF64F8" w:rsidRDefault="00A17945" w:rsidP="00AF64F8">
      <w:pPr>
        <w:pStyle w:val="BCSHeadingB"/>
      </w:pPr>
      <w:bookmarkStart w:id="19" w:name="_Toc248651138"/>
      <w:bookmarkStart w:id="20" w:name="_Toc248651405"/>
      <w:bookmarkStart w:id="21" w:name="_Toc248651448"/>
      <w:bookmarkStart w:id="22" w:name="_Toc248651597"/>
      <w:bookmarkStart w:id="23" w:name="_Toc248652454"/>
      <w:r>
        <w:t>Narrowing the gap for l</w:t>
      </w:r>
      <w:r w:rsidR="00AF64F8">
        <w:t>ow</w:t>
      </w:r>
      <w:r>
        <w:t xml:space="preserve"> achievers and u</w:t>
      </w:r>
      <w:r w:rsidR="00AF64F8">
        <w:t>nderachievers</w:t>
      </w:r>
      <w:bookmarkEnd w:id="19"/>
      <w:bookmarkEnd w:id="20"/>
      <w:bookmarkEnd w:id="21"/>
      <w:bookmarkEnd w:id="22"/>
      <w:bookmarkEnd w:id="23"/>
    </w:p>
    <w:p w:rsidR="00AF64F8" w:rsidRDefault="00AF64F8" w:rsidP="00AF64F8">
      <w:pPr>
        <w:pStyle w:val="BCSParagraph"/>
      </w:pPr>
      <w:r>
        <w:t>Education has long been seen as the key driver to a fairer society</w:t>
      </w:r>
      <w:r w:rsidR="00A17945">
        <w:t>,</w:t>
      </w:r>
      <w:r w:rsidR="006F164B">
        <w:t xml:space="preserve"> but</w:t>
      </w:r>
      <w:r>
        <w:t xml:space="preserve"> one of the key c</w:t>
      </w:r>
      <w:r w:rsidR="006F164B">
        <w:t xml:space="preserve">hallenges it must address is </w:t>
      </w:r>
      <w:r>
        <w:t>find</w:t>
      </w:r>
      <w:r w:rsidR="006F164B">
        <w:t>ing</w:t>
      </w:r>
      <w:r>
        <w:t xml:space="preserve"> ways to enthuse and engage our low</w:t>
      </w:r>
      <w:r w:rsidR="006F164B">
        <w:t>-achieving</w:t>
      </w:r>
      <w:r>
        <w:t xml:space="preserve"> and underachieving learners. </w:t>
      </w:r>
    </w:p>
    <w:p w:rsidR="00AF64F8" w:rsidRDefault="00AF64F8" w:rsidP="00AF64F8">
      <w:pPr>
        <w:pStyle w:val="BCSParagraph"/>
      </w:pPr>
      <w:r>
        <w:t xml:space="preserve">While working to improve the lives of all young people, the biggest challenge continues to be that of narrowing the gap in opportunities and outcomes between the majority of learners and those who are most vulnerable or </w:t>
      </w:r>
      <w:r w:rsidR="006F164B">
        <w:t>who fail</w:t>
      </w:r>
      <w:r>
        <w:t xml:space="preserve"> to fully benefit from the educational system. This minority includes a worrying and persistent cohort of children at </w:t>
      </w:r>
      <w:r w:rsidR="00922ED3">
        <w:t>secondary-</w:t>
      </w:r>
      <w:r>
        <w:t>school level who can be classified as either low achievers or unde</w:t>
      </w:r>
      <w:r w:rsidR="00922ED3">
        <w:t>rachievers. As many as 26,000 student</w:t>
      </w:r>
      <w:r>
        <w:t>s (5%) leave school without any</w:t>
      </w:r>
      <w:r w:rsidR="00922ED3">
        <w:t xml:space="preserve"> GCSEs and over 75,000 fifteen-year-</w:t>
      </w:r>
      <w:r>
        <w:t xml:space="preserve">olds </w:t>
      </w:r>
      <w:r w:rsidR="00922ED3">
        <w:t xml:space="preserve">(17%) </w:t>
      </w:r>
      <w:r>
        <w:t xml:space="preserve">have a low level of literacy despite 11 years of compulsory schooling. </w:t>
      </w:r>
    </w:p>
    <w:p w:rsidR="00922ED3" w:rsidRDefault="00AF64F8" w:rsidP="000A6536">
      <w:pPr>
        <w:pStyle w:val="BCSParagraph"/>
      </w:pPr>
      <w:r>
        <w:t>A successful educational experience is not just a matter of improvin</w:t>
      </w:r>
      <w:r w:rsidR="00922ED3">
        <w:t>g the academic performance of students</w:t>
      </w:r>
      <w:r>
        <w:t xml:space="preserve">, although this is an important dimension of the Narrowing the Gap programme. </w:t>
      </w:r>
      <w:r w:rsidR="00922ED3">
        <w:t>There are many ways for young people to achieve.</w:t>
      </w:r>
      <w:r w:rsidR="000A6536" w:rsidRPr="000A6536">
        <w:t xml:space="preserve"> </w:t>
      </w:r>
      <w:r w:rsidR="000A6536">
        <w:t xml:space="preserve">There are many ways for young people to achieve. Although developing expertise in one area might be at the expense of another, this is an opportunity to develop individual talents and strengths. While </w:t>
      </w:r>
      <w:r w:rsidR="00E6712F">
        <w:t>t</w:t>
      </w:r>
      <w:r w:rsidR="00922ED3">
        <w:t xml:space="preserve">he development of sound interpersonal skills, so vital in the workplace, is also important. </w:t>
      </w:r>
    </w:p>
    <w:p w:rsidR="00AF64F8" w:rsidRDefault="00AF64F8" w:rsidP="00AF64F8">
      <w:pPr>
        <w:pStyle w:val="BCSParagraph"/>
      </w:pPr>
      <w:r>
        <w:t>The reasons why some young people fail to benefit from all that the UK educat</w:t>
      </w:r>
      <w:r w:rsidR="006B60D7">
        <w:t xml:space="preserve">ion system offers </w:t>
      </w:r>
      <w:r w:rsidR="00F96AC4">
        <w:t>derive from a</w:t>
      </w:r>
      <w:r>
        <w:t xml:space="preserve"> complex mix of factors</w:t>
      </w:r>
      <w:r w:rsidR="006B60D7">
        <w:t>,</w:t>
      </w:r>
      <w:r>
        <w:t xml:space="preserve"> including basic intellectual and emotional capacities, socio-cultural background, home environment and the quality of th</w:t>
      </w:r>
      <w:r w:rsidR="006B60D7">
        <w:t xml:space="preserve">e education environment. </w:t>
      </w:r>
      <w:r w:rsidR="008707D3">
        <w:t>However, d</w:t>
      </w:r>
      <w:r w:rsidR="006D294C">
        <w:t>espite the complexity of circumstances surrounding low achievement and underachievement, there is a clear common denominator</w:t>
      </w:r>
      <w:r w:rsidR="00BB78BE">
        <w:t xml:space="preserve">: for learners to achieve, they must </w:t>
      </w:r>
      <w:r>
        <w:t xml:space="preserve">engage with the learning process. </w:t>
      </w:r>
    </w:p>
    <w:p w:rsidR="00AF64F8" w:rsidRPr="008707D3" w:rsidRDefault="00AF64F8" w:rsidP="008707D3">
      <w:pPr>
        <w:pStyle w:val="BCSHeadingB"/>
      </w:pPr>
      <w:bookmarkStart w:id="24" w:name="_Toc248651139"/>
      <w:bookmarkStart w:id="25" w:name="_Toc248651406"/>
      <w:bookmarkStart w:id="26" w:name="_Toc248651449"/>
      <w:bookmarkStart w:id="27" w:name="_Toc248651598"/>
      <w:bookmarkStart w:id="28" w:name="_Toc248652455"/>
      <w:r w:rsidRPr="008707D3">
        <w:t>Key issues</w:t>
      </w:r>
      <w:bookmarkEnd w:id="24"/>
      <w:bookmarkEnd w:id="25"/>
      <w:bookmarkEnd w:id="26"/>
      <w:bookmarkEnd w:id="27"/>
      <w:bookmarkEnd w:id="28"/>
    </w:p>
    <w:p w:rsidR="003D37CE" w:rsidRDefault="00AF64F8" w:rsidP="00AF64F8">
      <w:pPr>
        <w:pStyle w:val="BCSParagraph"/>
      </w:pPr>
      <w:r>
        <w:t>The key issues associated with low</w:t>
      </w:r>
      <w:r w:rsidR="00F96AC4">
        <w:t xml:space="preserve"> achievers and under</w:t>
      </w:r>
      <w:r>
        <w:t xml:space="preserve">achievers were explored in detail in the </w:t>
      </w:r>
      <w:hyperlink r:id="rId9" w:history="1">
        <w:r w:rsidR="00CF6859">
          <w:rPr>
            <w:rStyle w:val="Hyperlink"/>
          </w:rPr>
          <w:t>Literature r</w:t>
        </w:r>
        <w:r w:rsidRPr="00E7490F">
          <w:rPr>
            <w:rStyle w:val="Hyperlink"/>
          </w:rPr>
          <w:t>eview</w:t>
        </w:r>
      </w:hyperlink>
      <w:r w:rsidR="00CC2E69">
        <w:t>.</w:t>
      </w:r>
    </w:p>
    <w:p w:rsidR="00AF64F8" w:rsidRDefault="006D294C" w:rsidP="00AF64F8">
      <w:pPr>
        <w:pStyle w:val="BCSParagraph"/>
      </w:pPr>
      <w:r>
        <w:t>What follows is a summary of those issues:</w:t>
      </w:r>
    </w:p>
    <w:p w:rsidR="00AC798D" w:rsidRDefault="00AF64F8" w:rsidP="00AC798D">
      <w:pPr>
        <w:pStyle w:val="BCSBulletparagraph"/>
      </w:pPr>
      <w:r w:rsidRPr="00AC798D">
        <w:rPr>
          <w:b/>
        </w:rPr>
        <w:t>Motivation is a prerequisite to success but must be translated into engagement and persistence.</w:t>
      </w:r>
      <w:r w:rsidR="00AC798D" w:rsidRPr="00AC798D">
        <w:t xml:space="preserve"> </w:t>
      </w:r>
      <w:r w:rsidR="00933D77">
        <w:t>U</w:t>
      </w:r>
      <w:r w:rsidR="00AC798D">
        <w:t>nderachieving</w:t>
      </w:r>
      <w:r w:rsidR="00933D77">
        <w:t xml:space="preserve"> learners</w:t>
      </w:r>
      <w:r w:rsidR="00AC798D">
        <w:t xml:space="preserve"> often lack the ability to persevere, and they need encouragement to stay focused. Software with frequent feedback and rewards has been shown to increase time on task.</w:t>
      </w:r>
    </w:p>
    <w:p w:rsidR="00933D77" w:rsidRDefault="00933D77" w:rsidP="00933D77">
      <w:pPr>
        <w:pStyle w:val="BCSBulletparagraph"/>
        <w:numPr>
          <w:ilvl w:val="0"/>
          <w:numId w:val="0"/>
        </w:numPr>
        <w:ind w:left="1077"/>
      </w:pPr>
    </w:p>
    <w:p w:rsidR="00AC798D" w:rsidRDefault="00AF64F8" w:rsidP="00AC798D">
      <w:pPr>
        <w:pStyle w:val="BCSBulletparagraph"/>
      </w:pPr>
      <w:r w:rsidRPr="00AC798D">
        <w:rPr>
          <w:b/>
        </w:rPr>
        <w:t>Motivation is not just an is</w:t>
      </w:r>
      <w:r w:rsidR="00AC798D" w:rsidRPr="00AC798D">
        <w:rPr>
          <w:b/>
        </w:rPr>
        <w:t>sue for low achievers;</w:t>
      </w:r>
      <w:r w:rsidR="00AC798D">
        <w:rPr>
          <w:b/>
        </w:rPr>
        <w:t xml:space="preserve"> without it even </w:t>
      </w:r>
      <w:r w:rsidRPr="00AC798D">
        <w:rPr>
          <w:b/>
        </w:rPr>
        <w:t xml:space="preserve">able </w:t>
      </w:r>
      <w:r w:rsidR="00AC798D">
        <w:rPr>
          <w:b/>
        </w:rPr>
        <w:t xml:space="preserve">learners </w:t>
      </w:r>
      <w:r w:rsidRPr="00AC798D">
        <w:rPr>
          <w:b/>
        </w:rPr>
        <w:t>will perform below potential.</w:t>
      </w:r>
      <w:r>
        <w:t xml:space="preserve"> </w:t>
      </w:r>
      <w:r w:rsidR="00AC798D">
        <w:t>Technology, particularly video games for boys, has proved to be highly motivating.</w:t>
      </w:r>
    </w:p>
    <w:p w:rsidR="00933D77" w:rsidRDefault="00933D77" w:rsidP="00933D77">
      <w:pPr>
        <w:pStyle w:val="BCSBulletparagraph"/>
        <w:numPr>
          <w:ilvl w:val="0"/>
          <w:numId w:val="0"/>
        </w:numPr>
      </w:pPr>
    </w:p>
    <w:p w:rsidR="00933D77" w:rsidRDefault="00AF64F8" w:rsidP="00933D77">
      <w:pPr>
        <w:pStyle w:val="BCSBulletparagraph"/>
      </w:pPr>
      <w:r w:rsidRPr="00933D77">
        <w:rPr>
          <w:b/>
        </w:rPr>
        <w:t>Many young people do not experien</w:t>
      </w:r>
      <w:r w:rsidR="00AC798D" w:rsidRPr="00933D77">
        <w:rPr>
          <w:b/>
        </w:rPr>
        <w:t xml:space="preserve">ce a home environment that adequately </w:t>
      </w:r>
      <w:r w:rsidRPr="00933D77">
        <w:rPr>
          <w:b/>
        </w:rPr>
        <w:t>prepares them for</w:t>
      </w:r>
      <w:r w:rsidR="00AC798D" w:rsidRPr="00933D77">
        <w:rPr>
          <w:b/>
        </w:rPr>
        <w:t>,</w:t>
      </w:r>
      <w:r w:rsidRPr="00933D77">
        <w:rPr>
          <w:b/>
        </w:rPr>
        <w:t xml:space="preserve"> or supports them in</w:t>
      </w:r>
      <w:r w:rsidR="00AC798D" w:rsidRPr="00933D77">
        <w:rPr>
          <w:b/>
        </w:rPr>
        <w:t>,</w:t>
      </w:r>
      <w:r w:rsidRPr="00933D77">
        <w:rPr>
          <w:b/>
        </w:rPr>
        <w:t xml:space="preserve"> their school-based learning – this becomes a greater challenge when </w:t>
      </w:r>
      <w:r w:rsidR="00AC798D" w:rsidRPr="00933D77">
        <w:rPr>
          <w:b/>
        </w:rPr>
        <w:t xml:space="preserve">they </w:t>
      </w:r>
      <w:r w:rsidR="00933D77">
        <w:rPr>
          <w:b/>
        </w:rPr>
        <w:t xml:space="preserve">also </w:t>
      </w:r>
      <w:r w:rsidR="00AC798D" w:rsidRPr="00933D77">
        <w:rPr>
          <w:b/>
        </w:rPr>
        <w:t>attend</w:t>
      </w:r>
      <w:r w:rsidRPr="00933D77">
        <w:rPr>
          <w:b/>
        </w:rPr>
        <w:t xml:space="preserve"> failing schools.</w:t>
      </w:r>
      <w:r w:rsidR="00933D77" w:rsidRPr="00933D77">
        <w:t xml:space="preserve"> </w:t>
      </w:r>
      <w:r w:rsidR="00933D77">
        <w:t>The lack of routine in some homes leads to a culture shock when some pupils come to school. Technology is now being used to develop the cognitive (attention) and social (turn-taking) skills that are essential for a successful school experience.</w:t>
      </w:r>
    </w:p>
    <w:p w:rsidR="00933D77" w:rsidRDefault="00933D77" w:rsidP="00933D77">
      <w:pPr>
        <w:pStyle w:val="BCSBulletparagraph"/>
        <w:numPr>
          <w:ilvl w:val="0"/>
          <w:numId w:val="0"/>
        </w:numPr>
      </w:pPr>
    </w:p>
    <w:p w:rsidR="00AF64F8" w:rsidRDefault="00AF64F8" w:rsidP="00933D77">
      <w:pPr>
        <w:pStyle w:val="BCSBulletparagraph"/>
      </w:pPr>
      <w:r w:rsidRPr="00933D77">
        <w:rPr>
          <w:b/>
        </w:rPr>
        <w:t>External pressures</w:t>
      </w:r>
      <w:r w:rsidR="00AC798D" w:rsidRPr="00933D77">
        <w:rPr>
          <w:b/>
        </w:rPr>
        <w:t>,</w:t>
      </w:r>
      <w:r w:rsidRPr="00933D77">
        <w:rPr>
          <w:b/>
        </w:rPr>
        <w:t xml:space="preserve"> particularly peer pressure</w:t>
      </w:r>
      <w:r w:rsidR="00AC798D" w:rsidRPr="00933D77">
        <w:rPr>
          <w:b/>
        </w:rPr>
        <w:t>,</w:t>
      </w:r>
      <w:r w:rsidRPr="00933D77">
        <w:rPr>
          <w:b/>
        </w:rPr>
        <w:t xml:space="preserve"> can lead to educational alienation.</w:t>
      </w:r>
      <w:r w:rsidR="00933D77">
        <w:t xml:space="preserve"> </w:t>
      </w:r>
      <w:r w:rsidR="00AC798D">
        <w:t xml:space="preserve">Technology can give a street </w:t>
      </w:r>
      <w:r>
        <w:t>edge to learning</w:t>
      </w:r>
      <w:r w:rsidR="00AC798D">
        <w:t>,</w:t>
      </w:r>
      <w:r>
        <w:t xml:space="preserve"> which makes it more acceptable to such groups.</w:t>
      </w:r>
    </w:p>
    <w:p w:rsidR="00933D77" w:rsidRDefault="00933D77" w:rsidP="00933D77">
      <w:pPr>
        <w:pStyle w:val="BCSBulletparagraph"/>
        <w:numPr>
          <w:ilvl w:val="0"/>
          <w:numId w:val="0"/>
        </w:numPr>
      </w:pPr>
    </w:p>
    <w:p w:rsidR="00AF64F8" w:rsidRDefault="00AF64F8" w:rsidP="004F695F">
      <w:pPr>
        <w:pStyle w:val="BCSBulletlast"/>
      </w:pPr>
      <w:r w:rsidRPr="00933D77">
        <w:rPr>
          <w:b/>
        </w:rPr>
        <w:t>Young people from socially disadvantaged backgrounds are more at risk of underachieving.</w:t>
      </w:r>
      <w:r w:rsidR="008707D3">
        <w:t xml:space="preserve"> Learners</w:t>
      </w:r>
      <w:r>
        <w:t xml:space="preserve"> in disadvantaged areas are often the most positive and appreciative of the technology available in their schools. Schools really make a difference here.</w:t>
      </w:r>
      <w:r w:rsidR="00933D77">
        <w:t xml:space="preserve"> </w:t>
      </w:r>
      <w:r>
        <w:t>Technology has the potential to level the playing field in learning and give opportunities for achievement to all children.</w:t>
      </w:r>
    </w:p>
    <w:p w:rsidR="008B7475" w:rsidRDefault="00AF64F8" w:rsidP="00AF64F8">
      <w:pPr>
        <w:pStyle w:val="BCSParagraph"/>
      </w:pPr>
      <w:r>
        <w:t>The remainder of this report focuses on th</w:t>
      </w:r>
      <w:r w:rsidR="000C4D63">
        <w:t>e strategies that schools and local authoritie</w:t>
      </w:r>
      <w:r>
        <w:t xml:space="preserve">s are using to raise the performance of these two </w:t>
      </w:r>
      <w:r w:rsidR="004F695F">
        <w:t>groups of students</w:t>
      </w:r>
      <w:r>
        <w:t>.</w:t>
      </w:r>
    </w:p>
    <w:p w:rsidR="00304B1C" w:rsidRDefault="00304B1C" w:rsidP="003D37CE">
      <w:pPr>
        <w:pStyle w:val="BCSHeadingA"/>
      </w:pPr>
    </w:p>
    <w:p w:rsidR="003D37CE" w:rsidRDefault="00304B1C" w:rsidP="003D37CE">
      <w:pPr>
        <w:pStyle w:val="BCSHeadingA"/>
      </w:pPr>
      <w:r>
        <w:br w:type="page"/>
      </w:r>
      <w:bookmarkStart w:id="29" w:name="_Toc248651140"/>
      <w:bookmarkStart w:id="30" w:name="_Toc248651407"/>
      <w:bookmarkStart w:id="31" w:name="_Toc248651450"/>
      <w:bookmarkStart w:id="32" w:name="_Toc248651599"/>
      <w:bookmarkStart w:id="33" w:name="_Toc248652456"/>
      <w:r w:rsidR="003D37CE">
        <w:t>Methodology</w:t>
      </w:r>
      <w:bookmarkEnd w:id="29"/>
      <w:bookmarkEnd w:id="30"/>
      <w:bookmarkEnd w:id="31"/>
      <w:bookmarkEnd w:id="32"/>
      <w:bookmarkEnd w:id="33"/>
    </w:p>
    <w:p w:rsidR="003D37CE" w:rsidRDefault="003D37CE" w:rsidP="003C174B">
      <w:pPr>
        <w:pStyle w:val="BCSHeadingB"/>
      </w:pPr>
      <w:bookmarkStart w:id="34" w:name="_Toc248651141"/>
      <w:bookmarkStart w:id="35" w:name="_Toc248651408"/>
      <w:bookmarkStart w:id="36" w:name="_Toc248651451"/>
      <w:bookmarkStart w:id="37" w:name="_Toc248651600"/>
      <w:bookmarkStart w:id="38" w:name="_Toc248652457"/>
      <w:r>
        <w:t>Sample schools</w:t>
      </w:r>
      <w:bookmarkEnd w:id="34"/>
      <w:bookmarkEnd w:id="35"/>
      <w:bookmarkEnd w:id="36"/>
      <w:bookmarkEnd w:id="37"/>
      <w:bookmarkEnd w:id="38"/>
    </w:p>
    <w:p w:rsidR="003D37CE" w:rsidRDefault="003D37CE" w:rsidP="003D37CE">
      <w:pPr>
        <w:pStyle w:val="BCSParagraph"/>
      </w:pPr>
      <w:r>
        <w:t xml:space="preserve">Two groups of schools were recruited. </w:t>
      </w:r>
    </w:p>
    <w:p w:rsidR="003D37CE" w:rsidRDefault="004F695F" w:rsidP="003D37CE">
      <w:pPr>
        <w:pStyle w:val="BCSParagraph"/>
      </w:pPr>
      <w:r>
        <w:t xml:space="preserve">Comprising </w:t>
      </w:r>
      <w:r w:rsidRPr="0062493A">
        <w:t>the first group</w:t>
      </w:r>
      <w:r w:rsidR="008E4D2D">
        <w:t>,</w:t>
      </w:r>
      <w:r>
        <w:t xml:space="preserve"> were</w:t>
      </w:r>
      <w:r w:rsidR="003D37CE">
        <w:t xml:space="preserve"> eight secondary schools </w:t>
      </w:r>
      <w:r>
        <w:t>from different local a</w:t>
      </w:r>
      <w:r w:rsidR="003D37CE">
        <w:t>uthorities and div</w:t>
      </w:r>
      <w:r>
        <w:t xml:space="preserve">erse locations across England. Each of the </w:t>
      </w:r>
      <w:r w:rsidR="003D37CE">
        <w:t>schools had been identified as e-act</w:t>
      </w:r>
      <w:r w:rsidR="005E7032">
        <w:t>ive and held</w:t>
      </w:r>
      <w:r w:rsidR="003D37CE">
        <w:t xml:space="preserve"> a clearly articulated inclusion agenda. In essence</w:t>
      </w:r>
      <w:r w:rsidR="005E7032">
        <w:t>,</w:t>
      </w:r>
      <w:r w:rsidR="003D37CE">
        <w:t xml:space="preserve"> they were schools exhibiting good practice. However, the schools differed on a range of criteria. Two of the eight schools were single sex; there were </w:t>
      </w:r>
      <w:r w:rsidR="005E7032">
        <w:t>seven large schools (over 1,000 students</w:t>
      </w:r>
      <w:r w:rsidR="003D37CE">
        <w:t>); and four of the schools were from disadvantaged areas. While all of the schools were multicultur</w:t>
      </w:r>
      <w:r w:rsidR="005E7032">
        <w:t>al, one school had a predominant</w:t>
      </w:r>
      <w:r w:rsidR="003D37CE">
        <w:t>ly ethnic minority intake. Within each of these eight schools</w:t>
      </w:r>
      <w:r w:rsidR="005E7032">
        <w:t>,</w:t>
      </w:r>
      <w:r w:rsidR="003D37CE">
        <w:t xml:space="preserve"> we identified a teacher consultant to act not only as a co</w:t>
      </w:r>
      <w:r w:rsidR="005E7032">
        <w:t>ntact point but also</w:t>
      </w:r>
      <w:r w:rsidR="003D37CE">
        <w:t xml:space="preserve"> as a participating researcher. </w:t>
      </w:r>
    </w:p>
    <w:p w:rsidR="003D37CE" w:rsidRDefault="003D37CE" w:rsidP="003D37CE">
      <w:pPr>
        <w:pStyle w:val="BCSParagraph"/>
      </w:pPr>
      <w:r>
        <w:t>The selection was made across a wide spectrum of the secondary sector for two reason</w:t>
      </w:r>
      <w:r w:rsidR="00A128EF">
        <w:t>s. Our first aim was to expand</w:t>
      </w:r>
      <w:r>
        <w:t xml:space="preserve"> the potential r</w:t>
      </w:r>
      <w:r w:rsidR="00A128EF">
        <w:t xml:space="preserve">ange of strategies for narrowing the gap that we would </w:t>
      </w:r>
      <w:r>
        <w:t xml:space="preserve">observe </w:t>
      </w:r>
      <w:r w:rsidR="00A128EF">
        <w:t>among</w:t>
      </w:r>
      <w:r>
        <w:t xml:space="preserve"> our sample schools. In</w:t>
      </w:r>
      <w:r w:rsidR="00B43F3A">
        <w:t xml:space="preserve"> this sense we hoped</w:t>
      </w:r>
      <w:r>
        <w:t xml:space="preserve"> to capture innovative approaches to working effectively with either low</w:t>
      </w:r>
      <w:r w:rsidR="00B43F3A">
        <w:t xml:space="preserve"> achievers</w:t>
      </w:r>
      <w:r>
        <w:t xml:space="preserve"> or underachievers. The second aim was to identify, if</w:t>
      </w:r>
      <w:r w:rsidR="00B43F3A">
        <w:t xml:space="preserve"> possible, strategies </w:t>
      </w:r>
      <w:r w:rsidR="000C4D63">
        <w:t xml:space="preserve">seeming to </w:t>
      </w:r>
      <w:r w:rsidR="00A128EF">
        <w:t>work</w:t>
      </w:r>
      <w:r w:rsidR="00EC71CC">
        <w:t xml:space="preserve"> across</w:t>
      </w:r>
      <w:r>
        <w:t xml:space="preserve"> very different environments. Such strategies</w:t>
      </w:r>
      <w:r w:rsidR="00825AE9">
        <w:t>,</w:t>
      </w:r>
      <w:r>
        <w:t xml:space="preserve"> we argued</w:t>
      </w:r>
      <w:r w:rsidR="00825AE9">
        <w:t>,</w:t>
      </w:r>
      <w:r w:rsidR="000C4D63">
        <w:t xml:space="preserve"> c</w:t>
      </w:r>
      <w:r>
        <w:t xml:space="preserve">ould potentially </w:t>
      </w:r>
      <w:r w:rsidR="000C4D63">
        <w:t xml:space="preserve">be </w:t>
      </w:r>
      <w:r>
        <w:t>generalise</w:t>
      </w:r>
      <w:r w:rsidR="000C4D63">
        <w:t>d</w:t>
      </w:r>
      <w:r>
        <w:t xml:space="preserve"> across the secondary sector. Identifying such strategies was a core goal of the project.</w:t>
      </w:r>
    </w:p>
    <w:p w:rsidR="003D37CE" w:rsidRDefault="003D37CE" w:rsidP="003D37CE">
      <w:pPr>
        <w:pStyle w:val="BCSParagraph"/>
      </w:pPr>
      <w:r>
        <w:t>Criti</w:t>
      </w:r>
      <w:r w:rsidR="000C4D63">
        <w:t>cal to the work with this first school group</w:t>
      </w:r>
      <w:r>
        <w:t xml:space="preserve"> was the identification of a teacher consultant</w:t>
      </w:r>
      <w:r w:rsidR="00EC71CC">
        <w:t xml:space="preserve"> from each school</w:t>
      </w:r>
      <w:r>
        <w:t xml:space="preserve"> to work in partnership with the researchers. These consultants provided the first poin</w:t>
      </w:r>
      <w:r w:rsidR="000C4D63">
        <w:t xml:space="preserve">t of contact into the school, </w:t>
      </w:r>
      <w:r>
        <w:t xml:space="preserve">acted as operational managers of </w:t>
      </w:r>
      <w:r w:rsidR="000C4D63">
        <w:t>the work within their school, and</w:t>
      </w:r>
      <w:r>
        <w:t xml:space="preserve"> collectively provided a practitioner-based expert group to comment on the evidence and refine the materials emerging from this project.</w:t>
      </w:r>
    </w:p>
    <w:p w:rsidR="003D37CE" w:rsidRDefault="00EC0C04" w:rsidP="003D37CE">
      <w:pPr>
        <w:pStyle w:val="BCSParagraph"/>
      </w:pPr>
      <w:r>
        <w:t xml:space="preserve">The </w:t>
      </w:r>
      <w:r w:rsidRPr="0062493A">
        <w:t>second school group</w:t>
      </w:r>
      <w:r>
        <w:t xml:space="preserve"> comprised</w:t>
      </w:r>
      <w:r w:rsidR="003D37CE">
        <w:t xml:space="preserve"> four secondary schools and two prim</w:t>
      </w:r>
      <w:r>
        <w:t>ary schools sitting</w:t>
      </w:r>
      <w:r w:rsidR="00762523">
        <w:t xml:space="preserve"> within one local authority</w:t>
      </w:r>
      <w:r>
        <w:t xml:space="preserve">. </w:t>
      </w:r>
      <w:r w:rsidR="003D37CE">
        <w:t>The two primary schools were feeder schools to one of the secondary schools. The schools were widely dispersed across this geographically large authority, which has pockets of affluence as well as extensive areas of deprivation.</w:t>
      </w:r>
    </w:p>
    <w:p w:rsidR="003D37CE" w:rsidRDefault="003D37CE" w:rsidP="003D37CE">
      <w:pPr>
        <w:pStyle w:val="BCSParagraph"/>
      </w:pPr>
      <w:r>
        <w:t>Our selection of this</w:t>
      </w:r>
      <w:r w:rsidR="00762523">
        <w:t xml:space="preserve"> local authority</w:t>
      </w:r>
      <w:r w:rsidR="00EC0C04">
        <w:t xml:space="preserve"> was based on two criteria: t</w:t>
      </w:r>
      <w:r w:rsidR="00762523">
        <w:t>he authority</w:t>
      </w:r>
      <w:r>
        <w:t xml:space="preserve"> had a significant cohort of low </w:t>
      </w:r>
      <w:r w:rsidR="00EC0C04">
        <w:t xml:space="preserve">achievers </w:t>
      </w:r>
      <w:r>
        <w:t>and underac</w:t>
      </w:r>
      <w:r w:rsidR="005B5DE4">
        <w:t>hievers and had recognised the Narrowing the G</w:t>
      </w:r>
      <w:r>
        <w:t>ap agenda as a priority action for all of its</w:t>
      </w:r>
      <w:r w:rsidR="00EC0C04">
        <w:t xml:space="preserve"> schools. The initial purpose for working with this group</w:t>
      </w:r>
      <w:r w:rsidR="00EC71CC">
        <w:t xml:space="preserve"> was to ascertain whether or not the</w:t>
      </w:r>
      <w:r>
        <w:t xml:space="preserve"> practitioner</w:t>
      </w:r>
      <w:r w:rsidR="00EC71CC">
        <w:t>s would</w:t>
      </w:r>
      <w:r>
        <w:t xml:space="preserve"> validat</w:t>
      </w:r>
      <w:r w:rsidR="00EC0C04">
        <w:t>e the findings from the first group of schools</w:t>
      </w:r>
      <w:r w:rsidR="00125653">
        <w:t xml:space="preserve">. This remained the primary aim. A secondary purpose emerged from </w:t>
      </w:r>
      <w:r>
        <w:t xml:space="preserve">our </w:t>
      </w:r>
      <w:r w:rsidR="00125653">
        <w:t>field</w:t>
      </w:r>
      <w:r>
        <w:t>work</w:t>
      </w:r>
      <w:r w:rsidR="00125653">
        <w:t xml:space="preserve"> with the first group which, along with </w:t>
      </w:r>
      <w:r>
        <w:t>evidence from the literature</w:t>
      </w:r>
      <w:r w:rsidR="00125653">
        <w:t>, suggested</w:t>
      </w:r>
      <w:r>
        <w:t xml:space="preserve"> that the transition from primary to secondary school is a pivotal point in many pupils’ lives. With agreement from the funder, we adapted the study to allow us to investigate strategies used to ease that transit</w:t>
      </w:r>
      <w:r w:rsidR="00125653">
        <w:t xml:space="preserve">ion and to document any </w:t>
      </w:r>
      <w:r>
        <w:t>differences in approach to low</w:t>
      </w:r>
      <w:r w:rsidR="00125653">
        <w:t xml:space="preserve"> achievers</w:t>
      </w:r>
      <w:r>
        <w:t xml:space="preserve"> and underachievers across the sector boundary.</w:t>
      </w:r>
    </w:p>
    <w:p w:rsidR="003D37CE" w:rsidRDefault="00125653" w:rsidP="003C174B">
      <w:pPr>
        <w:pStyle w:val="BCSHeadingB"/>
      </w:pPr>
      <w:bookmarkStart w:id="39" w:name="_Toc248651142"/>
      <w:bookmarkStart w:id="40" w:name="_Toc248651409"/>
      <w:bookmarkStart w:id="41" w:name="_Toc248651452"/>
      <w:bookmarkStart w:id="42" w:name="_Toc248651601"/>
      <w:bookmarkStart w:id="43" w:name="_Toc248652458"/>
      <w:r>
        <w:t>S</w:t>
      </w:r>
      <w:r w:rsidR="003D37CE">
        <w:t>ummary of the fieldwork data collection</w:t>
      </w:r>
      <w:bookmarkEnd w:id="39"/>
      <w:bookmarkEnd w:id="40"/>
      <w:bookmarkEnd w:id="41"/>
      <w:bookmarkEnd w:id="42"/>
      <w:bookmarkEnd w:id="43"/>
    </w:p>
    <w:p w:rsidR="003D37CE" w:rsidRDefault="00385876" w:rsidP="003D37CE">
      <w:pPr>
        <w:pStyle w:val="BCSParagraph"/>
      </w:pPr>
      <w:r>
        <w:t>In p</w:t>
      </w:r>
      <w:r w:rsidR="00735358">
        <w:t>art</w:t>
      </w:r>
      <w:r w:rsidR="00125653">
        <w:t xml:space="preserve"> </w:t>
      </w:r>
      <w:r>
        <w:t>one</w:t>
      </w:r>
      <w:r w:rsidR="003D37CE">
        <w:t xml:space="preserve"> of the fieldwork we recruited </w:t>
      </w:r>
      <w:r w:rsidR="00426149">
        <w:t>our first school group, comprising eight schools. We invited each school</w:t>
      </w:r>
      <w:r w:rsidR="003D37CE">
        <w:t xml:space="preserve"> to send a teacher to act as practitio</w:t>
      </w:r>
      <w:r w:rsidR="00426149">
        <w:t>ner-consultant to the project for</w:t>
      </w:r>
      <w:r w:rsidR="003D37CE">
        <w:t xml:space="preserve"> a working day at the University. This event was used to </w:t>
      </w:r>
      <w:r w:rsidR="00426149">
        <w:t>test ideas and to refine our data-</w:t>
      </w:r>
      <w:r w:rsidR="003D37CE">
        <w:t>gathering techniques.</w:t>
      </w:r>
    </w:p>
    <w:p w:rsidR="003D37CE" w:rsidRDefault="003D37CE" w:rsidP="003C174B">
      <w:pPr>
        <w:pStyle w:val="BCSParagraph"/>
      </w:pPr>
      <w:r>
        <w:t>All eight schools were visited by fieldworkers during the following two months</w:t>
      </w:r>
      <w:r w:rsidR="00426149">
        <w:t>,</w:t>
      </w:r>
      <w:r>
        <w:t xml:space="preserve"> with some receiv</w:t>
      </w:r>
      <w:r w:rsidR="00426149">
        <w:t>ing follow-</w:t>
      </w:r>
      <w:r>
        <w:t>up visits during the autumn. In total</w:t>
      </w:r>
      <w:r w:rsidR="00426149">
        <w:t>,</w:t>
      </w:r>
      <w:r>
        <w:t xml:space="preserve"> </w:t>
      </w:r>
      <w:r w:rsidR="00426149">
        <w:t xml:space="preserve">data was collected </w:t>
      </w:r>
      <w:r>
        <w:t xml:space="preserve">during those visits </w:t>
      </w:r>
      <w:r w:rsidR="00426149">
        <w:t>from</w:t>
      </w:r>
      <w:r>
        <w:t xml:space="preserve">: </w:t>
      </w:r>
    </w:p>
    <w:p w:rsidR="003D37CE" w:rsidRDefault="003D37CE" w:rsidP="003C174B">
      <w:pPr>
        <w:pStyle w:val="BCSBulletparagraph"/>
      </w:pPr>
      <w:r>
        <w:t>10 focus groups with learners</w:t>
      </w:r>
    </w:p>
    <w:p w:rsidR="003D37CE" w:rsidRDefault="003D37CE" w:rsidP="003C174B">
      <w:pPr>
        <w:pStyle w:val="BCSBulletparagraph"/>
      </w:pPr>
      <w:r>
        <w:t>23 classroom-based lesson observations</w:t>
      </w:r>
    </w:p>
    <w:p w:rsidR="003D37CE" w:rsidRDefault="003D37CE" w:rsidP="003C174B">
      <w:pPr>
        <w:pStyle w:val="BCSBulletparagraph"/>
      </w:pPr>
      <w:r>
        <w:t>21 semi-structured interviews with teachers</w:t>
      </w:r>
    </w:p>
    <w:p w:rsidR="003D37CE" w:rsidRDefault="003D37CE" w:rsidP="003C174B">
      <w:pPr>
        <w:pStyle w:val="BCSBulletparagraph"/>
      </w:pPr>
      <w:r>
        <w:t>4 discussions with groups of teachers</w:t>
      </w:r>
    </w:p>
    <w:p w:rsidR="003D37CE" w:rsidRDefault="003D37CE" w:rsidP="003C174B">
      <w:pPr>
        <w:pStyle w:val="BCSBulletlast"/>
      </w:pPr>
      <w:r>
        <w:t xml:space="preserve">8 semi-structured interviews with members of </w:t>
      </w:r>
      <w:r w:rsidR="00F21F9E">
        <w:t>senior management teams</w:t>
      </w:r>
      <w:r w:rsidR="00190E4A">
        <w:t>.</w:t>
      </w:r>
    </w:p>
    <w:p w:rsidR="003D37CE" w:rsidRDefault="00735358" w:rsidP="003D37CE">
      <w:pPr>
        <w:pStyle w:val="BCSParagraph"/>
      </w:pPr>
      <w:r>
        <w:t>Upon completing part</w:t>
      </w:r>
      <w:r w:rsidR="00426149">
        <w:t xml:space="preserve"> one</w:t>
      </w:r>
      <w:r w:rsidR="003D37CE">
        <w:t xml:space="preserve"> of the data collection, a further research event was convened with our practitioner-consultants to review the evidence.</w:t>
      </w:r>
    </w:p>
    <w:p w:rsidR="008B7475" w:rsidRDefault="00385876" w:rsidP="003D37CE">
      <w:pPr>
        <w:pStyle w:val="BCSParagraph"/>
      </w:pPr>
      <w:r>
        <w:t>In part two</w:t>
      </w:r>
      <w:r w:rsidR="003D37CE">
        <w:t xml:space="preserve"> of the fieldwork, we recruited an additiona</w:t>
      </w:r>
      <w:r w:rsidR="00190E4A">
        <w:t>l six schools from within one local authority</w:t>
      </w:r>
      <w:r w:rsidR="003D37CE">
        <w:t xml:space="preserve"> alongside the support of the Head of Improvement from the Department for Children and Young People. All six schools were visited and data was collected from </w:t>
      </w:r>
      <w:r w:rsidR="00735358">
        <w:t xml:space="preserve">interviews and discussion with six members of </w:t>
      </w:r>
      <w:r w:rsidR="00F21F9E">
        <w:t>senior management teams</w:t>
      </w:r>
      <w:r w:rsidR="00735358">
        <w:t xml:space="preserve"> and four</w:t>
      </w:r>
      <w:r w:rsidR="003D37CE">
        <w:t xml:space="preserve"> teachers.</w:t>
      </w:r>
    </w:p>
    <w:p w:rsidR="003C174B" w:rsidRDefault="003C174B" w:rsidP="003C174B">
      <w:pPr>
        <w:pStyle w:val="BCSHeadingB"/>
      </w:pPr>
      <w:bookmarkStart w:id="44" w:name="_Toc248651143"/>
      <w:bookmarkStart w:id="45" w:name="_Toc248651410"/>
      <w:bookmarkStart w:id="46" w:name="_Toc248651453"/>
      <w:bookmarkStart w:id="47" w:name="_Toc248651602"/>
      <w:bookmarkStart w:id="48" w:name="_Toc248652459"/>
      <w:r>
        <w:t>Definin</w:t>
      </w:r>
      <w:r w:rsidR="00735358">
        <w:t>g l</w:t>
      </w:r>
      <w:r>
        <w:t>ow</w:t>
      </w:r>
      <w:r w:rsidR="00735358">
        <w:t xml:space="preserve"> achievement and u</w:t>
      </w:r>
      <w:r>
        <w:t>nderachievement</w:t>
      </w:r>
      <w:bookmarkEnd w:id="44"/>
      <w:bookmarkEnd w:id="45"/>
      <w:bookmarkEnd w:id="46"/>
      <w:bookmarkEnd w:id="47"/>
      <w:bookmarkEnd w:id="48"/>
    </w:p>
    <w:p w:rsidR="003C174B" w:rsidRDefault="00735358" w:rsidP="003C174B">
      <w:pPr>
        <w:pStyle w:val="BCSParagraph"/>
      </w:pPr>
      <w:r>
        <w:t>The</w:t>
      </w:r>
      <w:r w:rsidR="003C174B">
        <w:t xml:space="preserve"> concepts of </w:t>
      </w:r>
      <w:r>
        <w:t xml:space="preserve">both </w:t>
      </w:r>
      <w:r w:rsidR="003C174B">
        <w:t>low</w:t>
      </w:r>
      <w:r>
        <w:t xml:space="preserve"> achievement and under</w:t>
      </w:r>
      <w:r w:rsidR="003C174B">
        <w:t>achievement have a breadth of meaning, ranging from achieving no qualifications to failing to keep up with the grades of peers. In terms of academic performan</w:t>
      </w:r>
      <w:r>
        <w:t>ce, working definitions are</w:t>
      </w:r>
      <w:r w:rsidR="003C174B">
        <w:t xml:space="preserve"> as follows:</w:t>
      </w:r>
    </w:p>
    <w:p w:rsidR="003C174B" w:rsidRDefault="003C174B" w:rsidP="003C174B">
      <w:pPr>
        <w:pStyle w:val="BCSBulletparagraph"/>
      </w:pPr>
      <w:r>
        <w:t>Low achievement is referenced to the group norm</w:t>
      </w:r>
      <w:r w:rsidR="00735358">
        <w:t>.</w:t>
      </w:r>
    </w:p>
    <w:p w:rsidR="003C174B" w:rsidRDefault="003C174B" w:rsidP="003C174B">
      <w:pPr>
        <w:pStyle w:val="BCSBulletparagraph"/>
      </w:pPr>
      <w:r>
        <w:t xml:space="preserve">Underachievers are not confined to children who perform badly – some of the brightest are underachievers. </w:t>
      </w:r>
    </w:p>
    <w:p w:rsidR="003C174B" w:rsidRDefault="003C174B" w:rsidP="00357BE6">
      <w:pPr>
        <w:pStyle w:val="BCSBulletlast"/>
      </w:pPr>
      <w:r>
        <w:t>Underachievers are those who are not reaching their full potential.</w:t>
      </w:r>
    </w:p>
    <w:p w:rsidR="003C174B" w:rsidRDefault="003C174B" w:rsidP="003C174B">
      <w:pPr>
        <w:pStyle w:val="BCSParagraph"/>
      </w:pPr>
      <w:r>
        <w:t>Key goals 2 and 3 required us to establish the perceptions of low</w:t>
      </w:r>
      <w:r w:rsidR="0051530B">
        <w:t>-achieving</w:t>
      </w:r>
      <w:r>
        <w:t xml:space="preserve"> and underachieving</w:t>
      </w:r>
      <w:r w:rsidR="0051530B">
        <w:t xml:space="preserve"> learners within the first group of eight</w:t>
      </w:r>
      <w:r>
        <w:t xml:space="preserve"> schools, and to assess the extent of agreement both across the schools and with previous research findings.</w:t>
      </w:r>
    </w:p>
    <w:p w:rsidR="003C174B" w:rsidRDefault="003C174B" w:rsidP="003C174B">
      <w:pPr>
        <w:pStyle w:val="BCSParagraph"/>
      </w:pPr>
      <w:r>
        <w:t xml:space="preserve">Drawing on the </w:t>
      </w:r>
      <w:hyperlink r:id="rId10" w:history="1">
        <w:r w:rsidRPr="000C26D9">
          <w:rPr>
            <w:rStyle w:val="Hyperlink"/>
          </w:rPr>
          <w:t>literature review</w:t>
        </w:r>
      </w:hyperlink>
      <w:r>
        <w:t xml:space="preserve"> 45 potential characteristics of low</w:t>
      </w:r>
      <w:r w:rsidR="0051530B">
        <w:t>-achieving and underachieving students</w:t>
      </w:r>
      <w:r>
        <w:t xml:space="preserve"> were identified. Both positive and negative descriptive labels we</w:t>
      </w:r>
      <w:r w:rsidR="0051530B">
        <w:t>re created: for example, a student</w:t>
      </w:r>
      <w:r>
        <w:t xml:space="preserve"> might be described as ‘easily distracted’ or as one who ‘tries hard’. These 45 descriptors were presented to 21 practitioners, including senior managers and classroom t</w:t>
      </w:r>
      <w:r w:rsidR="0051530B">
        <w:t xml:space="preserve">eachers, from the first group of eight </w:t>
      </w:r>
      <w:r>
        <w:t xml:space="preserve">secondary </w:t>
      </w:r>
      <w:r w:rsidR="0051530B">
        <w:t xml:space="preserve">schools. The teachers taught a variety of </w:t>
      </w:r>
      <w:r>
        <w:t>subject areas</w:t>
      </w:r>
      <w:r w:rsidR="0051530B">
        <w:t>, including business studies, English, French, information technology, Spanish, d</w:t>
      </w:r>
      <w:r>
        <w:t>esi</w:t>
      </w:r>
      <w:r w:rsidR="0051530B">
        <w:t>gn and t</w:t>
      </w:r>
      <w:r>
        <w:t>echnology</w:t>
      </w:r>
      <w:r w:rsidR="0051530B">
        <w:t>, and m</w:t>
      </w:r>
      <w:r>
        <w:t>athematics. The teachers were asked to specify whether each of the given characteristics described their personal concepts of low</w:t>
      </w:r>
      <w:r w:rsidR="0051530B">
        <w:t>-achieving</w:t>
      </w:r>
      <w:r>
        <w:t xml:space="preserve"> or underachieving students. </w:t>
      </w:r>
    </w:p>
    <w:p w:rsidR="003C174B" w:rsidRDefault="003C174B" w:rsidP="0020635C">
      <w:pPr>
        <w:pStyle w:val="BCSParagraph"/>
      </w:pPr>
      <w:r>
        <w:t>Teachers could elect to ascribe a characteristic to either low</w:t>
      </w:r>
      <w:r w:rsidR="0051530B">
        <w:t xml:space="preserve"> achievers</w:t>
      </w:r>
      <w:r>
        <w:t xml:space="preserve"> or underachievers, or they could ascribe the label to both groups. They could also decide the descriptor fitted </w:t>
      </w:r>
      <w:r w:rsidR="000B210F">
        <w:t>neither group;</w:t>
      </w:r>
      <w:r>
        <w:t xml:space="preserve"> in addition, they could create a new descriptor if necessary. Figure 1 </w:t>
      </w:r>
      <w:r w:rsidR="000B210F">
        <w:t xml:space="preserve">(next page) </w:t>
      </w:r>
      <w:r>
        <w:t>presents a n</w:t>
      </w:r>
      <w:r w:rsidR="000B210F">
        <w:t>etwork analysis of how teachers</w:t>
      </w:r>
      <w:r>
        <w:t xml:space="preserve"> attribute</w:t>
      </w:r>
      <w:r w:rsidR="000B210F">
        <w:t>d</w:t>
      </w:r>
      <w:r w:rsidR="0020635C">
        <w:t xml:space="preserve"> a particular characteristic either exclusively to one group or to both groups’</w:t>
      </w:r>
      <w:r w:rsidR="000256E7">
        <w:t>.</w:t>
      </w:r>
      <w:r w:rsidR="00357BE6">
        <w:rPr>
          <w:rStyle w:val="FootnoteReference"/>
        </w:rPr>
        <w:footnoteReference w:id="5"/>
      </w:r>
      <w:r>
        <w:t xml:space="preserve">  It should be noted that </w:t>
      </w:r>
      <w:r w:rsidR="000B210F">
        <w:t xml:space="preserve">the </w:t>
      </w:r>
      <w:r>
        <w:t>size of the descriptor label relates to the number of times a characteristic is attributed to either</w:t>
      </w:r>
      <w:r w:rsidR="00385876">
        <w:t xml:space="preserve"> or both target groups</w:t>
      </w:r>
      <w:r>
        <w:t xml:space="preserve">.  </w:t>
      </w:r>
    </w:p>
    <w:p w:rsidR="003C174B" w:rsidRDefault="003C174B" w:rsidP="003C174B">
      <w:pPr>
        <w:pStyle w:val="BCSParagraph"/>
      </w:pPr>
      <w:r>
        <w:t xml:space="preserve">Figure 1 clearly demonstrates </w:t>
      </w:r>
      <w:r w:rsidR="000B210F">
        <w:t xml:space="preserve">that </w:t>
      </w:r>
      <w:r>
        <w:t>there is overlap between the perceived characteristics of a low</w:t>
      </w:r>
      <w:r w:rsidR="000B210F">
        <w:t xml:space="preserve"> achiever and an underachiever. </w:t>
      </w:r>
      <w:r>
        <w:t>For example</w:t>
      </w:r>
      <w:r w:rsidR="000B210F">
        <w:t>,</w:t>
      </w:r>
      <w:r>
        <w:t xml:space="preserve"> both groups are characterised as easily influenced but more significantly as being bored and having a poor work ethic. However, there are also key characteris</w:t>
      </w:r>
      <w:r w:rsidR="000B210F">
        <w:t xml:space="preserve">tics ascribed to only one of the two target groups: </w:t>
      </w:r>
      <w:r>
        <w:t>low achievers have characteristics which present challenges to effective learning. Often identified as having spec</w:t>
      </w:r>
      <w:r w:rsidR="000B210F">
        <w:t xml:space="preserve">ific learning difficulties, poor reading skills and </w:t>
      </w:r>
      <w:r>
        <w:t xml:space="preserve">problems of </w:t>
      </w:r>
      <w:r w:rsidR="000B210F">
        <w:t>social integration, these students</w:t>
      </w:r>
      <w:r>
        <w:t xml:space="preserve"> are perceived as having some measure</w:t>
      </w:r>
      <w:r w:rsidR="000B210F">
        <w:t xml:space="preserve"> of special educational needs. </w:t>
      </w:r>
      <w:r>
        <w:t>Of the two groups of learners, low achievers alone have positive characteristics such as ‘tries hard’ ascribed to them.</w:t>
      </w:r>
    </w:p>
    <w:p w:rsidR="008B7475" w:rsidRDefault="003C174B" w:rsidP="003C174B">
      <w:pPr>
        <w:pStyle w:val="BCSParagraph"/>
      </w:pPr>
      <w:r>
        <w:t xml:space="preserve">While low </w:t>
      </w:r>
      <w:r w:rsidR="000B210F">
        <w:t xml:space="preserve">achievers </w:t>
      </w:r>
      <w:r>
        <w:t>and underachievers are perceived as sharing many characteristics, those assigned to underachievers only are largely behavioural and negative. These learners are distinguished by their below par performance and their disengagement from the learning process</w:t>
      </w:r>
      <w:r w:rsidR="000B210F">
        <w:t>,</w:t>
      </w:r>
      <w:r>
        <w:t xml:space="preserve"> at times manifested through poor attendance at school. Negative social characteristics such as disrega</w:t>
      </w:r>
      <w:r w:rsidR="000B210F">
        <w:t xml:space="preserve">rd for others are also noted. </w:t>
      </w:r>
      <w:r>
        <w:t>However</w:t>
      </w:r>
      <w:r w:rsidR="000B210F">
        <w:t>,</w:t>
      </w:r>
      <w:r>
        <w:t xml:space="preserve"> it is equally important that some teachers recorded that </w:t>
      </w:r>
      <w:r w:rsidR="000B210F">
        <w:t>these students are</w:t>
      </w:r>
      <w:r>
        <w:t xml:space="preserve"> unchallenged by the educational process, suggesting that there is a need t</w:t>
      </w:r>
      <w:r w:rsidR="00E77AC6">
        <w:t>o do more to engage them</w:t>
      </w:r>
      <w:r>
        <w:t>.</w:t>
      </w:r>
    </w:p>
    <w:p w:rsidR="008B7475" w:rsidRDefault="006D47AD" w:rsidP="00E77AC6">
      <w:pPr>
        <w:pStyle w:val="BCSTableheading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margin-left:-25.2pt;margin-top:47.85pt;width:495pt;height:6in;z-index:251655680;visibility:visible">
            <v:imagedata r:id="rId11" o:title=""/>
            <w10:wrap type="topAndBottom"/>
          </v:shape>
        </w:pict>
      </w:r>
      <w:r w:rsidR="00E77AC6">
        <w:t>Figure 1: Teacher perceptions of l</w:t>
      </w:r>
      <w:r w:rsidR="00A778FE" w:rsidRPr="00A778FE">
        <w:t>ow</w:t>
      </w:r>
      <w:r w:rsidR="00E77AC6">
        <w:t>-achieving and underachieving s</w:t>
      </w:r>
      <w:r w:rsidR="00A778FE" w:rsidRPr="00A778FE">
        <w:t>tudents.</w:t>
      </w:r>
      <w:r>
        <w:rPr>
          <w:noProof/>
        </w:rPr>
        <w:pict>
          <v:shape id="Picture 4" o:spid="_x0000_s1027" type="#_x0000_t75" style="position:absolute;margin-left:7.05pt;margin-top:474.3pt;width:135pt;height:98.4pt;z-index:251656704;visibility:visible;mso-position-horizontal-relative:text;mso-position-vertical-relative:text">
            <v:imagedata r:id="rId12" o:title=""/>
            <w10:wrap type="topAndBottom"/>
          </v:shape>
        </w:pict>
      </w:r>
    </w:p>
    <w:bookmarkEnd w:id="0"/>
    <w:p w:rsidR="00E77AC6" w:rsidRDefault="00E77AC6" w:rsidP="00477373">
      <w:pPr>
        <w:pStyle w:val="BCSParagraph"/>
      </w:pPr>
    </w:p>
    <w:p w:rsidR="00477373" w:rsidRPr="00BE7952" w:rsidRDefault="00477373" w:rsidP="00477373">
      <w:pPr>
        <w:pStyle w:val="BCSParagraph"/>
        <w:rPr>
          <w:b/>
        </w:rPr>
      </w:pPr>
      <w:r w:rsidRPr="00355EE4">
        <w:t>It is apparent from this analysis that the teachers in this sample at some level do</w:t>
      </w:r>
      <w:r w:rsidR="00E77AC6">
        <w:t xml:space="preserve"> share a collective view of low achievers </w:t>
      </w:r>
      <w:r w:rsidRPr="00355EE4">
        <w:t>and underachievers. While outward behaviours may be shared a</w:t>
      </w:r>
      <w:r w:rsidR="00C046C6">
        <w:t>cross these two groups of students</w:t>
      </w:r>
      <w:r w:rsidRPr="00355EE4">
        <w:t xml:space="preserve">, there are underlying and noteworthy differences between teachers’ perceptions of these learners. We anticipated that these differences would require </w:t>
      </w:r>
      <w:r w:rsidRPr="00BE7952">
        <w:t>some level of divergence in the strategies used to effectively work with and support each</w:t>
      </w:r>
      <w:r w:rsidR="00C046C6">
        <w:t xml:space="preserve"> of these two learner groups</w:t>
      </w:r>
      <w:r w:rsidRPr="00BE7952">
        <w:t>.</w:t>
      </w:r>
    </w:p>
    <w:p w:rsidR="00477373" w:rsidRPr="00BE7952" w:rsidRDefault="00477373" w:rsidP="00477373">
      <w:pPr>
        <w:pStyle w:val="BCSParagraph"/>
      </w:pPr>
      <w:r w:rsidRPr="00BE7952">
        <w:t>To va</w:t>
      </w:r>
      <w:r w:rsidR="00C046C6">
        <w:t>lidate</w:t>
      </w:r>
      <w:r w:rsidR="00B54344">
        <w:t xml:space="preserve"> the findings from part one</w:t>
      </w:r>
      <w:r w:rsidR="00C046C6">
        <w:t xml:space="preserve"> of our fieldwork, we asked staff in the second group of</w:t>
      </w:r>
      <w:r w:rsidR="00B54344">
        <w:t xml:space="preserve"> schools simply to </w:t>
      </w:r>
      <w:r w:rsidRPr="00BE7952">
        <w:t xml:space="preserve">define low </w:t>
      </w:r>
      <w:r w:rsidR="00C046C6">
        <w:t xml:space="preserve">achievement </w:t>
      </w:r>
      <w:r w:rsidRPr="00BE7952">
        <w:t>and undera</w:t>
      </w:r>
      <w:r w:rsidR="00C046C6">
        <w:t xml:space="preserve">chievement in their own terms. </w:t>
      </w:r>
      <w:r>
        <w:t>Three</w:t>
      </w:r>
      <w:r w:rsidRPr="00BE7952">
        <w:t xml:space="preserve"> related structured interview schedules for seconda</w:t>
      </w:r>
      <w:r w:rsidR="00C046C6">
        <w:t xml:space="preserve">ry heads, primary heads and </w:t>
      </w:r>
      <w:r w:rsidRPr="00BE7952">
        <w:t>teachers were used to establish the practitioners’ conceptualisation</w:t>
      </w:r>
      <w:r w:rsidR="00C046C6">
        <w:t>s</w:t>
      </w:r>
      <w:r w:rsidRPr="00BE7952">
        <w:t xml:space="preserve"> of low </w:t>
      </w:r>
      <w:r w:rsidR="00C046C6">
        <w:t xml:space="preserve">achievers </w:t>
      </w:r>
      <w:r w:rsidRPr="00BE7952">
        <w:t xml:space="preserve">and underachievers. </w:t>
      </w:r>
    </w:p>
    <w:p w:rsidR="00840F7C" w:rsidRPr="00934E48" w:rsidRDefault="00477373" w:rsidP="00934E48">
      <w:pPr>
        <w:pStyle w:val="BCSParagraph"/>
        <w:rPr>
          <w:rStyle w:val="CommentReference"/>
          <w:sz w:val="24"/>
          <w:szCs w:val="20"/>
        </w:rPr>
      </w:pPr>
      <w:r w:rsidRPr="00BE7952">
        <w:t xml:space="preserve">The </w:t>
      </w:r>
      <w:r>
        <w:t>three</w:t>
      </w:r>
      <w:r w:rsidRPr="00BE7952">
        <w:t xml:space="preserve"> </w:t>
      </w:r>
      <w:r w:rsidR="00C046C6">
        <w:t xml:space="preserve">following </w:t>
      </w:r>
      <w:r w:rsidRPr="00BE7952">
        <w:t xml:space="preserve">examples from </w:t>
      </w:r>
      <w:r>
        <w:t xml:space="preserve">one secondary head and two </w:t>
      </w:r>
      <w:r w:rsidRPr="00BE7952">
        <w:t>primary</w:t>
      </w:r>
      <w:r w:rsidRPr="00434A05">
        <w:t xml:space="preserve"> heads plain</w:t>
      </w:r>
      <w:r w:rsidR="00C046C6">
        <w:t xml:space="preserve">ly resonate with the </w:t>
      </w:r>
      <w:r w:rsidRPr="00434A05">
        <w:t>understanding of t</w:t>
      </w:r>
      <w:r w:rsidR="00C046C6">
        <w:t xml:space="preserve">hese two concepts from the first </w:t>
      </w:r>
      <w:r w:rsidRPr="00434A05">
        <w:t>sample</w:t>
      </w:r>
      <w:r w:rsidR="00C046C6">
        <w:t xml:space="preserve"> group</w:t>
      </w:r>
      <w:r w:rsidRPr="00434A05">
        <w:t>.</w:t>
      </w:r>
    </w:p>
    <w:p w:rsidR="00840F7C" w:rsidRDefault="00840F7C" w:rsidP="00840F7C">
      <w:pPr>
        <w:pStyle w:val="BCSParagraph"/>
        <w:ind w:left="567"/>
      </w:pPr>
      <w:r w:rsidRPr="00F21F9E">
        <w:rPr>
          <w:b/>
        </w:rPr>
        <w:t>A l</w:t>
      </w:r>
      <w:r w:rsidR="00477373" w:rsidRPr="00F21F9E">
        <w:rPr>
          <w:b/>
        </w:rPr>
        <w:t>ow achiever</w:t>
      </w:r>
      <w:r w:rsidR="00B54344">
        <w:rPr>
          <w:b/>
        </w:rPr>
        <w:t>:</w:t>
      </w:r>
      <w:r w:rsidR="00477373" w:rsidRPr="00B54344">
        <w:rPr>
          <w:b/>
        </w:rPr>
        <w:t xml:space="preserve"> </w:t>
      </w:r>
      <w:r w:rsidR="00477373">
        <w:t xml:space="preserve">A learner </w:t>
      </w:r>
      <w:r w:rsidR="00477373" w:rsidRPr="00BC282E">
        <w:t>who tries</w:t>
      </w:r>
      <w:r>
        <w:t xml:space="preserve"> hard but does not meet the age-</w:t>
      </w:r>
      <w:r w:rsidR="00477373" w:rsidRPr="00BC282E">
        <w:t>related targets.</w:t>
      </w:r>
      <w:r w:rsidR="00477373">
        <w:t xml:space="preserve"> It is highlighted that in any group of pupils, there will always be lower achievers as not everybody will meet the norms.</w:t>
      </w:r>
    </w:p>
    <w:p w:rsidR="00840F7C" w:rsidRDefault="00477373" w:rsidP="00840F7C">
      <w:pPr>
        <w:pStyle w:val="BCSParagraph"/>
        <w:ind w:left="567"/>
      </w:pPr>
      <w:r w:rsidRPr="00F21F9E">
        <w:rPr>
          <w:b/>
        </w:rPr>
        <w:t>An underachiever</w:t>
      </w:r>
      <w:r w:rsidR="00B54344">
        <w:rPr>
          <w:b/>
        </w:rPr>
        <w:t xml:space="preserve">: </w:t>
      </w:r>
      <w:r w:rsidRPr="00BC282E">
        <w:t>Somebody who may be bored and distractible.</w:t>
      </w:r>
    </w:p>
    <w:p w:rsidR="00833AD0" w:rsidRPr="00833AD0" w:rsidRDefault="00840F7C" w:rsidP="00833AD0">
      <w:pPr>
        <w:pStyle w:val="BCSParagraph"/>
        <w:ind w:left="4536"/>
      </w:pPr>
      <w:r>
        <w:t>Primary 1, H</w:t>
      </w:r>
      <w:r w:rsidR="0006048F">
        <w:t>ead</w:t>
      </w:r>
      <w:r w:rsidR="00477373">
        <w:t>teacher</w:t>
      </w:r>
    </w:p>
    <w:p w:rsidR="00477373" w:rsidRDefault="00477373" w:rsidP="00EF771B">
      <w:pPr>
        <w:pStyle w:val="BCSParagraph"/>
        <w:ind w:left="567"/>
      </w:pPr>
      <w:r w:rsidRPr="00F21F9E">
        <w:rPr>
          <w:b/>
        </w:rPr>
        <w:t>A low achiever</w:t>
      </w:r>
      <w:r w:rsidR="00B54344" w:rsidRPr="00B54344">
        <w:rPr>
          <w:b/>
        </w:rPr>
        <w:t>:</w:t>
      </w:r>
      <w:r w:rsidRPr="00B54344">
        <w:t xml:space="preserve"> </w:t>
      </w:r>
      <w:r>
        <w:t>Seen as learners who are not reaching the national standard level. It is highlighted that it is necessary to look at a learner</w:t>
      </w:r>
      <w:r w:rsidR="00840F7C">
        <w:t>’s</w:t>
      </w:r>
      <w:r>
        <w:t xml:space="preserve"> background. For instance, a learner may h</w:t>
      </w:r>
      <w:r w:rsidR="00F21F9E">
        <w:t>ave a chaotic lifestyle or a special educational need</w:t>
      </w:r>
      <w:r>
        <w:t xml:space="preserve"> where they are achieving the best they can in their individual circumstances. </w:t>
      </w:r>
    </w:p>
    <w:p w:rsidR="00477373" w:rsidRPr="00BC282E" w:rsidRDefault="00477373" w:rsidP="00EF771B">
      <w:pPr>
        <w:pStyle w:val="BCSParagraph"/>
        <w:ind w:left="567"/>
      </w:pPr>
      <w:r w:rsidRPr="00F21F9E">
        <w:rPr>
          <w:b/>
        </w:rPr>
        <w:t>An underachiever</w:t>
      </w:r>
      <w:r w:rsidR="00B54344">
        <w:rPr>
          <w:b/>
        </w:rPr>
        <w:t>:</w:t>
      </w:r>
      <w:r w:rsidR="00B54344">
        <w:rPr>
          <w:b/>
          <w:i/>
        </w:rPr>
        <w:t xml:space="preserve"> </w:t>
      </w:r>
      <w:r>
        <w:t xml:space="preserve">A learner who is not reaching their potential. </w:t>
      </w:r>
    </w:p>
    <w:p w:rsidR="00833AD0" w:rsidRPr="00833AD0" w:rsidRDefault="00840F7C" w:rsidP="00833AD0">
      <w:pPr>
        <w:pStyle w:val="BCSParagraph"/>
        <w:ind w:left="4536"/>
      </w:pPr>
      <w:r>
        <w:t>Primary 2, H</w:t>
      </w:r>
      <w:r w:rsidR="0006048F">
        <w:t>ead</w:t>
      </w:r>
      <w:r w:rsidR="00477373">
        <w:t>teacher</w:t>
      </w:r>
    </w:p>
    <w:p w:rsidR="00477373" w:rsidRDefault="00477373" w:rsidP="00EF771B">
      <w:pPr>
        <w:pStyle w:val="BCSParagraph"/>
        <w:tabs>
          <w:tab w:val="left" w:pos="567"/>
        </w:tabs>
        <w:ind w:left="567"/>
      </w:pPr>
      <w:r w:rsidRPr="00F21F9E">
        <w:rPr>
          <w:b/>
        </w:rPr>
        <w:t>A low achiever</w:t>
      </w:r>
      <w:r w:rsidR="00B54344" w:rsidRPr="00B54344">
        <w:rPr>
          <w:b/>
        </w:rPr>
        <w:t xml:space="preserve">: </w:t>
      </w:r>
      <w:r w:rsidR="00F21F9E">
        <w:t>O</w:t>
      </w:r>
      <w:r w:rsidRPr="00F5074D">
        <w:t>ne</w:t>
      </w:r>
      <w:r w:rsidRPr="00BC282E">
        <w:rPr>
          <w:b/>
          <w:i/>
        </w:rPr>
        <w:t xml:space="preserve"> </w:t>
      </w:r>
      <w:r>
        <w:t>who may be achieving their targets, but these targets will be low. May have a statement of special educational need and therefore may be achieving at a good level within their ability range.</w:t>
      </w:r>
    </w:p>
    <w:p w:rsidR="00477373" w:rsidRDefault="00477373" w:rsidP="00EF771B">
      <w:pPr>
        <w:pStyle w:val="BCSParagraph"/>
        <w:tabs>
          <w:tab w:val="left" w:pos="567"/>
        </w:tabs>
        <w:ind w:left="567"/>
      </w:pPr>
      <w:r w:rsidRPr="00F21F9E">
        <w:rPr>
          <w:b/>
        </w:rPr>
        <w:t>An underachiever</w:t>
      </w:r>
      <w:r w:rsidR="00B54344">
        <w:rPr>
          <w:b/>
        </w:rPr>
        <w:t>:</w:t>
      </w:r>
      <w:r w:rsidR="00F21F9E">
        <w:t xml:space="preserve"> A</w:t>
      </w:r>
      <w:r>
        <w:t xml:space="preserve"> learner who is not achieving their target grades (within good reason, as there may be other factors involved). They are seen as being lazy. </w:t>
      </w:r>
    </w:p>
    <w:p w:rsidR="00477373" w:rsidRPr="005070C6" w:rsidRDefault="00477373" w:rsidP="00693756">
      <w:pPr>
        <w:pStyle w:val="BCSParagraph"/>
        <w:ind w:left="4536"/>
      </w:pPr>
      <w:r w:rsidRPr="005070C6">
        <w:t xml:space="preserve">Secondary </w:t>
      </w:r>
      <w:r w:rsidR="00BF4CAF">
        <w:t>11, Senior management team</w:t>
      </w:r>
    </w:p>
    <w:p w:rsidR="00477373" w:rsidRPr="00434A05" w:rsidRDefault="00477373" w:rsidP="000256E7">
      <w:pPr>
        <w:pStyle w:val="BCSParagraph"/>
      </w:pPr>
      <w:r>
        <w:rPr>
          <w:bCs/>
        </w:rPr>
        <w:t xml:space="preserve">Here and elsewhere, a positive sympathy for low achievers was noted. </w:t>
      </w:r>
      <w:r w:rsidR="00F21F9E">
        <w:rPr>
          <w:bCs/>
        </w:rPr>
        <w:t>The schools realised that while</w:t>
      </w:r>
      <w:r>
        <w:rPr>
          <w:bCs/>
        </w:rPr>
        <w:t xml:space="preserve"> these learners may not be achieving the national target grades, they often try their best and are praised for this. There was an implied lack of sympat</w:t>
      </w:r>
      <w:r w:rsidR="00F21F9E">
        <w:rPr>
          <w:bCs/>
        </w:rPr>
        <w:t xml:space="preserve">hy for underachievers that </w:t>
      </w:r>
      <w:r>
        <w:rPr>
          <w:bCs/>
        </w:rPr>
        <w:t>came through in the ear</w:t>
      </w:r>
      <w:r w:rsidR="00F21F9E">
        <w:rPr>
          <w:bCs/>
        </w:rPr>
        <w:t xml:space="preserve">lier analysis, </w:t>
      </w:r>
      <w:r>
        <w:rPr>
          <w:bCs/>
        </w:rPr>
        <w:t>although schools still recognised the need t</w:t>
      </w:r>
      <w:r w:rsidR="00F21F9E">
        <w:rPr>
          <w:bCs/>
        </w:rPr>
        <w:t>o work to re-engage these students</w:t>
      </w:r>
      <w:r>
        <w:rPr>
          <w:bCs/>
        </w:rPr>
        <w:t xml:space="preserve"> with the learning process. Perhaps what is emergin</w:t>
      </w:r>
      <w:r w:rsidR="00F21F9E">
        <w:rPr>
          <w:bCs/>
        </w:rPr>
        <w:t xml:space="preserve">g here is a judgement about deserving versus </w:t>
      </w:r>
      <w:r>
        <w:rPr>
          <w:bCs/>
        </w:rPr>
        <w:t>undeserving poor learners. This echoes the literature on the culture of poverty</w:t>
      </w:r>
      <w:r w:rsidR="00F21F9E">
        <w:rPr>
          <w:bCs/>
        </w:rPr>
        <w:t xml:space="preserve"> that</w:t>
      </w:r>
      <w:r>
        <w:rPr>
          <w:bCs/>
        </w:rPr>
        <w:t xml:space="preserve"> describes a class of people who</w:t>
      </w:r>
      <w:r w:rsidR="00F21F9E">
        <w:rPr>
          <w:bCs/>
        </w:rPr>
        <w:t>se behaviour and attitudes turn</w:t>
      </w:r>
      <w:r>
        <w:rPr>
          <w:bCs/>
        </w:rPr>
        <w:t xml:space="preserve"> their poverty int</w:t>
      </w:r>
      <w:r w:rsidR="000256E7">
        <w:rPr>
          <w:bCs/>
        </w:rPr>
        <w:t>o a closed world of dependence.</w:t>
      </w:r>
      <w:r>
        <w:rPr>
          <w:rStyle w:val="FootnoteReference"/>
          <w:rFonts w:eastAsia="Calibri"/>
          <w:bCs/>
        </w:rPr>
        <w:footnoteReference w:id="6"/>
      </w:r>
      <w:r>
        <w:rPr>
          <w:bCs/>
        </w:rPr>
        <w:t xml:space="preserve"> This negative attitude to the poor</w:t>
      </w:r>
      <w:r w:rsidR="00F21F9E">
        <w:rPr>
          <w:bCs/>
        </w:rPr>
        <w:t>,</w:t>
      </w:r>
      <w:r>
        <w:rPr>
          <w:bCs/>
        </w:rPr>
        <w:t xml:space="preserve"> and in this case poor learners</w:t>
      </w:r>
      <w:r w:rsidR="00F21F9E">
        <w:rPr>
          <w:bCs/>
        </w:rPr>
        <w:t>,</w:t>
      </w:r>
      <w:r>
        <w:rPr>
          <w:bCs/>
        </w:rPr>
        <w:t xml:space="preserve"> is still a feature of social policy in the UK.</w:t>
      </w:r>
    </w:p>
    <w:p w:rsidR="00477373" w:rsidRPr="00F14F76" w:rsidRDefault="00477373" w:rsidP="00477373">
      <w:pPr>
        <w:pStyle w:val="BCSParagraph"/>
      </w:pPr>
      <w:r w:rsidRPr="00434A05">
        <w:t>In contrast to the lack of clarity over the key conc</w:t>
      </w:r>
      <w:r w:rsidR="00F21F9E">
        <w:t>ept of personalisation, as</w:t>
      </w:r>
      <w:r w:rsidR="003242B1">
        <w:t xml:space="preserve"> evidenced in </w:t>
      </w:r>
      <w:r w:rsidRPr="00434A05">
        <w:t>Impact 07</w:t>
      </w:r>
      <w:r w:rsidR="000256E7">
        <w:t>,</w:t>
      </w:r>
      <w:r w:rsidRPr="00434A05">
        <w:rPr>
          <w:rStyle w:val="FootnoteReference"/>
          <w:rFonts w:eastAsia="Calibri"/>
        </w:rPr>
        <w:footnoteReference w:id="7"/>
      </w:r>
      <w:r w:rsidR="000256E7">
        <w:t xml:space="preserve"> </w:t>
      </w:r>
      <w:r w:rsidRPr="00434A05">
        <w:rPr>
          <w:rStyle w:val="FootnoteReference"/>
          <w:rFonts w:eastAsia="Calibri"/>
        </w:rPr>
        <w:footnoteReference w:id="8"/>
      </w:r>
      <w:r w:rsidRPr="00434A05">
        <w:t xml:space="preserve"> there is a greater consensus both across schools with a</w:t>
      </w:r>
      <w:r w:rsidR="00F21F9E">
        <w:t xml:space="preserve"> very disparate intake of learners and across</w:t>
      </w:r>
      <w:r w:rsidRPr="00434A05">
        <w:t xml:space="preserve"> all levels within schools as to what it means to be </w:t>
      </w:r>
      <w:r>
        <w:t xml:space="preserve">a </w:t>
      </w:r>
      <w:r w:rsidRPr="00434A05">
        <w:t xml:space="preserve">low </w:t>
      </w:r>
      <w:r w:rsidR="00F21F9E">
        <w:t xml:space="preserve">achiever or underachiever. </w:t>
      </w:r>
      <w:r w:rsidRPr="00434A05">
        <w:t>The former are lar</w:t>
      </w:r>
      <w:r w:rsidR="00383B98">
        <w:t>gely defined on individual learner</w:t>
      </w:r>
      <w:r w:rsidRPr="00434A05">
        <w:t xml:space="preserve"> characteristics while the latter</w:t>
      </w:r>
      <w:r w:rsidR="00383B98">
        <w:t xml:space="preserve"> are defined by individual</w:t>
      </w:r>
      <w:r w:rsidRPr="00434A05">
        <w:t xml:space="preserve"> performance. Practitioners’ views of low </w:t>
      </w:r>
      <w:r w:rsidR="00383B98">
        <w:t xml:space="preserve">achievers </w:t>
      </w:r>
      <w:r w:rsidRPr="00434A05">
        <w:t>and un</w:t>
      </w:r>
      <w:r w:rsidR="00383B98">
        <w:t>derachievers are also aligned with</w:t>
      </w:r>
      <w:r w:rsidRPr="00434A05">
        <w:t xml:space="preserve"> the findings from the </w:t>
      </w:r>
      <w:r w:rsidRPr="00F14F76">
        <w:t xml:space="preserve">extensive </w:t>
      </w:r>
      <w:hyperlink r:id="rId13" w:history="1">
        <w:r w:rsidRPr="000C26D9">
          <w:rPr>
            <w:rStyle w:val="Hyperlink"/>
          </w:rPr>
          <w:t>research literature</w:t>
        </w:r>
      </w:hyperlink>
      <w:r w:rsidR="00CC2E69">
        <w:t xml:space="preserve"> on this topic.</w:t>
      </w:r>
    </w:p>
    <w:p w:rsidR="00477373" w:rsidRPr="00F14F76" w:rsidRDefault="00383B98" w:rsidP="00477373">
      <w:pPr>
        <w:pStyle w:val="BCSParagraph"/>
      </w:pPr>
      <w:r>
        <w:t>However,</w:t>
      </w:r>
      <w:r w:rsidR="00477373" w:rsidRPr="00F14F76">
        <w:t xml:space="preserve"> delving deeper into </w:t>
      </w:r>
      <w:r w:rsidR="00477373">
        <w:t xml:space="preserve">the </w:t>
      </w:r>
      <w:r w:rsidR="00477373" w:rsidRPr="00F14F76">
        <w:t xml:space="preserve">actual cognitive and behavioural characteristics that represent both groups, the picture becomes less clear. As </w:t>
      </w:r>
      <w:r w:rsidR="00477373">
        <w:t>F</w:t>
      </w:r>
      <w:r w:rsidR="00477373" w:rsidRPr="00F14F76">
        <w:t xml:space="preserve">igure 1 reveals, some </w:t>
      </w:r>
      <w:r w:rsidR="00477373">
        <w:t xml:space="preserve">characteristics </w:t>
      </w:r>
      <w:r w:rsidR="00477373" w:rsidRPr="00F14F76">
        <w:t xml:space="preserve">are quite easily linked solely to </w:t>
      </w:r>
      <w:r w:rsidR="00477373">
        <w:t>low</w:t>
      </w:r>
      <w:r>
        <w:t xml:space="preserve"> achievers</w:t>
      </w:r>
      <w:r w:rsidR="003750CB">
        <w:t xml:space="preserve"> (for instance</w:t>
      </w:r>
      <w:r w:rsidR="00477373">
        <w:t>, tries hard)</w:t>
      </w:r>
      <w:r w:rsidR="00477373" w:rsidRPr="00933A27">
        <w:t xml:space="preserve"> </w:t>
      </w:r>
      <w:r w:rsidR="00477373">
        <w:t xml:space="preserve">or to </w:t>
      </w:r>
      <w:r w:rsidR="00477373" w:rsidRPr="00F14F76">
        <w:t>under</w:t>
      </w:r>
      <w:r w:rsidR="00477373">
        <w:t>achievers</w:t>
      </w:r>
      <w:r w:rsidR="003750CB">
        <w:t xml:space="preserve"> (for instance</w:t>
      </w:r>
      <w:r w:rsidR="00477373" w:rsidRPr="00F14F76">
        <w:t>, perform</w:t>
      </w:r>
      <w:r w:rsidR="00477373">
        <w:t>ing below potential, disengaged</w:t>
      </w:r>
      <w:r w:rsidR="00477373" w:rsidRPr="00F14F76">
        <w:t>)</w:t>
      </w:r>
      <w:r w:rsidR="00477373">
        <w:t xml:space="preserve"> </w:t>
      </w:r>
      <w:r w:rsidR="00477373" w:rsidRPr="00F14F76">
        <w:t>but there</w:t>
      </w:r>
      <w:r>
        <w:t xml:space="preserve"> is also considerable overlap of behavioural characteristics</w:t>
      </w:r>
      <w:r w:rsidR="00477373" w:rsidRPr="00F14F76">
        <w:t>.</w:t>
      </w:r>
    </w:p>
    <w:p w:rsidR="00383B98" w:rsidRDefault="00383B98" w:rsidP="002C5611">
      <w:pPr>
        <w:pStyle w:val="BCSHeadingA"/>
      </w:pPr>
      <w:bookmarkStart w:id="49" w:name="_Toc248222206"/>
    </w:p>
    <w:p w:rsidR="00A6645B" w:rsidRPr="00E83FFE" w:rsidRDefault="003242B1" w:rsidP="002C5611">
      <w:pPr>
        <w:pStyle w:val="BCSHeadingA"/>
      </w:pPr>
      <w:r>
        <w:br w:type="page"/>
      </w:r>
      <w:bookmarkStart w:id="50" w:name="_Toc248651144"/>
      <w:bookmarkStart w:id="51" w:name="_Toc248651411"/>
      <w:bookmarkStart w:id="52" w:name="_Toc248651454"/>
      <w:bookmarkStart w:id="53" w:name="_Toc248651603"/>
      <w:bookmarkStart w:id="54" w:name="_Toc248652460"/>
      <w:r w:rsidR="00A6645B" w:rsidRPr="00E83FFE">
        <w:t>Where are the gaps?</w:t>
      </w:r>
      <w:bookmarkEnd w:id="49"/>
      <w:bookmarkEnd w:id="50"/>
      <w:bookmarkEnd w:id="51"/>
      <w:bookmarkEnd w:id="52"/>
      <w:bookmarkEnd w:id="53"/>
      <w:bookmarkEnd w:id="54"/>
      <w:r w:rsidR="00A6645B" w:rsidRPr="00E83FFE">
        <w:t xml:space="preserve"> </w:t>
      </w:r>
    </w:p>
    <w:p w:rsidR="00F97199" w:rsidRDefault="00D64DE1" w:rsidP="00A6645B">
      <w:pPr>
        <w:pStyle w:val="BCSParagraph"/>
      </w:pPr>
      <w:r>
        <w:t>The aims of this project</w:t>
      </w:r>
      <w:r w:rsidR="00C647E7">
        <w:t xml:space="preserve"> include </w:t>
      </w:r>
      <w:r>
        <w:t>identifying and making</w:t>
      </w:r>
      <w:r w:rsidR="00A6645B" w:rsidRPr="00E83FFE">
        <w:t xml:space="preserve"> available to practi</w:t>
      </w:r>
      <w:r w:rsidR="00A6645B">
        <w:t>ti</w:t>
      </w:r>
      <w:r w:rsidR="00A6645B" w:rsidRPr="00E83FFE">
        <w:t xml:space="preserve">oners </w:t>
      </w:r>
      <w:r w:rsidR="00530AED">
        <w:t>examples</w:t>
      </w:r>
      <w:r w:rsidR="003242B1">
        <w:t xml:space="preserve"> of </w:t>
      </w:r>
      <w:r w:rsidR="00A6645B" w:rsidRPr="00E83FFE">
        <w:t xml:space="preserve">good practice in schools. Empirical evidence as to the effectiveness of such practice is contained in the </w:t>
      </w:r>
      <w:hyperlink r:id="rId14" w:history="1">
        <w:r w:rsidR="00A6645B" w:rsidRPr="00EF2F2B">
          <w:rPr>
            <w:rStyle w:val="Hyperlink"/>
          </w:rPr>
          <w:t>literature review</w:t>
        </w:r>
      </w:hyperlink>
      <w:r w:rsidR="00EF2F2B">
        <w:t xml:space="preserve"> </w:t>
      </w:r>
      <w:r w:rsidR="00847610">
        <w:t xml:space="preserve">and </w:t>
      </w:r>
      <w:r w:rsidR="003242B1">
        <w:t xml:space="preserve">in </w:t>
      </w:r>
      <w:r w:rsidR="00847610">
        <w:t xml:space="preserve">reports such as </w:t>
      </w:r>
      <w:r w:rsidR="00A6645B" w:rsidRPr="00E83FFE">
        <w:t>the NFER</w:t>
      </w:r>
      <w:r w:rsidR="00847610">
        <w:t xml:space="preserve"> review</w:t>
      </w:r>
      <w:r w:rsidR="000256E7">
        <w:t>.</w:t>
      </w:r>
      <w:r w:rsidR="00A6645B" w:rsidRPr="00E83FFE">
        <w:rPr>
          <w:rStyle w:val="FootnoteReference"/>
          <w:rFonts w:eastAsia="Calibri"/>
        </w:rPr>
        <w:footnoteReference w:id="9"/>
      </w:r>
      <w:r w:rsidR="00EF2F2B">
        <w:t xml:space="preserve"> </w:t>
      </w:r>
    </w:p>
    <w:p w:rsidR="00A6645B" w:rsidRPr="004C5ECE" w:rsidRDefault="00A6645B" w:rsidP="00A6645B">
      <w:pPr>
        <w:pStyle w:val="BCSParagraph"/>
      </w:pPr>
      <w:r w:rsidRPr="004C5ECE">
        <w:t>We have identified three main gaps that need to be bridged if successful educational outcomes are to ensue. These are:</w:t>
      </w:r>
    </w:p>
    <w:p w:rsidR="00A6645B" w:rsidRPr="004C5ECE" w:rsidRDefault="00847610" w:rsidP="00A6645B">
      <w:pPr>
        <w:pStyle w:val="BCSBulletparagraph"/>
        <w:rPr>
          <w:lang w:val="en-US"/>
        </w:rPr>
      </w:pPr>
      <w:r>
        <w:t>g</w:t>
      </w:r>
      <w:r w:rsidR="00A6645B" w:rsidRPr="004C5ECE">
        <w:t xml:space="preserve">aps in </w:t>
      </w:r>
      <w:r>
        <w:t>individual learner competencies</w:t>
      </w:r>
    </w:p>
    <w:p w:rsidR="00A6645B" w:rsidRPr="004C5ECE" w:rsidRDefault="00847610" w:rsidP="00A6645B">
      <w:pPr>
        <w:pStyle w:val="BCSBulletparagraph"/>
      </w:pPr>
      <w:r>
        <w:t>g</w:t>
      </w:r>
      <w:r w:rsidR="00A6645B" w:rsidRPr="004C5ECE">
        <w:t>aps in opportunity to achieve both w</w:t>
      </w:r>
      <w:r>
        <w:t>ithin school and outside school</w:t>
      </w:r>
    </w:p>
    <w:p w:rsidR="00A6645B" w:rsidRPr="004C5ECE" w:rsidRDefault="00847610" w:rsidP="00693756">
      <w:pPr>
        <w:pStyle w:val="BCSBulletlast"/>
        <w:rPr>
          <w:b/>
          <w:szCs w:val="26"/>
          <w:lang w:val="en-US"/>
        </w:rPr>
      </w:pPr>
      <w:r>
        <w:t>g</w:t>
      </w:r>
      <w:r w:rsidR="00A6645B" w:rsidRPr="004C5ECE">
        <w:t>aps in achievement</w:t>
      </w:r>
      <w:r>
        <w:t>,</w:t>
      </w:r>
      <w:r w:rsidR="00A6645B" w:rsidRPr="004C5ECE">
        <w:t xml:space="preserve"> including failure to achieve the required national benchmarks but also </w:t>
      </w:r>
      <w:r>
        <w:t xml:space="preserve">failure to </w:t>
      </w:r>
      <w:r w:rsidR="00A6645B" w:rsidRPr="004C5ECE">
        <w:t>a</w:t>
      </w:r>
      <w:r>
        <w:t xml:space="preserve">chieve </w:t>
      </w:r>
      <w:r w:rsidR="00A6645B" w:rsidRPr="004C5ECE">
        <w:t>personal potential.</w:t>
      </w:r>
    </w:p>
    <w:p w:rsidR="00A6645B" w:rsidRPr="00E83FFE" w:rsidRDefault="00A6645B" w:rsidP="00A6645B">
      <w:pPr>
        <w:pStyle w:val="BCSParagraph"/>
      </w:pPr>
      <w:r w:rsidRPr="00E83FFE">
        <w:t>The gaps referenced here are essentially in the perfor</w:t>
      </w:r>
      <w:r>
        <w:t>mance outcomes of low</w:t>
      </w:r>
      <w:r w:rsidR="00D64DE1">
        <w:t xml:space="preserve"> achievers</w:t>
      </w:r>
      <w:r>
        <w:t xml:space="preserve"> and under</w:t>
      </w:r>
      <w:r w:rsidRPr="00E83FFE">
        <w:t>achievers and also in the opportunities availab</w:t>
      </w:r>
      <w:r w:rsidR="00D64DE1">
        <w:t>le to those two groups of learners</w:t>
      </w:r>
      <w:r w:rsidRPr="00E83FFE">
        <w:t>. Opportunities are not confined to resource issues such as access to digital technologies; they also include personal attrib</w:t>
      </w:r>
      <w:r w:rsidR="00530AED">
        <w:t>utes of the learners that</w:t>
      </w:r>
      <w:r w:rsidRPr="00E83FFE">
        <w:t xml:space="preserve"> allow them to take up the opportunities provided in and outside </w:t>
      </w:r>
      <w:r>
        <w:t xml:space="preserve">of </w:t>
      </w:r>
      <w:r w:rsidRPr="00E83FFE">
        <w:t>school to support their learning. Similarly, while level of academic success is a key difference be</w:t>
      </w:r>
      <w:r w:rsidR="00D64DE1">
        <w:t>tween the best performing students</w:t>
      </w:r>
      <w:r w:rsidRPr="00E83FFE">
        <w:t xml:space="preserve"> and low</w:t>
      </w:r>
      <w:r w:rsidR="00D64DE1">
        <w:t xml:space="preserve"> achievers</w:t>
      </w:r>
      <w:r w:rsidRPr="00E83FFE">
        <w:t xml:space="preserve"> and underachievers, the</w:t>
      </w:r>
      <w:r w:rsidR="00D64DE1">
        <w:t xml:space="preserve">re is also a disparity in </w:t>
      </w:r>
      <w:r w:rsidRPr="00E83FFE">
        <w:t>behaviours that are critical to educational success.</w:t>
      </w:r>
    </w:p>
    <w:p w:rsidR="00A6645B" w:rsidRDefault="00D64DE1" w:rsidP="00A6645B">
      <w:pPr>
        <w:pStyle w:val="BCSHeadingB"/>
      </w:pPr>
      <w:bookmarkStart w:id="55" w:name="_Toc248222207"/>
      <w:bookmarkStart w:id="56" w:name="_Toc248651145"/>
      <w:bookmarkStart w:id="57" w:name="_Toc248651412"/>
      <w:bookmarkStart w:id="58" w:name="_Toc248651455"/>
      <w:bookmarkStart w:id="59" w:name="_Toc248651604"/>
      <w:bookmarkStart w:id="60" w:name="_Toc248652461"/>
      <w:r>
        <w:t>Local authority policies related to l</w:t>
      </w:r>
      <w:r w:rsidR="00A6645B" w:rsidRPr="00DF0048">
        <w:t>ow</w:t>
      </w:r>
      <w:r>
        <w:t xml:space="preserve"> achievers and u</w:t>
      </w:r>
      <w:r w:rsidR="00A6645B" w:rsidRPr="00DF0048">
        <w:t>nderachievers</w:t>
      </w:r>
      <w:bookmarkEnd w:id="55"/>
      <w:bookmarkEnd w:id="56"/>
      <w:bookmarkEnd w:id="57"/>
      <w:bookmarkEnd w:id="58"/>
      <w:bookmarkEnd w:id="59"/>
      <w:bookmarkEnd w:id="60"/>
    </w:p>
    <w:p w:rsidR="00A6645B" w:rsidRPr="00D25023" w:rsidRDefault="00A6645B" w:rsidP="00A6645B">
      <w:pPr>
        <w:pStyle w:val="BCSParagraph"/>
        <w:rPr>
          <w:bCs/>
        </w:rPr>
      </w:pPr>
      <w:r w:rsidRPr="00D25023">
        <w:rPr>
          <w:bCs/>
        </w:rPr>
        <w:t>While the D</w:t>
      </w:r>
      <w:r w:rsidR="003750CB">
        <w:rPr>
          <w:bCs/>
        </w:rPr>
        <w:t xml:space="preserve">epartment for </w:t>
      </w:r>
      <w:r w:rsidRPr="00D25023">
        <w:rPr>
          <w:bCs/>
        </w:rPr>
        <w:t>C</w:t>
      </w:r>
      <w:r w:rsidR="003750CB">
        <w:rPr>
          <w:bCs/>
        </w:rPr>
        <w:t xml:space="preserve">hildren, </w:t>
      </w:r>
      <w:r w:rsidRPr="00D25023">
        <w:rPr>
          <w:bCs/>
        </w:rPr>
        <w:t>S</w:t>
      </w:r>
      <w:r w:rsidR="003750CB">
        <w:rPr>
          <w:bCs/>
        </w:rPr>
        <w:t xml:space="preserve">chools and </w:t>
      </w:r>
      <w:r w:rsidRPr="00D25023">
        <w:rPr>
          <w:bCs/>
        </w:rPr>
        <w:t>F</w:t>
      </w:r>
      <w:r w:rsidR="003750CB">
        <w:rPr>
          <w:bCs/>
        </w:rPr>
        <w:t>amilies (DCSF)</w:t>
      </w:r>
      <w:r w:rsidRPr="00D25023">
        <w:rPr>
          <w:bCs/>
        </w:rPr>
        <w:t xml:space="preserve"> has spearheaded the </w:t>
      </w:r>
      <w:r w:rsidR="00D64DE1">
        <w:rPr>
          <w:iCs/>
        </w:rPr>
        <w:t>N</w:t>
      </w:r>
      <w:r w:rsidRPr="00D64DE1">
        <w:rPr>
          <w:iCs/>
        </w:rPr>
        <w:t>arrowing the</w:t>
      </w:r>
      <w:r w:rsidR="00D64DE1">
        <w:rPr>
          <w:iCs/>
        </w:rPr>
        <w:t xml:space="preserve"> G</w:t>
      </w:r>
      <w:r w:rsidRPr="00D64DE1">
        <w:rPr>
          <w:iCs/>
        </w:rPr>
        <w:t>ap</w:t>
      </w:r>
      <w:r w:rsidRPr="00D25023">
        <w:rPr>
          <w:bCs/>
        </w:rPr>
        <w:t xml:space="preserve"> initiative na</w:t>
      </w:r>
      <w:r w:rsidR="00D64DE1">
        <w:rPr>
          <w:bCs/>
        </w:rPr>
        <w:t>tionally, within our sample of local a</w:t>
      </w:r>
      <w:r w:rsidRPr="00D25023">
        <w:rPr>
          <w:bCs/>
        </w:rPr>
        <w:t>uthorities this term is not widely used. This does not show an indifference to this key educa</w:t>
      </w:r>
      <w:r w:rsidR="003750CB">
        <w:rPr>
          <w:bCs/>
        </w:rPr>
        <w:t>tional agenda on the part of local authorities</w:t>
      </w:r>
      <w:r w:rsidRPr="00D25023">
        <w:rPr>
          <w:bCs/>
        </w:rPr>
        <w:t xml:space="preserve">. Each of the </w:t>
      </w:r>
      <w:r>
        <w:rPr>
          <w:bCs/>
        </w:rPr>
        <w:t>six</w:t>
      </w:r>
      <w:r w:rsidR="003750CB">
        <w:rPr>
          <w:bCs/>
        </w:rPr>
        <w:t xml:space="preserve"> local authorities</w:t>
      </w:r>
      <w:r w:rsidRPr="00D25023">
        <w:rPr>
          <w:bCs/>
        </w:rPr>
        <w:t xml:space="preserve"> who have contributed to this research recognise</w:t>
      </w:r>
      <w:r w:rsidR="00D64DE1">
        <w:rPr>
          <w:bCs/>
        </w:rPr>
        <w:t>s</w:t>
      </w:r>
      <w:r w:rsidRPr="00D25023">
        <w:rPr>
          <w:bCs/>
        </w:rPr>
        <w:t xml:space="preserve"> the need to support low</w:t>
      </w:r>
      <w:r w:rsidR="00D64DE1">
        <w:rPr>
          <w:bCs/>
        </w:rPr>
        <w:t>-achieving and underachieving learners,</w:t>
      </w:r>
      <w:r w:rsidRPr="00D25023">
        <w:rPr>
          <w:bCs/>
        </w:rPr>
        <w:t xml:space="preserve"> but action in this area tends to be incorporated into other policies</w:t>
      </w:r>
      <w:r w:rsidR="00D64DE1">
        <w:rPr>
          <w:bCs/>
        </w:rPr>
        <w:t>,</w:t>
      </w:r>
      <w:r w:rsidRPr="00D25023">
        <w:rPr>
          <w:bCs/>
        </w:rPr>
        <w:t xml:space="preserve"> especially those</w:t>
      </w:r>
      <w:r w:rsidR="00D64DE1">
        <w:rPr>
          <w:bCs/>
        </w:rPr>
        <w:t xml:space="preserve"> related to inclusion. However, the action to </w:t>
      </w:r>
      <w:r w:rsidR="00D64DE1">
        <w:rPr>
          <w:iCs/>
        </w:rPr>
        <w:t>narrow the g</w:t>
      </w:r>
      <w:r w:rsidRPr="00D64DE1">
        <w:rPr>
          <w:iCs/>
        </w:rPr>
        <w:t>ap</w:t>
      </w:r>
      <w:r w:rsidR="003750CB">
        <w:rPr>
          <w:bCs/>
        </w:rPr>
        <w:t xml:space="preserve"> is central to the local authority</w:t>
      </w:r>
      <w:r w:rsidRPr="00D25023">
        <w:rPr>
          <w:bCs/>
        </w:rPr>
        <w:t xml:space="preserve"> in which we are undertaking our cross</w:t>
      </w:r>
      <w:r>
        <w:rPr>
          <w:bCs/>
        </w:rPr>
        <w:t>-</w:t>
      </w:r>
      <w:r w:rsidRPr="00D25023">
        <w:rPr>
          <w:bCs/>
        </w:rPr>
        <w:t>authority study.</w:t>
      </w:r>
    </w:p>
    <w:p w:rsidR="00A6645B" w:rsidRDefault="00A6645B" w:rsidP="008C039F">
      <w:pPr>
        <w:pStyle w:val="BCSHeadingB"/>
      </w:pPr>
      <w:bookmarkStart w:id="61" w:name="_Toc248222208"/>
      <w:bookmarkStart w:id="62" w:name="_Toc248651146"/>
      <w:bookmarkStart w:id="63" w:name="_Toc248651413"/>
      <w:bookmarkStart w:id="64" w:name="_Toc248651456"/>
      <w:bookmarkStart w:id="65" w:name="_Toc248651605"/>
      <w:bookmarkStart w:id="66" w:name="_Toc248652462"/>
      <w:r w:rsidRPr="00DF0048">
        <w:t>Policy gaps</w:t>
      </w:r>
      <w:bookmarkEnd w:id="61"/>
      <w:bookmarkEnd w:id="62"/>
      <w:bookmarkEnd w:id="63"/>
      <w:bookmarkEnd w:id="64"/>
      <w:bookmarkEnd w:id="65"/>
      <w:bookmarkEnd w:id="66"/>
    </w:p>
    <w:p w:rsidR="00A6645B" w:rsidRPr="00D25023" w:rsidRDefault="00A6645B" w:rsidP="008C039F">
      <w:pPr>
        <w:pStyle w:val="BCSParagraph"/>
      </w:pPr>
      <w:r w:rsidRPr="00D25023">
        <w:t>There is t</w:t>
      </w:r>
      <w:r w:rsidR="00D64DE1">
        <w:t>hen a wide debate and concern about</w:t>
      </w:r>
      <w:r w:rsidR="0025720C">
        <w:t xml:space="preserve"> issues related to</w:t>
      </w:r>
      <w:r w:rsidRPr="00D25023">
        <w:t xml:space="preserve"> the </w:t>
      </w:r>
      <w:r w:rsidRPr="00D64DE1">
        <w:rPr>
          <w:iCs/>
        </w:rPr>
        <w:t>Narrowing the Gap</w:t>
      </w:r>
      <w:r w:rsidRPr="00D25023">
        <w:t xml:space="preserve"> agenda</w:t>
      </w:r>
      <w:r w:rsidR="00D64DE1">
        <w:t>. I</w:t>
      </w:r>
      <w:r w:rsidRPr="00D25023">
        <w:t xml:space="preserve">t is not obvious that </w:t>
      </w:r>
      <w:r w:rsidR="00D64DE1">
        <w:t>the policy and implementation are</w:t>
      </w:r>
      <w:r w:rsidRPr="00D25023">
        <w:t xml:space="preserve"> joined up. We </w:t>
      </w:r>
      <w:r w:rsidR="00D64DE1">
        <w:t>note that documents from the DC</w:t>
      </w:r>
      <w:r w:rsidRPr="00D25023">
        <w:t>S</w:t>
      </w:r>
      <w:r w:rsidR="00D64DE1">
        <w:t>F</w:t>
      </w:r>
      <w:r w:rsidRPr="00D25023">
        <w:t xml:space="preserve"> refer to </w:t>
      </w:r>
      <w:r w:rsidRPr="00D64DE1">
        <w:rPr>
          <w:iCs/>
        </w:rPr>
        <w:t>narrowing the gap</w:t>
      </w:r>
      <w:r w:rsidR="00D64DE1">
        <w:rPr>
          <w:iCs/>
        </w:rPr>
        <w:t>,</w:t>
      </w:r>
      <w:r w:rsidRPr="00D25023">
        <w:t xml:space="preserve"> but within </w:t>
      </w:r>
      <w:r w:rsidR="003750CB">
        <w:t>local authorities</w:t>
      </w:r>
      <w:r w:rsidRPr="00D25023">
        <w:t xml:space="preserve"> the work is commonly subsumed under broader objectives such as inclusion. In schools a</w:t>
      </w:r>
      <w:r w:rsidR="0025720C">
        <w:t xml:space="preserve">lso it is commonly </w:t>
      </w:r>
      <w:r w:rsidRPr="00D25023">
        <w:t>dealt with under other objectives.</w:t>
      </w:r>
    </w:p>
    <w:p w:rsidR="0025720C" w:rsidRDefault="00A6645B" w:rsidP="008C039F">
      <w:pPr>
        <w:pStyle w:val="BCSParagraph"/>
      </w:pPr>
      <w:r w:rsidRPr="00D25023">
        <w:t xml:space="preserve">A further policy gap can be seen in the accepted measures of achievement </w:t>
      </w:r>
      <w:r>
        <w:t xml:space="preserve">which drive implementation of </w:t>
      </w:r>
      <w:r w:rsidRPr="0025720C">
        <w:rPr>
          <w:iCs/>
        </w:rPr>
        <w:t>Narrowing the Gap</w:t>
      </w:r>
      <w:r w:rsidRPr="00D25023">
        <w:t xml:space="preserve"> policies. The interventions in secondary schools </w:t>
      </w:r>
      <w:r>
        <w:t>are</w:t>
      </w:r>
      <w:r w:rsidRPr="00D25023">
        <w:t xml:space="preserve"> driven and measured by grades at GCSE. As noted above, achieve</w:t>
      </w:r>
      <w:r w:rsidR="0025720C">
        <w:t xml:space="preserve">ment can come in many forms; </w:t>
      </w:r>
      <w:r w:rsidRPr="00D25023">
        <w:t>by focusing on GCSE outcome</w:t>
      </w:r>
      <w:r w:rsidR="0025720C">
        <w:t>s the policy is self-limiting because it excludes</w:t>
      </w:r>
      <w:r w:rsidRPr="00D25023">
        <w:t xml:space="preserve"> all those </w:t>
      </w:r>
      <w:r w:rsidR="0025720C">
        <w:t xml:space="preserve">whose </w:t>
      </w:r>
      <w:r w:rsidR="0025720C" w:rsidRPr="00D25023">
        <w:t xml:space="preserve">many talents and abilities </w:t>
      </w:r>
      <w:r w:rsidR="0025720C">
        <w:t>are not captured by</w:t>
      </w:r>
      <w:r w:rsidRPr="00D25023">
        <w:t xml:space="preserve"> GC</w:t>
      </w:r>
      <w:r w:rsidR="0025720C">
        <w:t>SE.</w:t>
      </w:r>
    </w:p>
    <w:p w:rsidR="00A6645B" w:rsidRPr="00304B1C" w:rsidRDefault="0025720C" w:rsidP="00385A99">
      <w:pPr>
        <w:pStyle w:val="BCSParagraph"/>
      </w:pPr>
      <w:r>
        <w:t>In contrast</w:t>
      </w:r>
      <w:r w:rsidR="00A6645B" w:rsidRPr="00D25023">
        <w:t>, policies related to special needs or inclusion f</w:t>
      </w:r>
      <w:r w:rsidR="00A6645B">
        <w:t>o</w:t>
      </w:r>
      <w:r w:rsidR="00A6645B" w:rsidRPr="00D25023">
        <w:t xml:space="preserve">cus on re-engaging the learner with education. </w:t>
      </w:r>
      <w:r w:rsidR="00304B1C">
        <w:t xml:space="preserve">This is clearly shown in </w:t>
      </w:r>
      <w:r w:rsidR="00304B1C">
        <w:rPr>
          <w:lang w:val="en-US"/>
        </w:rPr>
        <w:t>F</w:t>
      </w:r>
      <w:r w:rsidR="00A6645B" w:rsidRPr="0050660B">
        <w:t xml:space="preserve">igure </w:t>
      </w:r>
      <w:r w:rsidR="00A6645B">
        <w:t>2</w:t>
      </w:r>
      <w:r w:rsidR="008C039F">
        <w:t xml:space="preserve"> (next page)</w:t>
      </w:r>
      <w:r w:rsidR="00A6645B" w:rsidRPr="0050660B">
        <w:t xml:space="preserve">. Here a simple frequency count of key terms in the policy documents for mainstream education (upper) and special needs (lower) is represented graphically. It shows both the overlaps </w:t>
      </w:r>
      <w:r>
        <w:rPr>
          <w:lang w:val="en-US"/>
        </w:rPr>
        <w:t>and</w:t>
      </w:r>
      <w:r w:rsidR="00A6645B" w:rsidRPr="0050660B">
        <w:t xml:space="preserve"> the differences in focus of these two key groups within one local author</w:t>
      </w:r>
      <w:r>
        <w:t>ity. In the upper diagram</w:t>
      </w:r>
      <w:r>
        <w:rPr>
          <w:lang w:val="en-US"/>
        </w:rPr>
        <w:t>,</w:t>
      </w:r>
      <w:r>
        <w:t xml:space="preserve"> perf</w:t>
      </w:r>
      <w:r>
        <w:rPr>
          <w:lang w:val="en-US"/>
        </w:rPr>
        <w:t>or</w:t>
      </w:r>
      <w:r w:rsidR="00A6645B" w:rsidRPr="0050660B">
        <w:t>mance and standards are the key concepts</w:t>
      </w:r>
      <w:r>
        <w:rPr>
          <w:lang w:val="en-US"/>
        </w:rPr>
        <w:t>;</w:t>
      </w:r>
      <w:r>
        <w:t xml:space="preserve"> in the l</w:t>
      </w:r>
      <w:r>
        <w:rPr>
          <w:lang w:val="en-US"/>
        </w:rPr>
        <w:t>ower diagram,</w:t>
      </w:r>
      <w:r>
        <w:t xml:space="preserve"> there</w:t>
      </w:r>
      <w:r w:rsidR="00A6645B" w:rsidRPr="0050660B">
        <w:t xml:space="preserve"> is a </w:t>
      </w:r>
      <w:r>
        <w:t xml:space="preserve">focus on the individual </w:t>
      </w:r>
      <w:r>
        <w:rPr>
          <w:lang w:val="en-US"/>
        </w:rPr>
        <w:t>learner</w:t>
      </w:r>
      <w:r w:rsidR="00A6645B" w:rsidRPr="0050660B">
        <w:t>’s difficulties and how they are to be overcome.</w:t>
      </w:r>
      <w:r w:rsidR="00304B1C">
        <w:rPr>
          <w:lang w:val="en-US"/>
        </w:rPr>
        <w:t xml:space="preserve"> </w:t>
      </w:r>
      <w:r w:rsidR="00A6645B" w:rsidRPr="0050660B">
        <w:t>The different cultures of these two policy groups can create barriers to effective working.</w:t>
      </w:r>
    </w:p>
    <w:p w:rsidR="008C039F" w:rsidRPr="00304B1C" w:rsidRDefault="00304B1C" w:rsidP="00304B1C">
      <w:pPr>
        <w:pStyle w:val="BCSParagraph"/>
        <w:rPr>
          <w:b/>
        </w:rPr>
      </w:pPr>
      <w:r w:rsidRPr="007302FD">
        <w:t>However, two of</w:t>
      </w:r>
      <w:r w:rsidR="00385A99">
        <w:rPr>
          <w:bCs/>
        </w:rPr>
        <w:t xml:space="preserve"> the local authorities</w:t>
      </w:r>
      <w:r w:rsidRPr="00F14F76">
        <w:rPr>
          <w:bCs/>
        </w:rPr>
        <w:t xml:space="preserve"> in our sample had developed a cross-authority action plan for </w:t>
      </w:r>
      <w:r w:rsidRPr="00C647E7">
        <w:rPr>
          <w:iCs/>
        </w:rPr>
        <w:t>narrowing the gap</w:t>
      </w:r>
      <w:r>
        <w:rPr>
          <w:bCs/>
        </w:rPr>
        <w:t xml:space="preserve">. </w:t>
      </w:r>
      <w:r w:rsidRPr="00F14F76">
        <w:rPr>
          <w:bCs/>
        </w:rPr>
        <w:t>For example, S</w:t>
      </w:r>
      <w:r>
        <w:rPr>
          <w:bCs/>
        </w:rPr>
        <w:t>econdary</w:t>
      </w:r>
      <w:r w:rsidRPr="00F14F76">
        <w:rPr>
          <w:bCs/>
        </w:rPr>
        <w:t xml:space="preserve"> 4</w:t>
      </w:r>
      <w:r w:rsidRPr="00F14F76">
        <w:t xml:space="preserve"> is part of the ‘Leading Edge’ group</w:t>
      </w:r>
      <w:r>
        <w:t>,</w:t>
      </w:r>
      <w:r w:rsidRPr="00F14F76">
        <w:t xml:space="preserve"> which has regular meetings with teachers from the </w:t>
      </w:r>
      <w:r w:rsidR="00385A99">
        <w:t>local authority</w:t>
      </w:r>
      <w:r w:rsidRPr="00F14F76">
        <w:t xml:space="preserve"> (al</w:t>
      </w:r>
      <w:r w:rsidR="00385A99">
        <w:t>ongside local authority</w:t>
      </w:r>
      <w:r>
        <w:t xml:space="preserve"> representatives) </w:t>
      </w:r>
      <w:r w:rsidRPr="00F14F76">
        <w:t xml:space="preserve">interested in working towards </w:t>
      </w:r>
      <w:r>
        <w:rPr>
          <w:bCs/>
          <w:iCs/>
        </w:rPr>
        <w:t>n</w:t>
      </w:r>
      <w:r w:rsidRPr="00C647E7">
        <w:rPr>
          <w:bCs/>
          <w:iCs/>
        </w:rPr>
        <w:t xml:space="preserve">arrowing the </w:t>
      </w:r>
      <w:r>
        <w:rPr>
          <w:bCs/>
          <w:iCs/>
        </w:rPr>
        <w:t>g</w:t>
      </w:r>
      <w:r w:rsidRPr="00C647E7">
        <w:rPr>
          <w:bCs/>
          <w:iCs/>
        </w:rPr>
        <w:t>ap</w:t>
      </w:r>
      <w:r w:rsidRPr="00F14F76">
        <w:t>. There is an emphasis within this school on staff development. The school encourages teachers to act as researchers and to publish in the school</w:t>
      </w:r>
      <w:r>
        <w:t>’</w:t>
      </w:r>
      <w:r w:rsidRPr="00F14F76">
        <w:t>s own publication</w:t>
      </w:r>
      <w:r>
        <w:t>,</w:t>
      </w:r>
      <w:r w:rsidRPr="00F14F76">
        <w:t xml:space="preserve"> which is used to promote good practice and research findings throughout the school. There </w:t>
      </w:r>
      <w:r>
        <w:t>are</w:t>
      </w:r>
      <w:r w:rsidRPr="00F14F76">
        <w:t xml:space="preserve"> also strong links with </w:t>
      </w:r>
      <w:r>
        <w:t xml:space="preserve">the </w:t>
      </w:r>
      <w:r w:rsidR="00385A99">
        <w:t>local authority</w:t>
      </w:r>
      <w:r>
        <w:t>,</w:t>
      </w:r>
      <w:r w:rsidRPr="00F14F76">
        <w:t xml:space="preserve"> and </w:t>
      </w:r>
      <w:r>
        <w:t>a</w:t>
      </w:r>
      <w:r w:rsidRPr="00F14F76">
        <w:t xml:space="preserve"> group of teachers from</w:t>
      </w:r>
      <w:r>
        <w:t xml:space="preserve"> schools</w:t>
      </w:r>
      <w:r w:rsidRPr="00F14F76">
        <w:t xml:space="preserve"> acros</w:t>
      </w:r>
      <w:r>
        <w:t>s</w:t>
      </w:r>
      <w:r w:rsidR="00385A99">
        <w:t xml:space="preserve"> the authority</w:t>
      </w:r>
      <w:r w:rsidRPr="00F14F76">
        <w:t xml:space="preserve"> have </w:t>
      </w:r>
      <w:r>
        <w:t>developed</w:t>
      </w:r>
      <w:r w:rsidRPr="00F14F76">
        <w:t xml:space="preserve"> a number of priority areas for consultation</w:t>
      </w:r>
      <w:r>
        <w:t>. The most recent of these was the</w:t>
      </w:r>
      <w:r w:rsidRPr="00F14F76">
        <w:t xml:space="preserve"> ‘assessment for learning’ project. Teachers here argue vocife</w:t>
      </w:r>
      <w:r>
        <w:t>rously that strong links among</w:t>
      </w:r>
      <w:r w:rsidRPr="00F14F76">
        <w:t xml:space="preserve"> teachers with</w:t>
      </w:r>
      <w:r>
        <w:t>in the same authority and</w:t>
      </w:r>
      <w:r w:rsidR="00385A99">
        <w:t xml:space="preserve"> with local authority</w:t>
      </w:r>
      <w:r w:rsidRPr="00F14F76">
        <w:t xml:space="preserve"> representatives are fundamental for progress </w:t>
      </w:r>
      <w:r>
        <w:t xml:space="preserve">on </w:t>
      </w:r>
      <w:r w:rsidRPr="00C647E7">
        <w:rPr>
          <w:bCs/>
          <w:iCs/>
        </w:rPr>
        <w:t>narrowing the gap</w:t>
      </w:r>
      <w:r>
        <w:t xml:space="preserve"> initiatives</w:t>
      </w:r>
      <w:r w:rsidRPr="00F14F76">
        <w:t>.</w:t>
      </w:r>
      <w:r>
        <w:br w:type="page"/>
      </w:r>
      <w:r w:rsidR="006D47AD">
        <w:rPr>
          <w:b/>
        </w:rPr>
        <w:pict>
          <v:group id="_x0000_s1034" style="position:absolute;margin-left:-2.7pt;margin-top:31.75pt;width:427.05pt;height:429.85pt;z-index:251657728" coordorigin="288,240" coordsize="3826,4633">
            <v:shape id="_x0000_s1035" type="#_x0000_t75" style="position:absolute;left:288;top:240;width:3312;height:2398">
              <v:imagedata r:id="rId15" o:title="Wokingham County Council School Performance Policy"/>
            </v:shape>
            <v:shape id="_x0000_s1036" type="#_x0000_t75" style="position:absolute;left:960;top:3024;width:3154;height:1849">
              <v:imagedata r:id="rId16" o:title="Wokingham County Council SEN Policy"/>
            </v:shape>
          </v:group>
        </w:pict>
      </w:r>
      <w:r w:rsidR="008C039F" w:rsidRPr="00304B1C">
        <w:rPr>
          <w:b/>
        </w:rPr>
        <w:t>Figure 2: Key ter</w:t>
      </w:r>
      <w:r w:rsidR="0025720C" w:rsidRPr="00304B1C">
        <w:rPr>
          <w:b/>
        </w:rPr>
        <w:t>ms in one local authority’s mainstream (upper) and special educational needs (lower) policy d</w:t>
      </w:r>
      <w:r w:rsidR="008C039F" w:rsidRPr="00304B1C">
        <w:rPr>
          <w:b/>
        </w:rPr>
        <w:t>ocuments</w:t>
      </w:r>
    </w:p>
    <w:p w:rsidR="008C039F" w:rsidRDefault="008C039F" w:rsidP="008C039F">
      <w:pPr>
        <w:pStyle w:val="BCSParagraph"/>
      </w:pPr>
    </w:p>
    <w:p w:rsidR="008C039F" w:rsidRDefault="008C039F" w:rsidP="008C039F">
      <w:pPr>
        <w:pStyle w:val="BCSParagraph"/>
      </w:pPr>
    </w:p>
    <w:p w:rsidR="008C039F" w:rsidRDefault="008C039F" w:rsidP="008C039F">
      <w:pPr>
        <w:pStyle w:val="BCSParagraph"/>
      </w:pPr>
    </w:p>
    <w:p w:rsidR="008C039F" w:rsidRDefault="008C039F" w:rsidP="008C039F">
      <w:pPr>
        <w:pStyle w:val="BCSParagraph"/>
      </w:pPr>
    </w:p>
    <w:p w:rsidR="008C039F" w:rsidRDefault="008C039F" w:rsidP="008C039F">
      <w:pPr>
        <w:pStyle w:val="BCSParagraph"/>
      </w:pPr>
    </w:p>
    <w:p w:rsidR="008C039F" w:rsidRDefault="008C039F" w:rsidP="008C039F">
      <w:pPr>
        <w:pStyle w:val="BCSParagraph"/>
      </w:pPr>
    </w:p>
    <w:p w:rsidR="008C039F" w:rsidRDefault="008C039F" w:rsidP="008C039F">
      <w:pPr>
        <w:pStyle w:val="BCSParagraph"/>
      </w:pPr>
    </w:p>
    <w:p w:rsidR="008C039F" w:rsidRDefault="008C039F" w:rsidP="008C039F">
      <w:pPr>
        <w:pStyle w:val="BCSParagraph"/>
      </w:pPr>
    </w:p>
    <w:p w:rsidR="008C039F" w:rsidRDefault="008C039F" w:rsidP="008C039F">
      <w:pPr>
        <w:pStyle w:val="BCSParagraph"/>
      </w:pPr>
    </w:p>
    <w:p w:rsidR="008C039F" w:rsidRDefault="008C039F" w:rsidP="008C039F">
      <w:pPr>
        <w:pStyle w:val="BCSParagraph"/>
      </w:pPr>
    </w:p>
    <w:p w:rsidR="00A6645B" w:rsidRDefault="00A6645B" w:rsidP="00A6645B">
      <w:pPr>
        <w:pStyle w:val="BCSHeadingA"/>
      </w:pPr>
    </w:p>
    <w:p w:rsidR="00A6645B" w:rsidRDefault="00A6645B" w:rsidP="00A6645B">
      <w:pPr>
        <w:pStyle w:val="BCSHeadingA"/>
      </w:pPr>
    </w:p>
    <w:p w:rsidR="008C039F" w:rsidRDefault="008C039F" w:rsidP="00A6645B">
      <w:pPr>
        <w:pStyle w:val="BCSHeadingA"/>
      </w:pPr>
    </w:p>
    <w:p w:rsidR="008C039F" w:rsidRDefault="008C039F" w:rsidP="00A6645B">
      <w:pPr>
        <w:pStyle w:val="BCSHeadingA"/>
      </w:pPr>
    </w:p>
    <w:p w:rsidR="008C039F" w:rsidRDefault="008C039F" w:rsidP="00A6645B">
      <w:pPr>
        <w:pStyle w:val="BCSHeadingA"/>
      </w:pPr>
    </w:p>
    <w:p w:rsidR="008C039F" w:rsidRDefault="008C039F" w:rsidP="00A6645B">
      <w:pPr>
        <w:pStyle w:val="BCSHeadingA"/>
      </w:pPr>
    </w:p>
    <w:p w:rsidR="008C039F" w:rsidRDefault="008C039F" w:rsidP="00A6645B">
      <w:pPr>
        <w:pStyle w:val="BCSHeadingA"/>
      </w:pPr>
    </w:p>
    <w:p w:rsidR="008C039F" w:rsidRDefault="008C039F" w:rsidP="00A6645B">
      <w:pPr>
        <w:pStyle w:val="BCSHeadingA"/>
      </w:pPr>
    </w:p>
    <w:p w:rsidR="008C039F" w:rsidRDefault="008C039F" w:rsidP="00A6645B">
      <w:pPr>
        <w:pStyle w:val="BCSHeadingA"/>
      </w:pPr>
    </w:p>
    <w:p w:rsidR="008C039F" w:rsidRDefault="008C039F" w:rsidP="00A6645B">
      <w:pPr>
        <w:pStyle w:val="BCSHeadingA"/>
      </w:pPr>
    </w:p>
    <w:p w:rsidR="002C5611" w:rsidRPr="00DF0048" w:rsidRDefault="00304B1C" w:rsidP="00304B1C">
      <w:pPr>
        <w:pStyle w:val="BCSHeadingA"/>
      </w:pPr>
      <w:bookmarkStart w:id="67" w:name="_Toc248222209"/>
      <w:r>
        <w:br w:type="page"/>
      </w:r>
      <w:bookmarkStart w:id="68" w:name="_Toc248651147"/>
      <w:bookmarkStart w:id="69" w:name="_Toc248651414"/>
      <w:bookmarkStart w:id="70" w:name="_Toc248651457"/>
      <w:bookmarkStart w:id="71" w:name="_Toc248651606"/>
      <w:bookmarkStart w:id="72" w:name="_Toc248652463"/>
      <w:r w:rsidR="002C5611" w:rsidRPr="00DF0048">
        <w:t>Identifying effective strategies to su</w:t>
      </w:r>
      <w:r w:rsidR="002C5611">
        <w:t>pport low</w:t>
      </w:r>
      <w:r w:rsidR="00C647E7">
        <w:t xml:space="preserve"> achievers</w:t>
      </w:r>
      <w:r w:rsidR="002C5611">
        <w:t xml:space="preserve"> and under</w:t>
      </w:r>
      <w:r w:rsidR="002C5611" w:rsidRPr="00DF0048">
        <w:t>achievers within the sample schools</w:t>
      </w:r>
      <w:bookmarkEnd w:id="67"/>
      <w:bookmarkEnd w:id="68"/>
      <w:bookmarkEnd w:id="69"/>
      <w:bookmarkEnd w:id="70"/>
      <w:bookmarkEnd w:id="71"/>
      <w:bookmarkEnd w:id="72"/>
    </w:p>
    <w:p w:rsidR="002C5611" w:rsidRPr="00E83FFE" w:rsidRDefault="00C647E7" w:rsidP="002C5611">
      <w:pPr>
        <w:pStyle w:val="BCSParagraph"/>
      </w:pPr>
      <w:r>
        <w:t>While there is strong</w:t>
      </w:r>
      <w:r w:rsidR="002C5611" w:rsidRPr="00E83FFE">
        <w:t xml:space="preserve"> consensus as to the characteristics of low </w:t>
      </w:r>
      <w:r>
        <w:t xml:space="preserve">achievers </w:t>
      </w:r>
      <w:r w:rsidR="002C5611" w:rsidRPr="00E83FFE">
        <w:t xml:space="preserve">and underachievers, there are areas of </w:t>
      </w:r>
      <w:r w:rsidR="00AE02B6">
        <w:t xml:space="preserve">both </w:t>
      </w:r>
      <w:r>
        <w:t>coll</w:t>
      </w:r>
      <w:r w:rsidR="00AE02B6">
        <w:t xml:space="preserve">ective agreement and </w:t>
      </w:r>
      <w:r>
        <w:t>fundamental difference</w:t>
      </w:r>
      <w:r w:rsidR="002C5611" w:rsidRPr="00E83FFE">
        <w:t xml:space="preserve"> in the s</w:t>
      </w:r>
      <w:r>
        <w:t>trategies employed to address</w:t>
      </w:r>
      <w:r w:rsidR="002C5611" w:rsidRPr="00E83FFE">
        <w:t xml:space="preserve"> the educational problems associated with these groups. The level to which technology underp</w:t>
      </w:r>
      <w:r>
        <w:t>ins these strategies is</w:t>
      </w:r>
      <w:r w:rsidR="002C5611" w:rsidRPr="00E83FFE">
        <w:t xml:space="preserve"> very similar for some but not all activities.</w:t>
      </w:r>
    </w:p>
    <w:p w:rsidR="002C5611" w:rsidRPr="00E83FFE" w:rsidRDefault="002C5611" w:rsidP="002C5611">
      <w:pPr>
        <w:pStyle w:val="BCSParagraph"/>
      </w:pPr>
      <w:r w:rsidRPr="00E83FFE">
        <w:t xml:space="preserve">In the </w:t>
      </w:r>
      <w:hyperlink r:id="rId17" w:history="1">
        <w:r w:rsidRPr="00A845F0">
          <w:rPr>
            <w:rStyle w:val="Hyperlink"/>
          </w:rPr>
          <w:t>literature review</w:t>
        </w:r>
      </w:hyperlink>
      <w:r w:rsidR="00A845F0">
        <w:t xml:space="preserve"> </w:t>
      </w:r>
      <w:r w:rsidR="00C647E7">
        <w:t>we noted nine</w:t>
      </w:r>
      <w:r w:rsidRPr="00E83FFE">
        <w:t xml:space="preserve"> main strategies from the research literature currently being used to support </w:t>
      </w:r>
      <w:r w:rsidRPr="003B728E">
        <w:rPr>
          <w:rFonts w:cs="Helvetica"/>
          <w:lang w:val="en-US" w:bidi="en-US"/>
        </w:rPr>
        <w:t>low</w:t>
      </w:r>
      <w:r w:rsidR="00C647E7">
        <w:rPr>
          <w:rFonts w:cs="Helvetica"/>
          <w:lang w:val="en-US" w:bidi="en-US"/>
        </w:rPr>
        <w:t xml:space="preserve"> achievers</w:t>
      </w:r>
      <w:r w:rsidRPr="003B728E">
        <w:rPr>
          <w:rFonts w:cs="Helvetica"/>
          <w:lang w:val="en-US" w:bidi="en-US"/>
        </w:rPr>
        <w:t xml:space="preserve"> and underachievers</w:t>
      </w:r>
      <w:r w:rsidR="00C647E7">
        <w:t>. These are</w:t>
      </w:r>
      <w:r w:rsidRPr="00E83FFE">
        <w:t>:</w:t>
      </w:r>
    </w:p>
    <w:p w:rsidR="002C5611" w:rsidRPr="001A6186" w:rsidRDefault="00C647E7" w:rsidP="002C5611">
      <w:pPr>
        <w:pStyle w:val="BCSBulletparagraph"/>
      </w:pPr>
      <w:r>
        <w:t>i</w:t>
      </w:r>
      <w:r w:rsidR="002C5611" w:rsidRPr="001A6186">
        <w:t>mproving results by monitoring behaviour</w:t>
      </w:r>
    </w:p>
    <w:p w:rsidR="002C5611" w:rsidRPr="001A6186" w:rsidRDefault="00C647E7" w:rsidP="002C5611">
      <w:pPr>
        <w:pStyle w:val="BCSBulletparagraph"/>
      </w:pPr>
      <w:r>
        <w:t>a</w:t>
      </w:r>
      <w:r w:rsidR="002C5611" w:rsidRPr="001A6186">
        <w:t xml:space="preserve">uthentic learning </w:t>
      </w:r>
    </w:p>
    <w:p w:rsidR="002C5611" w:rsidRPr="001A6186" w:rsidRDefault="00C647E7" w:rsidP="002C5611">
      <w:pPr>
        <w:pStyle w:val="BCSBulletparagraph"/>
        <w:rPr>
          <w:lang w:val="en-US"/>
        </w:rPr>
      </w:pPr>
      <w:r>
        <w:rPr>
          <w:rFonts w:cs="Helvetica"/>
          <w:lang w:val="en-US" w:bidi="en-US"/>
        </w:rPr>
        <w:t>u</w:t>
      </w:r>
      <w:r w:rsidR="002C5611" w:rsidRPr="003B728E">
        <w:rPr>
          <w:rFonts w:cs="Helvetica"/>
          <w:lang w:val="en-US" w:bidi="en-US"/>
        </w:rPr>
        <w:t>sing learner self-assessment</w:t>
      </w:r>
    </w:p>
    <w:p w:rsidR="002C5611" w:rsidRPr="00EE6A71" w:rsidRDefault="00C647E7" w:rsidP="002C5611">
      <w:pPr>
        <w:pStyle w:val="BCSBulletparagraph"/>
        <w:rPr>
          <w:lang w:val="en-US"/>
        </w:rPr>
      </w:pPr>
      <w:r>
        <w:rPr>
          <w:rFonts w:cs="Helvetica"/>
          <w:lang w:val="en-US" w:bidi="en-US"/>
        </w:rPr>
        <w:t>p</w:t>
      </w:r>
      <w:r w:rsidR="002C5611" w:rsidRPr="003B728E">
        <w:rPr>
          <w:rFonts w:cs="Helvetica"/>
          <w:lang w:val="en-US" w:bidi="en-US"/>
        </w:rPr>
        <w:t>ractice makes perfect</w:t>
      </w:r>
    </w:p>
    <w:p w:rsidR="002C5611" w:rsidRPr="00EE6A71" w:rsidRDefault="00C647E7" w:rsidP="002C5611">
      <w:pPr>
        <w:pStyle w:val="BCSBulletparagraph"/>
        <w:rPr>
          <w:lang w:val="en-US"/>
        </w:rPr>
      </w:pPr>
      <w:r>
        <w:rPr>
          <w:rFonts w:cs="Helvetica"/>
          <w:lang w:val="en-US" w:bidi="en-US"/>
        </w:rPr>
        <w:t>c</w:t>
      </w:r>
      <w:r w:rsidR="002C5611" w:rsidRPr="00EE6A71">
        <w:rPr>
          <w:rFonts w:cs="Helvetica"/>
          <w:lang w:val="en-US" w:bidi="en-US"/>
        </w:rPr>
        <w:t>hanging the student perceptions of the classroom</w:t>
      </w:r>
    </w:p>
    <w:p w:rsidR="002C5611" w:rsidRPr="00D865C1" w:rsidRDefault="00C647E7" w:rsidP="002C5611">
      <w:pPr>
        <w:pStyle w:val="BCSBulletparagraph"/>
        <w:rPr>
          <w:lang w:val="en-US"/>
        </w:rPr>
      </w:pPr>
      <w:r>
        <w:rPr>
          <w:rFonts w:cs="Helvetica"/>
          <w:lang w:val="en-US" w:bidi="en-US"/>
        </w:rPr>
        <w:t>j</w:t>
      </w:r>
      <w:r w:rsidR="00AE02B6">
        <w:rPr>
          <w:rFonts w:cs="Helvetica"/>
          <w:lang w:val="en-US" w:bidi="en-US"/>
        </w:rPr>
        <w:t>ust-in-</w:t>
      </w:r>
      <w:r w:rsidR="002C5611" w:rsidRPr="003B728E">
        <w:rPr>
          <w:rFonts w:cs="Helvetica"/>
          <w:lang w:val="en-US" w:bidi="en-US"/>
        </w:rPr>
        <w:t>time tutoring</w:t>
      </w:r>
    </w:p>
    <w:p w:rsidR="002C5611" w:rsidRPr="001E4D0D" w:rsidRDefault="002C5611" w:rsidP="002C5611">
      <w:pPr>
        <w:pStyle w:val="BCSBulletparagraph"/>
        <w:rPr>
          <w:lang w:val="en-US"/>
        </w:rPr>
      </w:pPr>
      <w:r w:rsidRPr="001E4D0D">
        <w:rPr>
          <w:lang w:val="en-US"/>
        </w:rPr>
        <w:t>Non English Mother Tongue learners</w:t>
      </w:r>
    </w:p>
    <w:p w:rsidR="002C5611" w:rsidRPr="00D865C1" w:rsidRDefault="00C647E7" w:rsidP="002C5611">
      <w:pPr>
        <w:pStyle w:val="BCSBulletparagraph"/>
        <w:rPr>
          <w:lang w:val="en-US"/>
        </w:rPr>
      </w:pPr>
      <w:r>
        <w:rPr>
          <w:rFonts w:cs="Helvetica"/>
          <w:lang w:val="en-US" w:bidi="en-US"/>
        </w:rPr>
        <w:t>i</w:t>
      </w:r>
      <w:r w:rsidR="00D766DE">
        <w:rPr>
          <w:rFonts w:cs="Helvetica"/>
          <w:lang w:val="en-US" w:bidi="en-US"/>
        </w:rPr>
        <w:t>mproving e</w:t>
      </w:r>
      <w:r w:rsidR="002C5611" w:rsidRPr="003B728E">
        <w:rPr>
          <w:rFonts w:cs="Helvetica"/>
          <w:lang w:val="en-US" w:bidi="en-US"/>
        </w:rPr>
        <w:t>xecutive functions</w:t>
      </w:r>
    </w:p>
    <w:p w:rsidR="002C5611" w:rsidRPr="001A6186" w:rsidRDefault="00C647E7" w:rsidP="002C5611">
      <w:pPr>
        <w:pStyle w:val="BCSBulletlast"/>
        <w:rPr>
          <w:rFonts w:cs="Helvetica"/>
          <w:lang w:val="en-US" w:bidi="en-US"/>
        </w:rPr>
      </w:pPr>
      <w:r>
        <w:rPr>
          <w:lang w:val="en-US"/>
        </w:rPr>
        <w:t>u</w:t>
      </w:r>
      <w:r w:rsidR="00B53C9D">
        <w:rPr>
          <w:lang w:val="en-US"/>
        </w:rPr>
        <w:t>sing b</w:t>
      </w:r>
      <w:r w:rsidR="002C5611" w:rsidRPr="003B728E">
        <w:rPr>
          <w:lang w:val="en-US"/>
        </w:rPr>
        <w:t>iofeedback to ameliorate the problem of ADHD</w:t>
      </w:r>
    </w:p>
    <w:p w:rsidR="002C5611" w:rsidRPr="00E83FFE" w:rsidRDefault="002C5611" w:rsidP="002C5611">
      <w:pPr>
        <w:pStyle w:val="BCSParagraph"/>
      </w:pPr>
      <w:r w:rsidRPr="00E83FFE">
        <w:t>Variations of most, but not all, of these strategies were employed within the sample schools</w:t>
      </w:r>
      <w:r>
        <w:t>.</w:t>
      </w:r>
    </w:p>
    <w:p w:rsidR="002C5611" w:rsidRPr="00DF0048" w:rsidRDefault="002C5611" w:rsidP="0010436D">
      <w:pPr>
        <w:pStyle w:val="BCSHeadingB"/>
      </w:pPr>
      <w:bookmarkStart w:id="73" w:name="_Toc248222210"/>
      <w:bookmarkStart w:id="74" w:name="_Toc248651148"/>
      <w:bookmarkStart w:id="75" w:name="_Toc248651415"/>
      <w:bookmarkStart w:id="76" w:name="_Toc248651458"/>
      <w:bookmarkStart w:id="77" w:name="_Toc248651607"/>
      <w:bookmarkStart w:id="78" w:name="_Toc248652464"/>
      <w:r w:rsidRPr="00DF0048">
        <w:t>Key examples from the field evidence</w:t>
      </w:r>
      <w:bookmarkEnd w:id="73"/>
      <w:bookmarkEnd w:id="74"/>
      <w:bookmarkEnd w:id="75"/>
      <w:bookmarkEnd w:id="76"/>
      <w:bookmarkEnd w:id="77"/>
      <w:bookmarkEnd w:id="78"/>
      <w:r w:rsidRPr="00DF0048">
        <w:t xml:space="preserve"> </w:t>
      </w:r>
    </w:p>
    <w:p w:rsidR="002C5611" w:rsidRPr="0050660B" w:rsidRDefault="002C5611" w:rsidP="0010436D">
      <w:pPr>
        <w:pStyle w:val="BCSParagraph"/>
      </w:pPr>
      <w:r w:rsidRPr="0050660B">
        <w:t xml:space="preserve">A summary table of </w:t>
      </w:r>
      <w:r w:rsidR="000F0BAC">
        <w:t>the strategies used within the s</w:t>
      </w:r>
      <w:r w:rsidRPr="0050660B">
        <w:t>ample schools</w:t>
      </w:r>
      <w:r w:rsidR="000F0BAC">
        <w:t xml:space="preserve"> is presented in Appendix A. This</w:t>
      </w:r>
      <w:r w:rsidRPr="0050660B">
        <w:t xml:space="preserve"> section of the report presents a series of vignettes and comments</w:t>
      </w:r>
      <w:r w:rsidR="000F0BAC">
        <w:t xml:space="preserve"> illustrating the</w:t>
      </w:r>
      <w:r w:rsidRPr="0050660B">
        <w:t>se strategies.</w:t>
      </w:r>
    </w:p>
    <w:p w:rsidR="002C5611" w:rsidRDefault="002C5611" w:rsidP="0010436D">
      <w:pPr>
        <w:pStyle w:val="BCSHeadingC"/>
      </w:pPr>
      <w:bookmarkStart w:id="79" w:name="_Toc248222211"/>
      <w:bookmarkStart w:id="80" w:name="_Toc248651416"/>
      <w:bookmarkStart w:id="81" w:name="_Toc248651459"/>
      <w:bookmarkStart w:id="82" w:name="_Toc248651608"/>
      <w:bookmarkStart w:id="83" w:name="_Toc248652465"/>
      <w:r w:rsidRPr="00DF0048">
        <w:t>Improving results by monitoring behaviour</w:t>
      </w:r>
      <w:bookmarkEnd w:id="79"/>
      <w:bookmarkEnd w:id="80"/>
      <w:bookmarkEnd w:id="81"/>
      <w:bookmarkEnd w:id="82"/>
      <w:bookmarkEnd w:id="83"/>
    </w:p>
    <w:p w:rsidR="002C5611" w:rsidRPr="0010436D" w:rsidRDefault="002C5611" w:rsidP="0010436D">
      <w:pPr>
        <w:pStyle w:val="BCSParagraph"/>
      </w:pPr>
      <w:r w:rsidRPr="0010436D">
        <w:rPr>
          <w:szCs w:val="36"/>
        </w:rPr>
        <w:t xml:space="preserve">All of the schools within this study used some form of </w:t>
      </w:r>
      <w:r w:rsidRPr="0010436D">
        <w:t>information system for monitoring and analysing learner behaviour, achievement and progress. This was linked with rapid digital commu</w:t>
      </w:r>
      <w:r w:rsidR="003D16D1">
        <w:t>nication of the outcomes of this</w:t>
      </w:r>
      <w:r w:rsidRPr="0010436D">
        <w:t xml:space="preserve"> monitoring to practitioners</w:t>
      </w:r>
      <w:r w:rsidR="003D16D1">
        <w:t>, and increasingly to the learners</w:t>
      </w:r>
      <w:r w:rsidR="00AE02B6">
        <w:t xml:space="preserve"> and also </w:t>
      </w:r>
      <w:r w:rsidRPr="0010436D">
        <w:t>the</w:t>
      </w:r>
      <w:r w:rsidR="00AE02B6">
        <w:t>ir</w:t>
      </w:r>
      <w:r w:rsidRPr="0010436D">
        <w:t xml:space="preserve"> parents.</w:t>
      </w:r>
      <w:r w:rsidRPr="0010436D">
        <w:rPr>
          <w:szCs w:val="36"/>
        </w:rPr>
        <w:t xml:space="preserve"> In </w:t>
      </w:r>
      <w:r w:rsidR="003D16D1">
        <w:rPr>
          <w:szCs w:val="36"/>
        </w:rPr>
        <w:t>the latter case communication via</w:t>
      </w:r>
      <w:r w:rsidRPr="0010436D">
        <w:rPr>
          <w:szCs w:val="36"/>
        </w:rPr>
        <w:t xml:space="preserve"> e-mail or texting is increasing. This</w:t>
      </w:r>
      <w:r w:rsidRPr="0010436D">
        <w:rPr>
          <w:szCs w:val="18"/>
        </w:rPr>
        <w:t xml:space="preserve"> </w:t>
      </w:r>
      <w:r w:rsidRPr="0010436D">
        <w:t>monitoring of behaviour can lead to a reduction in persistent ab</w:t>
      </w:r>
      <w:r w:rsidR="003D16D1">
        <w:t>senteeism, a factor in academic underachievement. M</w:t>
      </w:r>
      <w:r w:rsidRPr="0010436D">
        <w:t>ore subtle profiling of low</w:t>
      </w:r>
      <w:r w:rsidR="003D16D1">
        <w:t>-achieving and underachieving learners</w:t>
      </w:r>
      <w:r w:rsidRPr="0010436D">
        <w:t xml:space="preserve"> to produce personalised programmes of work can result in increases in t</w:t>
      </w:r>
      <w:r w:rsidR="003D16D1">
        <w:t>he school’s percentage of students</w:t>
      </w:r>
      <w:r w:rsidRPr="0010436D">
        <w:t xml:space="preserve"> at</w:t>
      </w:r>
      <w:r w:rsidR="003D16D1">
        <w:t>taining the national target of five</w:t>
      </w:r>
      <w:r w:rsidRPr="0010436D">
        <w:t xml:space="preserve"> GCSEs. Research into the role of technology as a key aspect of strategies for school</w:t>
      </w:r>
      <w:r w:rsidR="003D16D1">
        <w:t xml:space="preserve"> improvement supports the value</w:t>
      </w:r>
      <w:r w:rsidRPr="0010436D">
        <w:t xml:space="preserve"> of this close monitoring.</w:t>
      </w:r>
      <w:r w:rsidRPr="0010436D">
        <w:rPr>
          <w:rStyle w:val="FootnoteReference"/>
          <w:rFonts w:eastAsia="Calibri"/>
        </w:rPr>
        <w:footnoteReference w:id="10"/>
      </w:r>
      <w:r w:rsidRPr="0010436D">
        <w:rPr>
          <w:rStyle w:val="FootnoteReference"/>
        </w:rPr>
        <w:t xml:space="preserve"> </w:t>
      </w:r>
      <w:r w:rsidR="0010436D">
        <w:t xml:space="preserve"> </w:t>
      </w:r>
      <w:r w:rsidRPr="0010436D">
        <w:rPr>
          <w:rStyle w:val="FootnoteReference"/>
          <w:rFonts w:eastAsia="Calibri"/>
        </w:rPr>
        <w:footnoteReference w:id="11"/>
      </w:r>
      <w:r w:rsidRPr="0010436D">
        <w:t xml:space="preserve"> </w:t>
      </w:r>
    </w:p>
    <w:p w:rsidR="002C5611" w:rsidRPr="005511C7" w:rsidRDefault="002C5611" w:rsidP="003D16D1">
      <w:pPr>
        <w:pStyle w:val="BCSParagraph"/>
        <w:ind w:left="567"/>
        <w:rPr>
          <w:rFonts w:cs="Andalus"/>
        </w:rPr>
      </w:pPr>
      <w:r w:rsidRPr="005511C7">
        <w:t>Persistent absenteeism is a factor in academic underachievement</w:t>
      </w:r>
      <w:r w:rsidRPr="00CD1ADE">
        <w:t>; a</w:t>
      </w:r>
      <w:r w:rsidRPr="005511C7">
        <w:t xml:space="preserve"> first step to effective learning is regular attendance. Many schools are now using technolog</w:t>
      </w:r>
      <w:r w:rsidR="00AE02B6">
        <w:t xml:space="preserve">y to monitor such behaviour, and </w:t>
      </w:r>
      <w:r w:rsidRPr="005511C7">
        <w:t>this 11-16 Technology Colle</w:t>
      </w:r>
      <w:r w:rsidR="003D16D1">
        <w:t>ge abandoned its previous paper-</w:t>
      </w:r>
      <w:r w:rsidRPr="005511C7">
        <w:t xml:space="preserve">driven system for the custom-built system which </w:t>
      </w:r>
      <w:r w:rsidR="00AE02B6">
        <w:rPr>
          <w:rFonts w:cs="Andalus"/>
        </w:rPr>
        <w:t>records both good and bad learner</w:t>
      </w:r>
      <w:r w:rsidRPr="005511C7">
        <w:rPr>
          <w:rFonts w:cs="Andalus"/>
        </w:rPr>
        <w:t xml:space="preserve"> behaviour based on 5 levels (1-5), where the previous paper system tended to focus on bad behaviour. Level 3 behaviour (positive or negative) triggers notification to parents, where they can be contacted </w:t>
      </w:r>
      <w:r w:rsidR="00AE02B6">
        <w:rPr>
          <w:rFonts w:cs="Andalus"/>
        </w:rPr>
        <w:t>by either e-mail or post. Learners</w:t>
      </w:r>
      <w:r w:rsidRPr="005511C7">
        <w:rPr>
          <w:rFonts w:cs="Andalus"/>
        </w:rPr>
        <w:t xml:space="preserve"> and </w:t>
      </w:r>
      <w:r w:rsidR="003D16D1">
        <w:rPr>
          <w:rFonts w:cs="Andalus"/>
        </w:rPr>
        <w:t xml:space="preserve">their </w:t>
      </w:r>
      <w:r w:rsidRPr="005511C7">
        <w:rPr>
          <w:rFonts w:cs="Andalus"/>
        </w:rPr>
        <w:t xml:space="preserve">parents also receive a weekly summary of their behaviour. </w:t>
      </w:r>
    </w:p>
    <w:p w:rsidR="002C5611" w:rsidRDefault="002C5611" w:rsidP="004A754C">
      <w:pPr>
        <w:pStyle w:val="BCSParagraph"/>
        <w:ind w:left="4536"/>
        <w:rPr>
          <w:rFonts w:cs="Andalus"/>
        </w:rPr>
      </w:pPr>
      <w:r w:rsidRPr="005511C7">
        <w:rPr>
          <w:rFonts w:cs="Andalus"/>
        </w:rPr>
        <w:t xml:space="preserve">Secondary </w:t>
      </w:r>
      <w:r w:rsidR="003D16D1">
        <w:rPr>
          <w:rFonts w:cs="Andalus"/>
        </w:rPr>
        <w:t xml:space="preserve">13, </w:t>
      </w:r>
      <w:r w:rsidR="00BF4CAF">
        <w:rPr>
          <w:rFonts w:cs="Andalus"/>
        </w:rPr>
        <w:t>S</w:t>
      </w:r>
      <w:r w:rsidR="003D16D1">
        <w:rPr>
          <w:rFonts w:cs="Andalus"/>
        </w:rPr>
        <w:t>enior management team</w:t>
      </w:r>
    </w:p>
    <w:p w:rsidR="002C5611" w:rsidRPr="00893AF1" w:rsidRDefault="0010436D" w:rsidP="0010436D">
      <w:pPr>
        <w:pStyle w:val="BCSParagraph"/>
        <w:rPr>
          <w:lang w:val="en-US"/>
        </w:rPr>
      </w:pPr>
      <w:r>
        <w:rPr>
          <w:rFonts w:cs="Andalus"/>
        </w:rPr>
        <w:t xml:space="preserve">School </w:t>
      </w:r>
      <w:r w:rsidR="002C5611" w:rsidRPr="00893AF1">
        <w:rPr>
          <w:lang w:val="en-US"/>
        </w:rPr>
        <w:t>5</w:t>
      </w:r>
      <w:r w:rsidR="002C5611" w:rsidRPr="00893AF1" w:rsidDel="00FF7F37">
        <w:rPr>
          <w:lang w:val="en-US"/>
        </w:rPr>
        <w:t xml:space="preserve"> </w:t>
      </w:r>
      <w:r w:rsidR="002C5611" w:rsidRPr="00893AF1">
        <w:rPr>
          <w:lang w:val="en-US"/>
        </w:rPr>
        <w:t>actively embraces and implements strategies to work towards the Government’s initiative for real-time reporting to parents by 2010. The school uses monitoring software to keep track of student progress and achievements and easily identifies those at risk of becoming low</w:t>
      </w:r>
      <w:r w:rsidR="003D16D1">
        <w:rPr>
          <w:lang w:val="en-US"/>
        </w:rPr>
        <w:t xml:space="preserve"> achievers</w:t>
      </w:r>
      <w:r w:rsidR="002C5611" w:rsidRPr="00893AF1">
        <w:rPr>
          <w:lang w:val="en-US"/>
        </w:rPr>
        <w:t xml:space="preserve"> and underachievers.  </w:t>
      </w:r>
    </w:p>
    <w:p w:rsidR="002C5611" w:rsidRPr="0004357F" w:rsidRDefault="002C5611" w:rsidP="0004357F">
      <w:pPr>
        <w:pStyle w:val="BCSParagraph"/>
        <w:rPr>
          <w:b/>
          <w:bCs/>
        </w:rPr>
      </w:pPr>
      <w:bookmarkStart w:id="84" w:name="_Toc248651417"/>
      <w:bookmarkStart w:id="85" w:name="_Toc248651460"/>
      <w:r w:rsidRPr="0004357F">
        <w:rPr>
          <w:b/>
          <w:bCs/>
        </w:rPr>
        <w:t>But how does the school use the data?</w:t>
      </w:r>
      <w:bookmarkEnd w:id="84"/>
      <w:bookmarkEnd w:id="85"/>
    </w:p>
    <w:p w:rsidR="002C5611" w:rsidRPr="003F3B0E" w:rsidRDefault="002C5611" w:rsidP="00406E2C">
      <w:pPr>
        <w:pStyle w:val="BCSParagraph"/>
        <w:rPr>
          <w:rFonts w:eastAsia="Times" w:cs="Andalus"/>
          <w:lang w:val="en-US"/>
        </w:rPr>
      </w:pPr>
      <w:r w:rsidRPr="00FD0585">
        <w:rPr>
          <w:lang w:val="en-US"/>
        </w:rPr>
        <w:t>Evidence shows that school leadership</w:t>
      </w:r>
      <w:r w:rsidR="003D16D1">
        <w:rPr>
          <w:lang w:val="en-US"/>
        </w:rPr>
        <w:t xml:space="preserve"> is highly significant for learner</w:t>
      </w:r>
      <w:r w:rsidRPr="00FD0585">
        <w:rPr>
          <w:lang w:val="en-US"/>
        </w:rPr>
        <w:t xml:space="preserve"> outcomes in deprived contexts</w:t>
      </w:r>
      <w:r w:rsidR="00E450F1">
        <w:rPr>
          <w:lang w:val="en-US"/>
        </w:rPr>
        <w:t>.</w:t>
      </w:r>
      <w:r w:rsidRPr="00FD0585">
        <w:rPr>
          <w:rStyle w:val="FootnoteReference"/>
          <w:rFonts w:eastAsia="Calibri"/>
          <w:lang w:val="en-US"/>
        </w:rPr>
        <w:footnoteReference w:id="12"/>
      </w:r>
      <w:r>
        <w:rPr>
          <w:lang w:val="en-US"/>
        </w:rPr>
        <w:t xml:space="preserve"> </w:t>
      </w:r>
      <w:r w:rsidRPr="005511C7">
        <w:rPr>
          <w:rFonts w:eastAsia="Times" w:cs="Andalus"/>
        </w:rPr>
        <w:t>While mo</w:t>
      </w:r>
      <w:r w:rsidR="003D16D1">
        <w:rPr>
          <w:rFonts w:eastAsia="Times" w:cs="Andalus"/>
        </w:rPr>
        <w:t>st schools are monitoring learners</w:t>
      </w:r>
      <w:r>
        <w:rPr>
          <w:rFonts w:eastAsia="Times" w:cs="Andalus"/>
        </w:rPr>
        <w:t>,</w:t>
      </w:r>
      <w:r w:rsidRPr="005511C7">
        <w:rPr>
          <w:rFonts w:eastAsia="Times" w:cs="Andalus"/>
        </w:rPr>
        <w:t xml:space="preserve"> the </w:t>
      </w:r>
      <w:r>
        <w:rPr>
          <w:rFonts w:eastAsia="Times" w:cs="Andalus"/>
        </w:rPr>
        <w:t>way this data is used</w:t>
      </w:r>
      <w:r w:rsidRPr="005511C7">
        <w:rPr>
          <w:rFonts w:eastAsia="Times" w:cs="Andalus"/>
        </w:rPr>
        <w:t xml:space="preserve"> varies with the strategic goals of each school. </w:t>
      </w:r>
      <w:r>
        <w:rPr>
          <w:lang w:val="en-US"/>
        </w:rPr>
        <w:t xml:space="preserve">A widely used management </w:t>
      </w:r>
      <w:r w:rsidR="00BF4CAF">
        <w:rPr>
          <w:lang w:val="en-US"/>
        </w:rPr>
        <w:t xml:space="preserve">system for this purpose is the </w:t>
      </w:r>
      <w:r>
        <w:rPr>
          <w:lang w:val="en-US"/>
        </w:rPr>
        <w:t>School</w:t>
      </w:r>
      <w:r w:rsidR="00BF4CAF">
        <w:rPr>
          <w:lang w:val="en-US"/>
        </w:rPr>
        <w:t xml:space="preserve">s Information Management System (SIMS), which is </w:t>
      </w:r>
      <w:r>
        <w:rPr>
          <w:lang w:val="en-US"/>
        </w:rPr>
        <w:t>designed to give schools the freedom to track and target issues pertinent to them.</w:t>
      </w:r>
      <w:r w:rsidRPr="003C236A">
        <w:rPr>
          <w:lang w:val="en-US"/>
        </w:rPr>
        <w:t xml:space="preserve"> </w:t>
      </w:r>
    </w:p>
    <w:p w:rsidR="002C5611" w:rsidRPr="00467355" w:rsidRDefault="002C5611" w:rsidP="00406E2C">
      <w:pPr>
        <w:pStyle w:val="BCSParagraph"/>
        <w:rPr>
          <w:lang w:val="en-US"/>
        </w:rPr>
      </w:pPr>
      <w:r>
        <w:rPr>
          <w:rFonts w:eastAsia="Times" w:cs="Andalus"/>
          <w:lang w:val="en-US"/>
        </w:rPr>
        <w:t>The variations in data handling and use are</w:t>
      </w:r>
      <w:r>
        <w:rPr>
          <w:rFonts w:eastAsia="Times" w:cs="Andalus"/>
        </w:rPr>
        <w:t xml:space="preserve"> </w:t>
      </w:r>
      <w:r w:rsidRPr="005511C7">
        <w:rPr>
          <w:rFonts w:eastAsia="Times" w:cs="Andalus"/>
        </w:rPr>
        <w:t>clearly seen in the examples below where t</w:t>
      </w:r>
      <w:r w:rsidR="00BF4CAF">
        <w:rPr>
          <w:rFonts w:eastAsia="Times" w:cs="Andalus"/>
        </w:rPr>
        <w:t>he decision to target all learners</w:t>
      </w:r>
      <w:r>
        <w:rPr>
          <w:rFonts w:eastAsia="Times" w:cs="Andalus"/>
        </w:rPr>
        <w:t>,</w:t>
      </w:r>
      <w:r w:rsidRPr="005511C7">
        <w:rPr>
          <w:rFonts w:eastAsia="Times" w:cs="Andalus"/>
        </w:rPr>
        <w:t xml:space="preserve"> or</w:t>
      </w:r>
      <w:r w:rsidR="00BF4CAF">
        <w:rPr>
          <w:rFonts w:eastAsia="Times" w:cs="Andalus"/>
        </w:rPr>
        <w:t xml:space="preserve"> to focus on key groups of learner</w:t>
      </w:r>
      <w:r w:rsidRPr="005511C7">
        <w:rPr>
          <w:rFonts w:eastAsia="Times" w:cs="Andalus"/>
        </w:rPr>
        <w:t>s</w:t>
      </w:r>
      <w:r w:rsidR="00BF4CAF">
        <w:rPr>
          <w:rFonts w:eastAsia="Times" w:cs="Andalus"/>
        </w:rPr>
        <w:t>,</w:t>
      </w:r>
      <w:r w:rsidRPr="005511C7">
        <w:rPr>
          <w:rFonts w:eastAsia="Times" w:cs="Andalus"/>
        </w:rPr>
        <w:t xml:space="preserve"> has pro</w:t>
      </w:r>
      <w:r w:rsidR="00BF4CAF">
        <w:rPr>
          <w:rFonts w:eastAsia="Times" w:cs="Andalus"/>
        </w:rPr>
        <w:t>found effects on the both students</w:t>
      </w:r>
      <w:r w:rsidRPr="005511C7">
        <w:rPr>
          <w:rFonts w:eastAsia="Times" w:cs="Andalus"/>
        </w:rPr>
        <w:t xml:space="preserve"> and the school.</w:t>
      </w:r>
    </w:p>
    <w:p w:rsidR="002C5611" w:rsidRPr="005511C7" w:rsidRDefault="002C5611" w:rsidP="00406E2C">
      <w:pPr>
        <w:pStyle w:val="BCSParagraph"/>
        <w:rPr>
          <w:rFonts w:eastAsia="Times" w:cs="Andalus"/>
        </w:rPr>
      </w:pPr>
      <w:r w:rsidRPr="005511C7">
        <w:rPr>
          <w:rFonts w:eastAsia="Times" w:cs="Andalus"/>
        </w:rPr>
        <w:t xml:space="preserve">In </w:t>
      </w:r>
      <w:r w:rsidR="00BF4CAF">
        <w:rPr>
          <w:rFonts w:eastAsia="Times" w:cs="Andalus"/>
        </w:rPr>
        <w:t>S</w:t>
      </w:r>
      <w:r>
        <w:rPr>
          <w:rFonts w:eastAsia="Times" w:cs="Andalus"/>
        </w:rPr>
        <w:t>econdary</w:t>
      </w:r>
      <w:r w:rsidRPr="005511C7">
        <w:rPr>
          <w:rFonts w:eastAsia="Times" w:cs="Andalus"/>
        </w:rPr>
        <w:t xml:space="preserve"> </w:t>
      </w:r>
      <w:r>
        <w:rPr>
          <w:rFonts w:eastAsia="Times" w:cs="Andalus"/>
        </w:rPr>
        <w:t>4</w:t>
      </w:r>
      <w:r w:rsidR="007B260E">
        <w:rPr>
          <w:rFonts w:eastAsia="Times" w:cs="Andalus"/>
        </w:rPr>
        <w:t xml:space="preserve"> </w:t>
      </w:r>
      <w:r w:rsidRPr="005511C7">
        <w:rPr>
          <w:rFonts w:eastAsia="Times" w:cs="Andalus"/>
        </w:rPr>
        <w:t xml:space="preserve">at the start of the academic year, staff meet with </w:t>
      </w:r>
      <w:r w:rsidR="00BF4CAF">
        <w:rPr>
          <w:rFonts w:eastAsia="Times" w:cs="Andalus"/>
        </w:rPr>
        <w:t>all</w:t>
      </w:r>
      <w:r w:rsidRPr="005511C7">
        <w:rPr>
          <w:rFonts w:eastAsia="Times" w:cs="Andalus"/>
        </w:rPr>
        <w:t xml:space="preserve"> </w:t>
      </w:r>
      <w:r w:rsidR="00BF4CAF">
        <w:rPr>
          <w:rFonts w:eastAsia="Times" w:cs="Andalus"/>
        </w:rPr>
        <w:t>Y</w:t>
      </w:r>
      <w:r>
        <w:rPr>
          <w:rFonts w:eastAsia="Times" w:cs="Andalus"/>
        </w:rPr>
        <w:t xml:space="preserve">ear 7 </w:t>
      </w:r>
      <w:r w:rsidR="00BF4CAF">
        <w:rPr>
          <w:rFonts w:eastAsia="Times" w:cs="Andalus"/>
        </w:rPr>
        <w:t>learners individually</w:t>
      </w:r>
      <w:r w:rsidRPr="005511C7">
        <w:rPr>
          <w:rFonts w:eastAsia="Times" w:cs="Andalus"/>
        </w:rPr>
        <w:t xml:space="preserve"> to identify their ‘outstanding’ area</w:t>
      </w:r>
      <w:r w:rsidR="00BF4CAF">
        <w:rPr>
          <w:rFonts w:eastAsia="Times" w:cs="Andalus"/>
        </w:rPr>
        <w:t>s</w:t>
      </w:r>
      <w:r w:rsidRPr="005511C7">
        <w:rPr>
          <w:rFonts w:eastAsia="Times" w:cs="Andalus"/>
        </w:rPr>
        <w:t xml:space="preserve"> of expertise or skill. Failure is unthinkable in this school</w:t>
      </w:r>
      <w:r w:rsidR="00BF4CAF">
        <w:rPr>
          <w:rFonts w:eastAsia="Times" w:cs="Andalus"/>
        </w:rPr>
        <w:t>,</w:t>
      </w:r>
      <w:r w:rsidRPr="005511C7">
        <w:rPr>
          <w:rFonts w:eastAsia="Times" w:cs="Andalus"/>
        </w:rPr>
        <w:t xml:space="preserve"> and all o</w:t>
      </w:r>
      <w:r w:rsidR="003D1A8E">
        <w:rPr>
          <w:rFonts w:eastAsia="Times" w:cs="Andalus"/>
        </w:rPr>
        <w:t>f the learners</w:t>
      </w:r>
      <w:r w:rsidRPr="005511C7">
        <w:rPr>
          <w:rFonts w:eastAsia="Times" w:cs="Andalus"/>
        </w:rPr>
        <w:t xml:space="preserve"> are deemed to be special. In essence, the </w:t>
      </w:r>
      <w:r w:rsidR="00BF4CAF">
        <w:rPr>
          <w:rFonts w:eastAsia="Times" w:cs="Andalus"/>
        </w:rPr>
        <w:t>school boosts learners’</w:t>
      </w:r>
      <w:r w:rsidRPr="005511C7">
        <w:rPr>
          <w:rFonts w:eastAsia="Times" w:cs="Andalus"/>
        </w:rPr>
        <w:t xml:space="preserve"> self-worth at a critical period of school transition when </w:t>
      </w:r>
      <w:r>
        <w:rPr>
          <w:rFonts w:eastAsia="Times" w:cs="Andalus"/>
        </w:rPr>
        <w:t xml:space="preserve">individuals </w:t>
      </w:r>
      <w:r w:rsidRPr="005511C7">
        <w:rPr>
          <w:rFonts w:eastAsia="Times" w:cs="Andalus"/>
        </w:rPr>
        <w:t>may be feelin</w:t>
      </w:r>
      <w:r w:rsidR="00BF4CAF">
        <w:rPr>
          <w:rFonts w:eastAsia="Times" w:cs="Andalus"/>
        </w:rPr>
        <w:t>g particularly vulnerable. Learner</w:t>
      </w:r>
      <w:r w:rsidRPr="005511C7">
        <w:rPr>
          <w:rFonts w:eastAsia="Times" w:cs="Andalus"/>
        </w:rPr>
        <w:t xml:space="preserve"> self-worth is clearly linked to positive progress through the educational system.</w:t>
      </w:r>
      <w:r w:rsidR="009139BD">
        <w:rPr>
          <w:rFonts w:eastAsia="Times" w:cs="Andalus"/>
        </w:rPr>
        <w:t xml:space="preserve"> Listen to the </w:t>
      </w:r>
      <w:hyperlink r:id="rId18" w:history="1">
        <w:r w:rsidR="009139BD" w:rsidRPr="009139BD">
          <w:rPr>
            <w:rStyle w:val="Hyperlink"/>
            <w:rFonts w:eastAsia="Times" w:cs="Andalus"/>
          </w:rPr>
          <w:t>Headteacher’s podcast</w:t>
        </w:r>
      </w:hyperlink>
      <w:r w:rsidR="009139BD">
        <w:rPr>
          <w:rFonts w:eastAsia="Times" w:cs="Andalus"/>
        </w:rPr>
        <w:t>.</w:t>
      </w:r>
    </w:p>
    <w:p w:rsidR="002C5611" w:rsidRPr="009B112C" w:rsidRDefault="002D1735" w:rsidP="002D1735">
      <w:pPr>
        <w:pStyle w:val="BCSParagraph"/>
        <w:rPr>
          <w:rFonts w:eastAsia="Times" w:cs="Andalus"/>
        </w:rPr>
      </w:pPr>
      <w:r>
        <w:rPr>
          <w:rFonts w:eastAsia="Times"/>
        </w:rPr>
        <w:t xml:space="preserve">A further example from </w:t>
      </w:r>
      <w:r w:rsidR="00BF4CAF">
        <w:rPr>
          <w:rFonts w:eastAsia="Times"/>
        </w:rPr>
        <w:t>S</w:t>
      </w:r>
      <w:r w:rsidR="002C5611" w:rsidRPr="005511C7">
        <w:rPr>
          <w:rFonts w:eastAsia="Times"/>
        </w:rPr>
        <w:t xml:space="preserve">chool </w:t>
      </w:r>
      <w:r w:rsidR="002C5611">
        <w:rPr>
          <w:rFonts w:eastAsia="Times"/>
        </w:rPr>
        <w:t>4</w:t>
      </w:r>
      <w:r>
        <w:rPr>
          <w:rFonts w:eastAsia="Times"/>
        </w:rPr>
        <w:t xml:space="preserve"> is their ability to</w:t>
      </w:r>
      <w:r w:rsidR="002C5611" w:rsidRPr="005511C7">
        <w:rPr>
          <w:rFonts w:eastAsia="Times"/>
        </w:rPr>
        <w:t xml:space="preserve"> target specific</w:t>
      </w:r>
      <w:r w:rsidR="00BF4CAF">
        <w:rPr>
          <w:rFonts w:eastAsia="Times"/>
        </w:rPr>
        <w:t xml:space="preserve"> learner</w:t>
      </w:r>
      <w:r w:rsidR="002C5611" w:rsidRPr="005511C7">
        <w:rPr>
          <w:rFonts w:eastAsia="Times"/>
        </w:rPr>
        <w:t>s who have the potential to r</w:t>
      </w:r>
      <w:r w:rsidR="004A754C">
        <w:rPr>
          <w:rFonts w:eastAsia="Times"/>
        </w:rPr>
        <w:t>each the national benchmark of five</w:t>
      </w:r>
      <w:r w:rsidR="002C5611" w:rsidRPr="005511C7">
        <w:rPr>
          <w:rFonts w:eastAsia="Times"/>
        </w:rPr>
        <w:t xml:space="preserve"> good GCSEs</w:t>
      </w:r>
      <w:r w:rsidR="002C5611">
        <w:rPr>
          <w:rFonts w:eastAsia="Times"/>
        </w:rPr>
        <w:t>.</w:t>
      </w:r>
    </w:p>
    <w:p w:rsidR="002C5611" w:rsidRPr="002E6501" w:rsidRDefault="002C5611" w:rsidP="00517935">
      <w:pPr>
        <w:pStyle w:val="BCSParagraph"/>
        <w:ind w:left="567"/>
      </w:pPr>
      <w:r w:rsidRPr="005511C7">
        <w:t>Identif</w:t>
      </w:r>
      <w:r w:rsidR="00BF4CAF">
        <w:t>ication of underachieving students at the end of Y</w:t>
      </w:r>
      <w:r w:rsidRPr="005511C7">
        <w:t>ear 10 was the first step to designing a personalise</w:t>
      </w:r>
      <w:r>
        <w:t>d</w:t>
      </w:r>
      <w:r w:rsidRPr="005511C7">
        <w:t xml:space="preserve"> programme of support for </w:t>
      </w:r>
      <w:r w:rsidR="00BF4CAF">
        <w:t>each student</w:t>
      </w:r>
      <w:r>
        <w:t>.</w:t>
      </w:r>
      <w:r w:rsidR="00BF4CAF">
        <w:t xml:space="preserve"> Each student</w:t>
      </w:r>
      <w:r w:rsidRPr="005511C7">
        <w:t xml:space="preserve"> was allocated a personal mentor</w:t>
      </w:r>
      <w:r w:rsidR="00BF4CAF">
        <w:t>,</w:t>
      </w:r>
      <w:r w:rsidRPr="005511C7">
        <w:t xml:space="preserve"> and his or her progress was monitored throughout the year. This has allowed the school to i</w:t>
      </w:r>
      <w:r w:rsidR="00BF4CAF">
        <w:t>ncrease its percentage of students</w:t>
      </w:r>
      <w:r w:rsidR="004A754C">
        <w:t xml:space="preserve"> attaining five</w:t>
      </w:r>
      <w:r w:rsidRPr="005511C7">
        <w:t xml:space="preserve"> GCSEs. </w:t>
      </w:r>
      <w:r w:rsidRPr="002E6501">
        <w:t xml:space="preserve">The </w:t>
      </w:r>
      <w:r w:rsidR="00BF4CAF">
        <w:t>detailed knowledge of each learner</w:t>
      </w:r>
      <w:r w:rsidRPr="002E6501">
        <w:t xml:space="preserve"> provided by the system allowed teachers to produce a more targeted programme of wor</w:t>
      </w:r>
      <w:r w:rsidR="00BF4CAF">
        <w:t xml:space="preserve">k for each individual. The learner </w:t>
      </w:r>
      <w:r w:rsidRPr="002E6501">
        <w:t>was provided quick and informed knowledge of when things were going right and when they were going wrong. The former proved to very motivating while the latter helped individuals to reduce errors in thinking before they became fossilised in their mind</w:t>
      </w:r>
      <w:r w:rsidR="00BF4CAF">
        <w:t>s</w:t>
      </w:r>
      <w:r w:rsidRPr="002E6501">
        <w:t>.</w:t>
      </w:r>
    </w:p>
    <w:p w:rsidR="002C5611" w:rsidRPr="00BF4CAF" w:rsidRDefault="002C5611" w:rsidP="00142833">
      <w:pPr>
        <w:pStyle w:val="BCSParagraph"/>
        <w:ind w:left="4536"/>
      </w:pPr>
      <w:r w:rsidRPr="00BF4CAF">
        <w:t xml:space="preserve">Secondary </w:t>
      </w:r>
      <w:r w:rsidR="00BF4CAF" w:rsidRPr="00BF4CAF">
        <w:t xml:space="preserve">4, </w:t>
      </w:r>
      <w:r w:rsidR="0006048F">
        <w:t>S</w:t>
      </w:r>
      <w:r w:rsidR="00BF4CAF" w:rsidRPr="00BF4CAF">
        <w:t>enior management team</w:t>
      </w:r>
    </w:p>
    <w:p w:rsidR="002C5611" w:rsidRPr="00AD387F" w:rsidRDefault="002C5611" w:rsidP="009B112C">
      <w:pPr>
        <w:pStyle w:val="BCSParagraph"/>
        <w:ind w:left="567"/>
      </w:pPr>
      <w:r w:rsidRPr="00AD387F">
        <w:t>This school h</w:t>
      </w:r>
      <w:r w:rsidR="004C7C4B">
        <w:t xml:space="preserve">as specifically set out </w:t>
      </w:r>
      <w:r w:rsidRPr="00AD387F">
        <w:t>to support under</w:t>
      </w:r>
      <w:r w:rsidR="00BF4CAF">
        <w:t xml:space="preserve">achieving students through its </w:t>
      </w:r>
      <w:r w:rsidRPr="00AD387F">
        <w:t>Perso</w:t>
      </w:r>
      <w:r w:rsidR="00BF4CAF">
        <w:t>nalised Learning Project with Y</w:t>
      </w:r>
      <w:r w:rsidRPr="00AD387F">
        <w:t xml:space="preserve">ears 8-10. </w:t>
      </w:r>
      <w:r w:rsidR="00BF4CAF">
        <w:t>The LA-</w:t>
      </w:r>
      <w:r w:rsidRPr="00AD387F">
        <w:t xml:space="preserve">funded </w:t>
      </w:r>
      <w:r>
        <w:t xml:space="preserve">project </w:t>
      </w:r>
      <w:r w:rsidRPr="00AD387F">
        <w:t>is aimed at those not maki</w:t>
      </w:r>
      <w:r w:rsidR="00BF4CAF">
        <w:t>ng two</w:t>
      </w:r>
      <w:r w:rsidRPr="00AD387F">
        <w:t xml:space="preserve"> levels of progress as predicted in key c</w:t>
      </w:r>
      <w:r w:rsidR="00BF4CAF">
        <w:t>urriculum areas of English and m</w:t>
      </w:r>
      <w:r w:rsidRPr="00AD387F">
        <w:t>athematics. The</w:t>
      </w:r>
      <w:r w:rsidR="00BF4CAF">
        <w:t xml:space="preserve"> school actively uses LA and in-</w:t>
      </w:r>
      <w:r w:rsidRPr="00AD387F">
        <w:t>house target-setting and achievement data to determine the groups. These groups include those achieving above national norms but below their identified personal potential. The strategy is not centred around the C/D borderline (as</w:t>
      </w:r>
      <w:r w:rsidR="004C7C4B">
        <w:t xml:space="preserve"> is</w:t>
      </w:r>
      <w:r w:rsidRPr="00AD387F">
        <w:t xml:space="preserve"> often found) but simply on the</w:t>
      </w:r>
      <w:r w:rsidR="004C7C4B">
        <w:t xml:space="preserve"> metric of failing to progress two target points over the year. Two teaching a</w:t>
      </w:r>
      <w:r w:rsidRPr="00AD387F">
        <w:t>ssistants have been employed specifically to work w</w:t>
      </w:r>
      <w:r w:rsidR="004C7C4B">
        <w:t>ith Year 8 and 10 students</w:t>
      </w:r>
      <w:r w:rsidRPr="00AD387F">
        <w:t xml:space="preserve"> to raise educational awareness and progress. </w:t>
      </w:r>
    </w:p>
    <w:p w:rsidR="002C5611" w:rsidRPr="00AD387F" w:rsidRDefault="002C5611" w:rsidP="00142833">
      <w:pPr>
        <w:pStyle w:val="BCSParagraph"/>
        <w:ind w:left="4536"/>
      </w:pPr>
      <w:r w:rsidRPr="00AD387F">
        <w:t>Secondary 5</w:t>
      </w:r>
      <w:r w:rsidR="0006048F">
        <w:t>, H</w:t>
      </w:r>
      <w:r w:rsidR="00A76FA5">
        <w:t>ead</w:t>
      </w:r>
      <w:r>
        <w:t>teacher</w:t>
      </w:r>
    </w:p>
    <w:p w:rsidR="002C5611" w:rsidRPr="005070C6" w:rsidRDefault="002C5611" w:rsidP="009B112C">
      <w:pPr>
        <w:pStyle w:val="BCSParagraph"/>
        <w:rPr>
          <w:lang w:val="en-US"/>
        </w:rPr>
      </w:pPr>
      <w:r w:rsidRPr="00FD0585">
        <w:rPr>
          <w:rFonts w:eastAsia="Times" w:cs="Andalus"/>
        </w:rPr>
        <w:t xml:space="preserve">Differences in framing educational goals were also found within </w:t>
      </w:r>
      <w:r>
        <w:rPr>
          <w:rFonts w:eastAsia="Times" w:cs="Andalus"/>
        </w:rPr>
        <w:t xml:space="preserve">one </w:t>
      </w:r>
      <w:r w:rsidR="00A76FA5">
        <w:rPr>
          <w:rFonts w:eastAsia="Times" w:cs="Andalus"/>
        </w:rPr>
        <w:t>local authority</w:t>
      </w:r>
      <w:r w:rsidRPr="00FD0585">
        <w:rPr>
          <w:rFonts w:eastAsia="Times" w:cs="Andalus"/>
        </w:rPr>
        <w:t>.</w:t>
      </w:r>
      <w:r w:rsidRPr="005511C7">
        <w:rPr>
          <w:rFonts w:eastAsia="Times" w:cs="Andalus"/>
        </w:rPr>
        <w:t xml:space="preserve"> </w:t>
      </w:r>
      <w:r>
        <w:rPr>
          <w:lang w:val="en-US"/>
        </w:rPr>
        <w:t>Schools from this</w:t>
      </w:r>
      <w:r w:rsidR="00A76FA5">
        <w:rPr>
          <w:lang w:val="en-US"/>
        </w:rPr>
        <w:t xml:space="preserve"> local authority</w:t>
      </w:r>
      <w:r w:rsidRPr="005070C6">
        <w:rPr>
          <w:lang w:val="en-US"/>
        </w:rPr>
        <w:t xml:space="preserve"> </w:t>
      </w:r>
      <w:r>
        <w:rPr>
          <w:lang w:val="en-US"/>
        </w:rPr>
        <w:t>have access to</w:t>
      </w:r>
      <w:r w:rsidRPr="005070C6">
        <w:rPr>
          <w:lang w:val="en-US"/>
        </w:rPr>
        <w:t xml:space="preserve"> similar sets of data</w:t>
      </w:r>
      <w:r>
        <w:rPr>
          <w:lang w:val="en-US"/>
        </w:rPr>
        <w:t xml:space="preserve"> from which they are able to </w:t>
      </w:r>
      <w:r w:rsidRPr="005070C6">
        <w:rPr>
          <w:lang w:val="en-US"/>
        </w:rPr>
        <w:t>bu</w:t>
      </w:r>
      <w:r>
        <w:rPr>
          <w:lang w:val="en-US"/>
        </w:rPr>
        <w:t xml:space="preserve">ild </w:t>
      </w:r>
      <w:r w:rsidRPr="005070C6">
        <w:rPr>
          <w:lang w:val="en-US"/>
        </w:rPr>
        <w:t>a pic</w:t>
      </w:r>
      <w:r>
        <w:rPr>
          <w:lang w:val="en-US"/>
        </w:rPr>
        <w:t xml:space="preserve">ture of each individual’s </w:t>
      </w:r>
      <w:r w:rsidRPr="005070C6">
        <w:rPr>
          <w:lang w:val="en-US"/>
        </w:rPr>
        <w:t>pe</w:t>
      </w:r>
      <w:r>
        <w:rPr>
          <w:lang w:val="en-US"/>
        </w:rPr>
        <w:t>rformance and potential. Three</w:t>
      </w:r>
      <w:r w:rsidRPr="005070C6">
        <w:rPr>
          <w:lang w:val="en-US"/>
        </w:rPr>
        <w:t xml:space="preserve"> schools</w:t>
      </w:r>
      <w:r>
        <w:rPr>
          <w:lang w:val="en-US"/>
        </w:rPr>
        <w:t xml:space="preserve"> are</w:t>
      </w:r>
      <w:r w:rsidRPr="005070C6">
        <w:rPr>
          <w:lang w:val="en-US"/>
        </w:rPr>
        <w:t xml:space="preserve"> us</w:t>
      </w:r>
      <w:r>
        <w:rPr>
          <w:lang w:val="en-US"/>
        </w:rPr>
        <w:t>ing</w:t>
      </w:r>
      <w:r w:rsidRPr="005070C6">
        <w:rPr>
          <w:lang w:val="en-US"/>
        </w:rPr>
        <w:t xml:space="preserve"> th</w:t>
      </w:r>
      <w:r>
        <w:rPr>
          <w:lang w:val="en-US"/>
        </w:rPr>
        <w:t>e</w:t>
      </w:r>
      <w:r w:rsidRPr="005070C6">
        <w:rPr>
          <w:lang w:val="en-US"/>
        </w:rPr>
        <w:t xml:space="preserve"> data to track the performance of learners and </w:t>
      </w:r>
      <w:r>
        <w:rPr>
          <w:lang w:val="en-US"/>
        </w:rPr>
        <w:t xml:space="preserve">also to </w:t>
      </w:r>
      <w:r w:rsidRPr="005070C6">
        <w:rPr>
          <w:lang w:val="en-US"/>
        </w:rPr>
        <w:t xml:space="preserve">address issues of low </w:t>
      </w:r>
      <w:r w:rsidR="004C7C4B">
        <w:rPr>
          <w:lang w:val="en-US"/>
        </w:rPr>
        <w:t xml:space="preserve">achievement </w:t>
      </w:r>
      <w:r w:rsidRPr="005070C6">
        <w:rPr>
          <w:lang w:val="en-US"/>
        </w:rPr>
        <w:t>and underachievement. However, they differ in the way</w:t>
      </w:r>
      <w:r w:rsidR="004C7C4B">
        <w:rPr>
          <w:lang w:val="en-US"/>
        </w:rPr>
        <w:t>s</w:t>
      </w:r>
      <w:r w:rsidRPr="005070C6">
        <w:rPr>
          <w:lang w:val="en-US"/>
        </w:rPr>
        <w:t xml:space="preserve"> they present th</w:t>
      </w:r>
      <w:r>
        <w:rPr>
          <w:lang w:val="en-US"/>
        </w:rPr>
        <w:t xml:space="preserve">e </w:t>
      </w:r>
      <w:r w:rsidRPr="005070C6">
        <w:rPr>
          <w:lang w:val="en-US"/>
        </w:rPr>
        <w:t>data to the</w:t>
      </w:r>
      <w:r w:rsidR="004C7C4B">
        <w:rPr>
          <w:lang w:val="en-US"/>
        </w:rPr>
        <w:t>ir learner</w:t>
      </w:r>
      <w:r>
        <w:rPr>
          <w:lang w:val="en-US"/>
        </w:rPr>
        <w:t>s</w:t>
      </w:r>
      <w:r w:rsidRPr="005070C6">
        <w:rPr>
          <w:lang w:val="en-US"/>
        </w:rPr>
        <w:t xml:space="preserve">. </w:t>
      </w:r>
    </w:p>
    <w:p w:rsidR="002C5611" w:rsidRPr="008D5366" w:rsidRDefault="002C5611" w:rsidP="009B112C">
      <w:pPr>
        <w:pStyle w:val="BCSParagraph"/>
      </w:pPr>
      <w:r w:rsidRPr="008D5366">
        <w:rPr>
          <w:lang w:val="en-US"/>
        </w:rPr>
        <w:t xml:space="preserve">At </w:t>
      </w:r>
      <w:r w:rsidR="004C7C4B">
        <w:rPr>
          <w:lang w:val="en-US"/>
        </w:rPr>
        <w:t>S</w:t>
      </w:r>
      <w:r>
        <w:rPr>
          <w:lang w:val="en-US"/>
        </w:rPr>
        <w:t>chool 9</w:t>
      </w:r>
      <w:r w:rsidRPr="008D5366">
        <w:rPr>
          <w:lang w:val="en-US"/>
        </w:rPr>
        <w:t xml:space="preserve">, </w:t>
      </w:r>
      <w:r w:rsidR="004C7C4B" w:rsidRPr="008D5366">
        <w:rPr>
          <w:lang w:val="en-US"/>
        </w:rPr>
        <w:t>before receiving their individual profile</w:t>
      </w:r>
      <w:r w:rsidR="004C7C4B">
        <w:rPr>
          <w:lang w:val="en-US"/>
        </w:rPr>
        <w:t>s</w:t>
      </w:r>
      <w:r w:rsidR="004C7C4B" w:rsidRPr="008D5366">
        <w:rPr>
          <w:lang w:val="en-US"/>
        </w:rPr>
        <w:t xml:space="preserve"> </w:t>
      </w:r>
      <w:r w:rsidRPr="008D5366">
        <w:rPr>
          <w:lang w:val="en-US"/>
        </w:rPr>
        <w:t>all learners attend an assembly at which the key message is that ‘attitude not ability’ is the key determinant of academic success. They are then shown their individual profile</w:t>
      </w:r>
      <w:r w:rsidR="004C7C4B">
        <w:rPr>
          <w:lang w:val="en-US"/>
        </w:rPr>
        <w:t>s</w:t>
      </w:r>
      <w:r w:rsidRPr="008D5366">
        <w:rPr>
          <w:lang w:val="en-US"/>
        </w:rPr>
        <w:t xml:space="preserve"> based on </w:t>
      </w:r>
      <w:r w:rsidR="00D0779F">
        <w:rPr>
          <w:lang w:val="en-US"/>
        </w:rPr>
        <w:t>value added performance</w:t>
      </w:r>
      <w:r w:rsidRPr="008D5366">
        <w:rPr>
          <w:lang w:val="en-US"/>
        </w:rPr>
        <w:t xml:space="preserve"> data. </w:t>
      </w:r>
      <w:r w:rsidRPr="008D5366">
        <w:t xml:space="preserve">Learners are shown a </w:t>
      </w:r>
      <w:r w:rsidR="004C7C4B">
        <w:t xml:space="preserve">range of possible outcomes </w:t>
      </w:r>
      <w:r w:rsidRPr="008D5366">
        <w:t>they can achieve depending on their level of engagement with their learni</w:t>
      </w:r>
      <w:r w:rsidR="004C7C4B">
        <w:t>ng. This profile is based on</w:t>
      </w:r>
      <w:r w:rsidRPr="008D5366">
        <w:t xml:space="preserve"> the concept of ‘learners like you’, which shows the learner how individuals of similar ability went on to achieve. The school does not give single gr</w:t>
      </w:r>
      <w:r w:rsidR="004C7C4B">
        <w:t xml:space="preserve">ade targets for each subject, which they believe </w:t>
      </w:r>
      <w:r w:rsidRPr="008D5366">
        <w:t>can be de</w:t>
      </w:r>
      <w:r>
        <w:t>-</w:t>
      </w:r>
      <w:r w:rsidRPr="008D5366">
        <w:t>motivating, but prefers instead to give the range of possible outcomes for similar learners.</w:t>
      </w:r>
    </w:p>
    <w:p w:rsidR="002C5611" w:rsidRPr="008D5366" w:rsidRDefault="004C7C4B" w:rsidP="009B112C">
      <w:pPr>
        <w:pStyle w:val="BCSParagraph"/>
      </w:pPr>
      <w:r>
        <w:t>In contrast, S</w:t>
      </w:r>
      <w:r w:rsidR="002C5611" w:rsidRPr="008D5366">
        <w:t xml:space="preserve">chool </w:t>
      </w:r>
      <w:r w:rsidR="002C5611">
        <w:t xml:space="preserve">10 </w:t>
      </w:r>
      <w:r w:rsidR="002C5611" w:rsidRPr="008D5366">
        <w:t>uses the profile data to provide clear gr</w:t>
      </w:r>
      <w:r>
        <w:t>ade targets for learners. Learners</w:t>
      </w:r>
      <w:r w:rsidR="002C5611" w:rsidRPr="008D5366">
        <w:t xml:space="preserve"> receive a folder with a series of letters on the front representing their target grades for the subjects they are studying.</w:t>
      </w:r>
    </w:p>
    <w:p w:rsidR="009B112C" w:rsidRDefault="004C7C4B" w:rsidP="009B112C">
      <w:pPr>
        <w:pStyle w:val="BCSParagraph"/>
        <w:rPr>
          <w:bCs/>
        </w:rPr>
      </w:pPr>
      <w:r>
        <w:t>Finally, S</w:t>
      </w:r>
      <w:r w:rsidR="002C5611">
        <w:t xml:space="preserve">chool 11 </w:t>
      </w:r>
      <w:r w:rsidR="002C5611">
        <w:rPr>
          <w:rFonts w:cs="Courier New"/>
        </w:rPr>
        <w:t xml:space="preserve">not only allows all learners access to their grades, </w:t>
      </w:r>
      <w:r w:rsidR="002079E2">
        <w:rPr>
          <w:rFonts w:cs="Courier New"/>
        </w:rPr>
        <w:t xml:space="preserve">but also makes </w:t>
      </w:r>
      <w:r w:rsidR="002C5611">
        <w:rPr>
          <w:rFonts w:cs="Courier New"/>
        </w:rPr>
        <w:t>each learner’</w:t>
      </w:r>
      <w:r w:rsidR="002079E2">
        <w:rPr>
          <w:rFonts w:cs="Courier New"/>
        </w:rPr>
        <w:t>s progression available to all other learner</w:t>
      </w:r>
      <w:r w:rsidR="002C5611">
        <w:rPr>
          <w:rFonts w:cs="Courier New"/>
        </w:rPr>
        <w:t xml:space="preserve">s in that particular class. The school </w:t>
      </w:r>
      <w:r w:rsidR="002079E2">
        <w:rPr>
          <w:bCs/>
        </w:rPr>
        <w:t>has a ‘top 100</w:t>
      </w:r>
      <w:r w:rsidR="002C5611">
        <w:rPr>
          <w:bCs/>
        </w:rPr>
        <w:t xml:space="preserve"> learners</w:t>
      </w:r>
      <w:r w:rsidR="002079E2">
        <w:rPr>
          <w:bCs/>
        </w:rPr>
        <w:t>’</w:t>
      </w:r>
      <w:r w:rsidR="002C5611">
        <w:rPr>
          <w:bCs/>
        </w:rPr>
        <w:t xml:space="preserve"> list which is made public througho</w:t>
      </w:r>
      <w:r w:rsidR="002079E2">
        <w:rPr>
          <w:bCs/>
        </w:rPr>
        <w:t>ut the school. The factors that</w:t>
      </w:r>
      <w:r w:rsidR="002C5611">
        <w:rPr>
          <w:bCs/>
        </w:rPr>
        <w:t xml:space="preserve"> contribute to a learner</w:t>
      </w:r>
      <w:r w:rsidR="002079E2">
        <w:rPr>
          <w:bCs/>
        </w:rPr>
        <w:t>’s place within</w:t>
      </w:r>
      <w:r w:rsidR="002C5611">
        <w:rPr>
          <w:bCs/>
        </w:rPr>
        <w:t xml:space="preserve"> the list are: attendance and punctuality, mer</w:t>
      </w:r>
      <w:r w:rsidR="002079E2">
        <w:rPr>
          <w:bCs/>
        </w:rPr>
        <w:t>its, target grades and achievement of</w:t>
      </w:r>
      <w:r w:rsidR="002C5611">
        <w:rPr>
          <w:bCs/>
        </w:rPr>
        <w:t xml:space="preserve"> targets. The school argues </w:t>
      </w:r>
      <w:r w:rsidR="002079E2">
        <w:rPr>
          <w:bCs/>
        </w:rPr>
        <w:t xml:space="preserve">that </w:t>
      </w:r>
      <w:r w:rsidR="002C5611">
        <w:rPr>
          <w:bCs/>
        </w:rPr>
        <w:t>this approach motivates learners</w:t>
      </w:r>
      <w:r w:rsidR="002079E2">
        <w:rPr>
          <w:bCs/>
        </w:rPr>
        <w:t>,</w:t>
      </w:r>
      <w:r w:rsidR="002C5611">
        <w:rPr>
          <w:bCs/>
        </w:rPr>
        <w:t xml:space="preserve"> and some even request the full list to see where they are pla</w:t>
      </w:r>
      <w:r w:rsidR="002079E2">
        <w:rPr>
          <w:bCs/>
        </w:rPr>
        <w:t>ced in the list of 200 learners</w:t>
      </w:r>
      <w:r w:rsidR="002C5611">
        <w:rPr>
          <w:bCs/>
        </w:rPr>
        <w:t xml:space="preserve"> each school year. </w:t>
      </w:r>
    </w:p>
    <w:p w:rsidR="002C5611" w:rsidRPr="009B112C" w:rsidRDefault="002C5611" w:rsidP="009B112C">
      <w:pPr>
        <w:pStyle w:val="BCSParagraph"/>
      </w:pPr>
      <w:r w:rsidRPr="008D5366">
        <w:t xml:space="preserve">The effectiveness of these </w:t>
      </w:r>
      <w:r>
        <w:t xml:space="preserve">different strategies in raising the performance of </w:t>
      </w:r>
      <w:r w:rsidRPr="008D5366">
        <w:t>low</w:t>
      </w:r>
      <w:r w:rsidR="002079E2">
        <w:t>-achieving</w:t>
      </w:r>
      <w:r w:rsidRPr="008D5366">
        <w:t xml:space="preserve"> and underachieving pupils needs further exploration.</w:t>
      </w:r>
    </w:p>
    <w:p w:rsidR="002C5611" w:rsidRPr="00AD387F" w:rsidRDefault="002079E2" w:rsidP="009B112C">
      <w:pPr>
        <w:pStyle w:val="BCSParagraph"/>
        <w:ind w:left="567"/>
      </w:pPr>
      <w:r>
        <w:t>The response to</w:t>
      </w:r>
      <w:r w:rsidR="002C5611">
        <w:t xml:space="preserve"> monitoring </w:t>
      </w:r>
      <w:r>
        <w:t>is varied but the Year 7, 8 and 9 reading groups are</w:t>
      </w:r>
      <w:r w:rsidR="002C5611" w:rsidRPr="00AD387F">
        <w:t xml:space="preserve"> typical of the strategies emerging f</w:t>
      </w:r>
      <w:r w:rsidR="002C5611">
        <w:t>ro</w:t>
      </w:r>
      <w:r w:rsidR="002C5611" w:rsidRPr="00AD387F">
        <w:t xml:space="preserve">m reflection on the data. This school set up a peer mentoring programme where older students help and coach those struggling with basic literacy skills. </w:t>
      </w:r>
      <w:r w:rsidR="002C5611">
        <w:t>This strategy aims</w:t>
      </w:r>
      <w:r w:rsidR="002C5611" w:rsidRPr="00AD387F">
        <w:t xml:space="preserve"> to raise abilities early to avoid later literacy difficulties. </w:t>
      </w:r>
    </w:p>
    <w:p w:rsidR="002C5611" w:rsidRPr="00AD387F" w:rsidRDefault="002C5611" w:rsidP="002079E2">
      <w:pPr>
        <w:pStyle w:val="BCSParagraph"/>
        <w:ind w:left="4536"/>
      </w:pPr>
      <w:r w:rsidRPr="00AD387F">
        <w:t>S</w:t>
      </w:r>
      <w:r>
        <w:t>econdary</w:t>
      </w:r>
      <w:r w:rsidRPr="00AD387F">
        <w:t xml:space="preserve"> 4</w:t>
      </w:r>
      <w:r w:rsidR="0006048F">
        <w:t>, S</w:t>
      </w:r>
      <w:r w:rsidR="002079E2">
        <w:t>enior management team</w:t>
      </w:r>
      <w:r w:rsidRPr="00AD387F">
        <w:t xml:space="preserve"> </w:t>
      </w:r>
    </w:p>
    <w:p w:rsidR="002C5611" w:rsidRPr="00DF0048" w:rsidRDefault="002C5611" w:rsidP="00D64592">
      <w:pPr>
        <w:pStyle w:val="BCSHeadingC"/>
        <w:rPr>
          <w:lang w:val="en-US"/>
        </w:rPr>
      </w:pPr>
      <w:bookmarkStart w:id="86" w:name="_Toc248222212"/>
      <w:bookmarkStart w:id="87" w:name="_Toc248651418"/>
      <w:bookmarkStart w:id="88" w:name="_Toc248651461"/>
      <w:bookmarkStart w:id="89" w:name="_Toc248651609"/>
      <w:bookmarkStart w:id="90" w:name="_Toc248652466"/>
      <w:r w:rsidRPr="00DF0048">
        <w:rPr>
          <w:lang w:val="en-US"/>
        </w:rPr>
        <w:t>Readiness for learning</w:t>
      </w:r>
      <w:bookmarkEnd w:id="86"/>
      <w:bookmarkEnd w:id="87"/>
      <w:bookmarkEnd w:id="88"/>
      <w:bookmarkEnd w:id="89"/>
      <w:bookmarkEnd w:id="90"/>
    </w:p>
    <w:p w:rsidR="002C5611" w:rsidRDefault="007F5AD8" w:rsidP="00D64592">
      <w:pPr>
        <w:pStyle w:val="BCSParagraph"/>
      </w:pPr>
      <w:r>
        <w:rPr>
          <w:lang w:val="en-US"/>
        </w:rPr>
        <w:t>Monitoring learners’</w:t>
      </w:r>
      <w:r w:rsidR="002C5611">
        <w:rPr>
          <w:lang w:val="en-US"/>
        </w:rPr>
        <w:t xml:space="preserve"> behaviour and performance</w:t>
      </w:r>
      <w:r w:rsidR="002C5611" w:rsidRPr="005070C6">
        <w:rPr>
          <w:lang w:val="en-US"/>
        </w:rPr>
        <w:t xml:space="preserve"> fulfills the essential functions of increasing individual attendance in school and providing the t</w:t>
      </w:r>
      <w:r>
        <w:rPr>
          <w:lang w:val="en-US"/>
        </w:rPr>
        <w:t>eacher, the parent and the learner</w:t>
      </w:r>
      <w:r w:rsidR="002C5611" w:rsidRPr="005070C6">
        <w:rPr>
          <w:lang w:val="en-US"/>
        </w:rPr>
        <w:t xml:space="preserve"> with detailed knowledge of behaviour and performance. </w:t>
      </w:r>
      <w:r w:rsidR="002C5611">
        <w:t>A key message from the schools is that learners must be ‘ready to learn’ before they can engage effectively with school. This resonates with the research literature</w:t>
      </w:r>
      <w:r>
        <w:t>,</w:t>
      </w:r>
      <w:r w:rsidR="002C5611">
        <w:t xml:space="preserve"> which shows that low </w:t>
      </w:r>
      <w:r>
        <w:t xml:space="preserve">achievers </w:t>
      </w:r>
      <w:r w:rsidR="002C5611">
        <w:t>and under</w:t>
      </w:r>
      <w:r w:rsidR="002C5611" w:rsidRPr="005070C6">
        <w:t>achievers have weak basic cognitive skills and are not prepared for the act of learning; that is</w:t>
      </w:r>
      <w:r>
        <w:t>,</w:t>
      </w:r>
      <w:r w:rsidR="002C5611" w:rsidRPr="005070C6">
        <w:t xml:space="preserve"> some children are ill-equipped for school</w:t>
      </w:r>
      <w:r w:rsidR="002C5611">
        <w:rPr>
          <w:rStyle w:val="FootnoteReference"/>
          <w:rFonts w:eastAsia="Calibri"/>
        </w:rPr>
        <w:footnoteReference w:id="13"/>
      </w:r>
      <w:r w:rsidR="002C5611">
        <w:t>.</w:t>
      </w:r>
      <w:r w:rsidR="002C5611" w:rsidRPr="005070C6">
        <w:t xml:space="preserve"> </w:t>
      </w:r>
    </w:p>
    <w:p w:rsidR="002C5611" w:rsidRDefault="002C5611" w:rsidP="00D64592">
      <w:pPr>
        <w:pStyle w:val="BCSParagraph"/>
      </w:pPr>
      <w:r>
        <w:t>W</w:t>
      </w:r>
      <w:r w:rsidRPr="005070C6">
        <w:rPr>
          <w:lang w:val="en-US"/>
        </w:rPr>
        <w:t xml:space="preserve">e noted in the </w:t>
      </w:r>
      <w:hyperlink r:id="rId19" w:history="1">
        <w:r w:rsidRPr="001F33CC">
          <w:rPr>
            <w:rStyle w:val="Hyperlink"/>
            <w:lang w:val="en-US"/>
          </w:rPr>
          <w:t>literature review</w:t>
        </w:r>
      </w:hyperlink>
      <w:r>
        <w:rPr>
          <w:lang w:val="en-US"/>
        </w:rPr>
        <w:t xml:space="preserve"> </w:t>
      </w:r>
      <w:r w:rsidRPr="005070C6">
        <w:rPr>
          <w:lang w:val="en-US"/>
        </w:rPr>
        <w:t>that there was increa</w:t>
      </w:r>
      <w:r w:rsidR="007F5AD8">
        <w:rPr>
          <w:lang w:val="en-US"/>
        </w:rPr>
        <w:t>sing interest in preparing learners’</w:t>
      </w:r>
      <w:r w:rsidRPr="005070C6">
        <w:rPr>
          <w:lang w:val="en-US"/>
        </w:rPr>
        <w:t xml:space="preserve"> cognitive and affective skills so they can fully benefit from their life in school. </w:t>
      </w:r>
      <w:r>
        <w:t>This was also visible in the schools h</w:t>
      </w:r>
      <w:r w:rsidR="007F5AD8">
        <w:t>ere, with</w:t>
      </w:r>
      <w:r>
        <w:t xml:space="preserve"> a range </w:t>
      </w:r>
      <w:r w:rsidR="007F5AD8">
        <w:t xml:space="preserve">of intervention strategies, such as nurture groups and allotment groups, </w:t>
      </w:r>
      <w:r>
        <w:t>employed to suppo</w:t>
      </w:r>
      <w:r w:rsidR="007F5AD8">
        <w:t>rt learners who are of concern</w:t>
      </w:r>
      <w:r>
        <w:t xml:space="preserve">.   </w:t>
      </w:r>
    </w:p>
    <w:p w:rsidR="0006048F" w:rsidRDefault="0006048F" w:rsidP="001C13A5">
      <w:pPr>
        <w:pStyle w:val="BCSHeadingC"/>
      </w:pPr>
      <w:bookmarkStart w:id="91" w:name="_Toc248222213"/>
    </w:p>
    <w:p w:rsidR="002C5611" w:rsidRPr="00DF0048" w:rsidRDefault="003D1A8E" w:rsidP="001C13A5">
      <w:pPr>
        <w:pStyle w:val="BCSHeadingC"/>
      </w:pPr>
      <w:bookmarkStart w:id="92" w:name="_Toc248651419"/>
      <w:bookmarkStart w:id="93" w:name="_Toc248651462"/>
      <w:bookmarkStart w:id="94" w:name="_Toc248651610"/>
      <w:bookmarkStart w:id="95" w:name="_Toc248652467"/>
      <w:r>
        <w:t>Nurture g</w:t>
      </w:r>
      <w:r w:rsidR="002C5611" w:rsidRPr="00DF0048">
        <w:t>roups</w:t>
      </w:r>
      <w:bookmarkEnd w:id="91"/>
      <w:bookmarkEnd w:id="92"/>
      <w:bookmarkEnd w:id="93"/>
      <w:bookmarkEnd w:id="94"/>
      <w:bookmarkEnd w:id="95"/>
    </w:p>
    <w:p w:rsidR="002C5611" w:rsidRDefault="0006048F" w:rsidP="001C13A5">
      <w:pPr>
        <w:pStyle w:val="BCSParagraph"/>
      </w:pPr>
      <w:r>
        <w:t>Within a single local authority</w:t>
      </w:r>
      <w:r w:rsidR="002C5611">
        <w:t xml:space="preserve">, two primary schools use a strategy of nurture groups to support struggling learners. These groups are seen as key for pupils who </w:t>
      </w:r>
      <w:r w:rsidR="004D06B8">
        <w:t xml:space="preserve">struggle to concentrate for </w:t>
      </w:r>
      <w:r w:rsidR="002C5611">
        <w:t>an e</w:t>
      </w:r>
      <w:r w:rsidR="004D06B8">
        <w:t xml:space="preserve">xtended period within a lesson and </w:t>
      </w:r>
      <w:r w:rsidR="002C5611">
        <w:t>who nee</w:t>
      </w:r>
      <w:r w:rsidR="004D06B8">
        <w:t xml:space="preserve">d extra support in building up </w:t>
      </w:r>
      <w:r w:rsidR="002C5611">
        <w:t>social and emotional skills.</w:t>
      </w:r>
    </w:p>
    <w:p w:rsidR="002C5611" w:rsidRDefault="002C5611" w:rsidP="001C13A5">
      <w:pPr>
        <w:pStyle w:val="BCSParagraph"/>
        <w:ind w:left="567"/>
      </w:pPr>
      <w:r>
        <w:tab/>
      </w:r>
      <w:r w:rsidR="004D06B8">
        <w:t xml:space="preserve">Nurture groups are used </w:t>
      </w:r>
      <w:r w:rsidRPr="00BC282E">
        <w:t>to support learners who are not able to focus for a full period of a lesson. Such pupils are withdrawn from mainstream teaching</w:t>
      </w:r>
      <w:r>
        <w:t xml:space="preserve"> for a few sessions a week. These sessions in the nurture room are designed to ensure the learner is successful. Male learners have shown vast improvements in their motor skills from working o</w:t>
      </w:r>
      <w:r w:rsidR="004D06B8">
        <w:t>n a ‘Lego’ task. These alternative</w:t>
      </w:r>
      <w:r>
        <w:t xml:space="preserve"> activities boost self-esteem and confidence among a group of pupils who often see th</w:t>
      </w:r>
      <w:r w:rsidR="004D06B8">
        <w:t>emselves as failures and school-phobic</w:t>
      </w:r>
      <w:r>
        <w:t xml:space="preserve">.  </w:t>
      </w:r>
    </w:p>
    <w:p w:rsidR="002C5611" w:rsidRDefault="002C5611" w:rsidP="00142833">
      <w:pPr>
        <w:pStyle w:val="BCSParagraph"/>
        <w:ind w:left="4536"/>
      </w:pPr>
      <w:r>
        <w:rPr>
          <w:color w:val="FF0000"/>
        </w:rPr>
        <w:tab/>
      </w:r>
      <w:r>
        <w:rPr>
          <w:color w:val="FF0000"/>
        </w:rPr>
        <w:tab/>
      </w:r>
      <w:r>
        <w:rPr>
          <w:color w:val="FF0000"/>
        </w:rPr>
        <w:tab/>
      </w:r>
      <w:r w:rsidRPr="006C246E">
        <w:t>Primary 1</w:t>
      </w:r>
      <w:r w:rsidR="0006048F">
        <w:t>, Head</w:t>
      </w:r>
      <w:r>
        <w:t xml:space="preserve">teacher </w:t>
      </w:r>
    </w:p>
    <w:p w:rsidR="002C5611" w:rsidRPr="0063491B" w:rsidRDefault="002C5611" w:rsidP="001C13A5">
      <w:pPr>
        <w:pStyle w:val="BCSParagraph"/>
        <w:ind w:left="567"/>
      </w:pPr>
      <w:r>
        <w:t>The nurture unit in this school supports a small group of learners who require social, emotional and behavioural support. They work on social and emotional aspects of life, such as emotional feelings and friendships. The nurture unit is regarded as being beneficial to such learners, and demonstrates good improvement. Most children who receive support from the nurture unit spend the morning with their regular class before joining the unit after lunch.</w:t>
      </w:r>
      <w:r w:rsidRPr="0040292E">
        <w:t xml:space="preserve"> </w:t>
      </w:r>
      <w:r>
        <w:t>The unit make</w:t>
      </w:r>
      <w:r w:rsidR="004D06B8">
        <w:t>s</w:t>
      </w:r>
      <w:r>
        <w:t xml:space="preserve"> good use of ICT by using computers and in particular the </w:t>
      </w:r>
      <w:r w:rsidR="004D06B8">
        <w:t>Nin</w:t>
      </w:r>
      <w:r w:rsidRPr="00B55D7E">
        <w:t>tendo Wii</w:t>
      </w:r>
      <w:r>
        <w:t xml:space="preserve">. It is highlighted that the use of the </w:t>
      </w:r>
      <w:r w:rsidRPr="00B55D7E">
        <w:t>Wii</w:t>
      </w:r>
      <w:r>
        <w:t xml:space="preserve"> has seen improvements in learners’ hand-eye coor</w:t>
      </w:r>
      <w:r w:rsidR="004D06B8">
        <w:t xml:space="preserve">dination, balance, and in </w:t>
      </w:r>
      <w:r>
        <w:t>self-esteem. Also, it is indicated that this small group of learners go</w:t>
      </w:r>
      <w:r w:rsidR="004D06B8">
        <w:t>es</w:t>
      </w:r>
      <w:r>
        <w:t xml:space="preserve"> to lunch together and enjoy</w:t>
      </w:r>
      <w:r w:rsidR="004D06B8">
        <w:t>s</w:t>
      </w:r>
      <w:r>
        <w:t xml:space="preserve"> each other</w:t>
      </w:r>
      <w:r w:rsidR="004D06B8">
        <w:t>’</w:t>
      </w:r>
      <w:r>
        <w:t xml:space="preserve">s company. </w:t>
      </w:r>
    </w:p>
    <w:p w:rsidR="002C5611" w:rsidRDefault="002C5611" w:rsidP="00142833">
      <w:pPr>
        <w:pStyle w:val="BCSParagraph"/>
        <w:ind w:left="4536"/>
      </w:pPr>
      <w:r w:rsidRPr="00060226">
        <w:rPr>
          <w:b/>
          <w:bCs/>
        </w:rPr>
        <w:tab/>
      </w:r>
      <w:r w:rsidRPr="00060226">
        <w:rPr>
          <w:b/>
          <w:bCs/>
        </w:rPr>
        <w:tab/>
      </w:r>
      <w:r w:rsidRPr="00060226">
        <w:rPr>
          <w:b/>
          <w:bCs/>
        </w:rPr>
        <w:tab/>
      </w:r>
      <w:r w:rsidRPr="00060226">
        <w:rPr>
          <w:b/>
          <w:bCs/>
        </w:rPr>
        <w:tab/>
      </w:r>
      <w:r w:rsidRPr="00060226">
        <w:rPr>
          <w:b/>
          <w:bCs/>
        </w:rPr>
        <w:tab/>
      </w:r>
      <w:r w:rsidRPr="00060226">
        <w:t>Primary 2</w:t>
      </w:r>
      <w:r w:rsidR="0006048F">
        <w:t>, Head</w:t>
      </w:r>
      <w:r>
        <w:t>teacher</w:t>
      </w:r>
    </w:p>
    <w:p w:rsidR="00371171" w:rsidRDefault="00371171" w:rsidP="00FB5F17">
      <w:pPr>
        <w:pStyle w:val="BCSParagraph"/>
      </w:pPr>
      <w:r>
        <w:br w:type="page"/>
      </w:r>
    </w:p>
    <w:p w:rsidR="002C5611" w:rsidRDefault="002C5611" w:rsidP="00FB5F17">
      <w:pPr>
        <w:pStyle w:val="BCSParagraph"/>
      </w:pPr>
      <w:r w:rsidRPr="00350C19">
        <w:t xml:space="preserve">The strategy of the nurture group is also used at secondary level. </w:t>
      </w:r>
    </w:p>
    <w:p w:rsidR="002C5611" w:rsidRDefault="002C5611" w:rsidP="007E2674">
      <w:pPr>
        <w:pStyle w:val="BCSParagraph"/>
        <w:ind w:left="567"/>
      </w:pPr>
      <w:r>
        <w:t xml:space="preserve">This school has identified a problem </w:t>
      </w:r>
      <w:r w:rsidR="004D06B8">
        <w:t xml:space="preserve">group of underachieving, </w:t>
      </w:r>
      <w:r>
        <w:t>economically disadvantaged white boys. In conjunction with two ot</w:t>
      </w:r>
      <w:r w:rsidR="004D06B8">
        <w:t>her secondary schools, the school has</w:t>
      </w:r>
      <w:r>
        <w:t xml:space="preserve"> targeted raising the self-esteem of this group. Currently the school has around 30 boys on this progra</w:t>
      </w:r>
      <w:r w:rsidR="004D06B8">
        <w:t>mme</w:t>
      </w:r>
      <w:r>
        <w:t>. They work on practical projects and are encouraged to think more widely about their career options. For example, if they dream of becoming a footballer, they are made aware of other options in this field such as being a linesman or a sports physiotherapist. This program</w:t>
      </w:r>
      <w:r w:rsidR="004D06B8">
        <w:t>me</w:t>
      </w:r>
      <w:r>
        <w:t xml:space="preserve"> occurs from November to April to help them become ready to pick their GCSE option modules. </w:t>
      </w:r>
      <w:r w:rsidR="004D06B8">
        <w:t>The boys report back and make</w:t>
      </w:r>
      <w:r>
        <w:t xml:space="preserve"> a PowerPoint presentation to parents. This is a new initiative but the schools will be tracking the boys’ progress to check effectiveness of the programme. </w:t>
      </w:r>
    </w:p>
    <w:p w:rsidR="007E2674" w:rsidRDefault="002C5611" w:rsidP="00142833">
      <w:pPr>
        <w:pStyle w:val="BCSParagraph"/>
        <w:ind w:left="4536"/>
      </w:pPr>
      <w:r>
        <w:rPr>
          <w:color w:val="FF0000"/>
        </w:rPr>
        <w:tab/>
      </w:r>
      <w:r w:rsidRPr="00622F7E">
        <w:t>Secondary 11</w:t>
      </w:r>
      <w:r w:rsidR="00142833">
        <w:t>, Senior management team</w:t>
      </w:r>
    </w:p>
    <w:p w:rsidR="002C5611" w:rsidRPr="00BB3A8A" w:rsidRDefault="002C5611" w:rsidP="00793B44">
      <w:pPr>
        <w:pStyle w:val="BCSParagraph"/>
      </w:pPr>
      <w:r>
        <w:t>This idea of a nurture group is</w:t>
      </w:r>
      <w:r w:rsidR="00741850">
        <w:t xml:space="preserve"> </w:t>
      </w:r>
      <w:r>
        <w:t xml:space="preserve">positive to </w:t>
      </w:r>
      <w:r w:rsidR="00741850">
        <w:t xml:space="preserve">both </w:t>
      </w:r>
      <w:r>
        <w:t>those in need and those in</w:t>
      </w:r>
      <w:r w:rsidR="00741850">
        <w:t xml:space="preserve"> the mainstream classrooms. T</w:t>
      </w:r>
      <w:r>
        <w:t>hose in the nurture groups have the opportunity to enhance their social and emotional skills</w:t>
      </w:r>
      <w:r w:rsidR="00741850">
        <w:t>, and these newly-</w:t>
      </w:r>
      <w:r>
        <w:t xml:space="preserve">developed skills allow them to integrate into mainstream lessons. Furthermore, the use of technology has demonstrated a positive effect in the way that it can motivate learners to complete tasks and make a focused effort in order to be rewarded through the use of technology such as the Wii. </w:t>
      </w:r>
      <w:r w:rsidR="00741850">
        <w:t xml:space="preserve">Additionally, </w:t>
      </w:r>
      <w:r>
        <w:t xml:space="preserve">other </w:t>
      </w:r>
      <w:r w:rsidR="00741850">
        <w:t>learners can benefit from the</w:t>
      </w:r>
      <w:r>
        <w:t xml:space="preserve"> calm working atmosphere encouraged both when the ta</w:t>
      </w:r>
      <w:r w:rsidR="00741850">
        <w:t xml:space="preserve">rget pupil is withdrawn and </w:t>
      </w:r>
      <w:r>
        <w:t xml:space="preserve">when he or she returns in a more attentive state. </w:t>
      </w:r>
    </w:p>
    <w:p w:rsidR="002C5611" w:rsidRPr="00741850" w:rsidRDefault="002C5611" w:rsidP="00741850">
      <w:pPr>
        <w:pStyle w:val="BCSHeadingC"/>
      </w:pPr>
      <w:bookmarkStart w:id="96" w:name="_Toc248222214"/>
      <w:bookmarkStart w:id="97" w:name="_Toc248651420"/>
      <w:bookmarkStart w:id="98" w:name="_Toc248651463"/>
      <w:bookmarkStart w:id="99" w:name="_Toc248651611"/>
      <w:bookmarkStart w:id="100" w:name="_Toc248652468"/>
      <w:r w:rsidRPr="00741850">
        <w:t>Attentional training</w:t>
      </w:r>
      <w:bookmarkEnd w:id="96"/>
      <w:bookmarkEnd w:id="97"/>
      <w:bookmarkEnd w:id="98"/>
      <w:bookmarkEnd w:id="99"/>
      <w:bookmarkEnd w:id="100"/>
    </w:p>
    <w:p w:rsidR="002C5611" w:rsidRPr="005070C6" w:rsidRDefault="002C5611" w:rsidP="007E2674">
      <w:pPr>
        <w:pStyle w:val="BCSParagraph"/>
      </w:pPr>
      <w:r>
        <w:t>L</w:t>
      </w:r>
      <w:r w:rsidR="00741850">
        <w:t>earners</w:t>
      </w:r>
      <w:r w:rsidRPr="005070C6">
        <w:t xml:space="preserve"> who enter sch</w:t>
      </w:r>
      <w:r w:rsidR="00741850">
        <w:t>ool with poor inhibitory skills</w:t>
      </w:r>
      <w:r w:rsidRPr="005070C6">
        <w:t xml:space="preserve"> are </w:t>
      </w:r>
      <w:r>
        <w:t xml:space="preserve">often seen as disruptive, rude </w:t>
      </w:r>
      <w:r w:rsidRPr="005070C6">
        <w:t>and out of control by teachers. For the individual, this lack of competence often leads to</w:t>
      </w:r>
      <w:r w:rsidR="00741850">
        <w:t xml:space="preserve"> frustration and disaffection from school. However, learners </w:t>
      </w:r>
      <w:r w:rsidRPr="005070C6">
        <w:t>can be trained effectively</w:t>
      </w:r>
      <w:r w:rsidR="00741850">
        <w:t xml:space="preserve"> in these skills,</w:t>
      </w:r>
      <w:r w:rsidRPr="005070C6">
        <w:t xml:space="preserve"> and the results can be very positive not just </w:t>
      </w:r>
      <w:r w:rsidR="00741850">
        <w:t xml:space="preserve">for </w:t>
      </w:r>
      <w:r w:rsidRPr="005070C6">
        <w:t>the individual but for the class as a whole. This was clearly demonstrated within on</w:t>
      </w:r>
      <w:r>
        <w:t>e of the schools in this study.</w:t>
      </w:r>
    </w:p>
    <w:p w:rsidR="002C5611" w:rsidRPr="005070C6" w:rsidRDefault="002C5611" w:rsidP="007E2674">
      <w:pPr>
        <w:pStyle w:val="BCSParagraph"/>
      </w:pPr>
      <w:r w:rsidRPr="005070C6">
        <w:t xml:space="preserve">School </w:t>
      </w:r>
      <w:r>
        <w:t xml:space="preserve">1 </w:t>
      </w:r>
      <w:r w:rsidRPr="005070C6">
        <w:t>targets the ability</w:t>
      </w:r>
      <w:r>
        <w:t xml:space="preserve"> of learners</w:t>
      </w:r>
      <w:r w:rsidRPr="005070C6">
        <w:t xml:space="preserve"> t</w:t>
      </w:r>
      <w:r w:rsidR="00741850">
        <w:t>o attend and listen. A computer-</w:t>
      </w:r>
      <w:r w:rsidRPr="005070C6">
        <w:t>delive</w:t>
      </w:r>
      <w:r w:rsidR="00741850">
        <w:t>red listening programme provides a half-hour per</w:t>
      </w:r>
      <w:r w:rsidRPr="005070C6">
        <w:t xml:space="preserve"> day</w:t>
      </w:r>
      <w:r w:rsidR="00741850">
        <w:t>, 10-week</w:t>
      </w:r>
      <w:r w:rsidRPr="005070C6">
        <w:t xml:space="preserve"> experience for thos</w:t>
      </w:r>
      <w:r w:rsidR="00741850">
        <w:t>e children who find</w:t>
      </w:r>
      <w:r w:rsidRPr="005070C6">
        <w:t xml:space="preserve"> it difficult to attend. The school has found an improvement </w:t>
      </w:r>
      <w:r>
        <w:t xml:space="preserve">in </w:t>
      </w:r>
      <w:r w:rsidRPr="005070C6">
        <w:t xml:space="preserve">general listening skills, ability and confidence. The listening programme here has been successfully used to reduce behaviours associated with ADHD. In such cases the programme trains children to inhibit their immediate response to any situation and to reflect before speaking or acting. The effectiveness of such cognitive training is well documented. </w:t>
      </w:r>
      <w:r w:rsidR="00741850">
        <w:t>While</w:t>
      </w:r>
      <w:r>
        <w:t xml:space="preserve"> the </w:t>
      </w:r>
      <w:r w:rsidR="00A47E32">
        <w:t>program was used with all learners</w:t>
      </w:r>
      <w:r w:rsidR="00741850">
        <w:t xml:space="preserve">, it </w:t>
      </w:r>
      <w:r>
        <w:t>proved particularly</w:t>
      </w:r>
      <w:r w:rsidR="00A47E32">
        <w:t xml:space="preserve"> effective for those learners deemed to have weak</w:t>
      </w:r>
      <w:r>
        <w:t xml:space="preserve"> self-control.</w:t>
      </w:r>
    </w:p>
    <w:p w:rsidR="002C5611" w:rsidRDefault="002C5611" w:rsidP="007E2674">
      <w:pPr>
        <w:pStyle w:val="BCSHeadingC"/>
        <w:rPr>
          <w:lang w:val="en-US"/>
        </w:rPr>
      </w:pPr>
      <w:bookmarkStart w:id="101" w:name="_Toc248222215"/>
      <w:bookmarkStart w:id="102" w:name="_Toc248651421"/>
      <w:bookmarkStart w:id="103" w:name="_Toc248651464"/>
      <w:bookmarkStart w:id="104" w:name="_Toc248651612"/>
      <w:bookmarkStart w:id="105" w:name="_Toc248652469"/>
      <w:r w:rsidRPr="00DF0048">
        <w:rPr>
          <w:lang w:val="en-US"/>
        </w:rPr>
        <w:t>Inclusion strategies</w:t>
      </w:r>
      <w:bookmarkEnd w:id="101"/>
      <w:bookmarkEnd w:id="102"/>
      <w:bookmarkEnd w:id="103"/>
      <w:bookmarkEnd w:id="104"/>
      <w:bookmarkEnd w:id="105"/>
    </w:p>
    <w:p w:rsidR="002C5611" w:rsidRPr="000609DA" w:rsidRDefault="002C5611" w:rsidP="007E2674">
      <w:pPr>
        <w:pStyle w:val="BCSParagraph"/>
        <w:rPr>
          <w:szCs w:val="24"/>
          <w:lang w:val="en-US"/>
        </w:rPr>
      </w:pPr>
      <w:r w:rsidRPr="00DF0048">
        <w:rPr>
          <w:lang w:val="en-US"/>
        </w:rPr>
        <w:t xml:space="preserve">Strategies for inclusion often focus on the physically or economically disadvantaged learner. </w:t>
      </w:r>
      <w:r w:rsidR="00A47E32">
        <w:rPr>
          <w:lang w:val="en-US"/>
        </w:rPr>
        <w:t>The provision of laptops for visually-impaired learners, dyslexic learners</w:t>
      </w:r>
      <w:r>
        <w:rPr>
          <w:lang w:val="en-US"/>
        </w:rPr>
        <w:t xml:space="preserve"> </w:t>
      </w:r>
      <w:r w:rsidR="00A47E32">
        <w:rPr>
          <w:lang w:val="en-US"/>
        </w:rPr>
        <w:t>and learners fro</w:t>
      </w:r>
      <w:r w:rsidRPr="00DF0048">
        <w:rPr>
          <w:lang w:val="en-US"/>
        </w:rPr>
        <w:t>m impoverish</w:t>
      </w:r>
      <w:r w:rsidR="00A47E32">
        <w:rPr>
          <w:lang w:val="en-US"/>
        </w:rPr>
        <w:t>ed home environments is common</w:t>
      </w:r>
      <w:r w:rsidRPr="00DF0048">
        <w:rPr>
          <w:lang w:val="en-US"/>
        </w:rPr>
        <w:t xml:space="preserve"> in these schools and in many others across t</w:t>
      </w:r>
      <w:r w:rsidR="00A47E32">
        <w:rPr>
          <w:lang w:val="en-US"/>
        </w:rPr>
        <w:t>he country. However, many learners who are not categorized as</w:t>
      </w:r>
      <w:r w:rsidRPr="00DF0048">
        <w:rPr>
          <w:lang w:val="en-US"/>
        </w:rPr>
        <w:t xml:space="preserve"> disadvantaged </w:t>
      </w:r>
      <w:r w:rsidR="00A47E32">
        <w:rPr>
          <w:lang w:val="en-US"/>
        </w:rPr>
        <w:t xml:space="preserve">still </w:t>
      </w:r>
      <w:r w:rsidRPr="00DF0048">
        <w:rPr>
          <w:lang w:val="en-US"/>
        </w:rPr>
        <w:t>struggle to be heard in cla</w:t>
      </w:r>
      <w:r w:rsidR="00A47E32">
        <w:rPr>
          <w:lang w:val="en-US"/>
        </w:rPr>
        <w:t>ss. Finding ways for these learner</w:t>
      </w:r>
      <w:r w:rsidRPr="00DF0048">
        <w:rPr>
          <w:lang w:val="en-US"/>
        </w:rPr>
        <w:t xml:space="preserve">s to have a voice is essential if they are to progress. </w:t>
      </w:r>
      <w:r w:rsidRPr="00DF0048">
        <w:t xml:space="preserve">The use of </w:t>
      </w:r>
      <w:r w:rsidRPr="00DF0048">
        <w:rPr>
          <w:lang w:val="en-US"/>
        </w:rPr>
        <w:t xml:space="preserve">innovative </w:t>
      </w:r>
      <w:r w:rsidR="00A47E32">
        <w:rPr>
          <w:lang w:val="en-US"/>
        </w:rPr>
        <w:t xml:space="preserve">ways of expressing their ideas, </w:t>
      </w:r>
      <w:r w:rsidRPr="00DF0048">
        <w:rPr>
          <w:lang w:val="en-US"/>
        </w:rPr>
        <w:t>rather than traditional text,</w:t>
      </w:r>
      <w:r w:rsidRPr="00DF0048">
        <w:t xml:space="preserve"> has been show</w:t>
      </w:r>
      <w:r w:rsidR="00A47E32">
        <w:t>n</w:t>
      </w:r>
      <w:r w:rsidRPr="00DF0048">
        <w:t xml:space="preserve"> to be highly effective with boys</w:t>
      </w:r>
      <w:r w:rsidR="00A47E32">
        <w:t xml:space="preserve"> in particular</w:t>
      </w:r>
      <w:r w:rsidRPr="00DF0048">
        <w:t xml:space="preserve"> [</w:t>
      </w:r>
      <w:r w:rsidR="00793BF2">
        <w:t>see video</w:t>
      </w:r>
      <w:r w:rsidR="000609DA">
        <w:t xml:space="preserve">s </w:t>
      </w:r>
      <w:hyperlink r:id="rId20" w:history="1">
        <w:r w:rsidR="000609DA" w:rsidRPr="000609DA">
          <w:rPr>
            <w:rStyle w:val="Hyperlink"/>
            <w:bCs/>
            <w:szCs w:val="24"/>
            <w:lang/>
          </w:rPr>
          <w:t>Extending confidence using technology in RE lessons</w:t>
        </w:r>
      </w:hyperlink>
      <w:r w:rsidR="00793BF2" w:rsidRPr="000609DA">
        <w:rPr>
          <w:szCs w:val="24"/>
        </w:rPr>
        <w:t xml:space="preserve"> </w:t>
      </w:r>
      <w:r w:rsidR="000609DA">
        <w:rPr>
          <w:szCs w:val="24"/>
        </w:rPr>
        <w:t xml:space="preserve">and </w:t>
      </w:r>
      <w:hyperlink r:id="rId21" w:history="1">
        <w:r w:rsidR="000609DA" w:rsidRPr="000609DA">
          <w:rPr>
            <w:rStyle w:val="Hyperlink"/>
            <w:bCs/>
            <w:szCs w:val="24"/>
            <w:lang/>
          </w:rPr>
          <w:t>Netbooks and whiteboards in English secondary classrooms</w:t>
        </w:r>
      </w:hyperlink>
      <w:r w:rsidR="00E35408">
        <w:rPr>
          <w:bCs/>
          <w:color w:val="2C190A"/>
          <w:szCs w:val="24"/>
          <w:lang/>
        </w:rPr>
        <w:t>].</w:t>
      </w:r>
    </w:p>
    <w:p w:rsidR="002C5611" w:rsidRDefault="002C5611" w:rsidP="007E2674">
      <w:pPr>
        <w:pStyle w:val="BCSHeadingC"/>
      </w:pPr>
      <w:bookmarkStart w:id="106" w:name="_Toc248222216"/>
      <w:bookmarkStart w:id="107" w:name="_Toc248651422"/>
      <w:bookmarkStart w:id="108" w:name="_Toc248651465"/>
      <w:bookmarkStart w:id="109" w:name="_Toc248651613"/>
      <w:bookmarkStart w:id="110" w:name="_Toc248652470"/>
      <w:r w:rsidRPr="00DF0048">
        <w:t>Resources that aid the personalisation of learning</w:t>
      </w:r>
      <w:bookmarkEnd w:id="106"/>
      <w:bookmarkEnd w:id="107"/>
      <w:bookmarkEnd w:id="108"/>
      <w:bookmarkEnd w:id="109"/>
      <w:bookmarkEnd w:id="110"/>
    </w:p>
    <w:p w:rsidR="002C5611" w:rsidRDefault="002C5611" w:rsidP="007E2674">
      <w:pPr>
        <w:pStyle w:val="BCSParagraph"/>
      </w:pPr>
      <w:r>
        <w:t xml:space="preserve">Many of the schools demonstrated a good use of interactive resources to aid learners across all abilities. </w:t>
      </w:r>
    </w:p>
    <w:p w:rsidR="002C5611" w:rsidRPr="005D2DF3" w:rsidRDefault="00A47E32" w:rsidP="0064287B">
      <w:pPr>
        <w:pStyle w:val="BCSParagraph"/>
        <w:rPr>
          <w:bCs/>
        </w:rPr>
      </w:pPr>
      <w:r>
        <w:t>SAM learning</w:t>
      </w:r>
      <w:r w:rsidR="0064287B">
        <w:rPr>
          <w:rStyle w:val="FootnoteReference"/>
        </w:rPr>
        <w:footnoteReference w:id="14"/>
      </w:r>
      <w:r>
        <w:t xml:space="preserve"> is popular among</w:t>
      </w:r>
      <w:r w:rsidR="002C5611">
        <w:t xml:space="preserve"> the schools to support subject areas geared towards GCSE</w:t>
      </w:r>
      <w:r w:rsidR="00BA3663">
        <w:t xml:space="preserve"> attainment</w:t>
      </w:r>
      <w:r w:rsidR="00FB5F17">
        <w:t xml:space="preserve">. </w:t>
      </w:r>
      <w:r w:rsidR="002C5611">
        <w:rPr>
          <w:bCs/>
        </w:rPr>
        <w:t>This website is d</w:t>
      </w:r>
      <w:r w:rsidR="00936C7E">
        <w:rPr>
          <w:bCs/>
        </w:rPr>
        <w:t xml:space="preserve">esigned for all abilities, allowing learners to </w:t>
      </w:r>
      <w:r w:rsidR="002C5611">
        <w:rPr>
          <w:bCs/>
        </w:rPr>
        <w:t xml:space="preserve">assess themselves, complete activities online and track their progress. The website is </w:t>
      </w:r>
      <w:r w:rsidR="00936C7E">
        <w:rPr>
          <w:bCs/>
        </w:rPr>
        <w:t xml:space="preserve">also </w:t>
      </w:r>
      <w:r w:rsidR="002C5611">
        <w:rPr>
          <w:bCs/>
        </w:rPr>
        <w:t xml:space="preserve">designed so that teachers can keep track of learners’ progress.  </w:t>
      </w:r>
    </w:p>
    <w:p w:rsidR="002C5611" w:rsidRPr="00277A91" w:rsidRDefault="002C5611" w:rsidP="007E2674">
      <w:pPr>
        <w:pStyle w:val="BCSParagraph"/>
        <w:rPr>
          <w:color w:val="FF0000"/>
          <w:lang w:val="en-US"/>
        </w:rPr>
      </w:pPr>
      <w:r>
        <w:rPr>
          <w:lang w:val="en-US"/>
        </w:rPr>
        <w:t>MyMaths</w:t>
      </w:r>
      <w:r w:rsidR="0064287B">
        <w:rPr>
          <w:rStyle w:val="FootnoteReference"/>
          <w:lang w:val="en-US"/>
        </w:rPr>
        <w:footnoteReference w:id="15"/>
      </w:r>
      <w:r>
        <w:rPr>
          <w:lang w:val="en-US"/>
        </w:rPr>
        <w:t xml:space="preserve"> was something that many teachers found valuable as it gives students immediate feedback on their perfo</w:t>
      </w:r>
      <w:r w:rsidR="00936C7E">
        <w:rPr>
          <w:lang w:val="en-US"/>
        </w:rPr>
        <w:t xml:space="preserve">rmance. </w:t>
      </w:r>
      <w:r>
        <w:rPr>
          <w:lang w:val="en-US"/>
        </w:rPr>
        <w:t>The teachers could also vary the lev</w:t>
      </w:r>
      <w:r w:rsidR="00936C7E">
        <w:rPr>
          <w:lang w:val="en-US"/>
        </w:rPr>
        <w:t xml:space="preserve">el of complexity to enable personalisation of the tasks. </w:t>
      </w:r>
      <w:r>
        <w:rPr>
          <w:lang w:val="en-US"/>
        </w:rPr>
        <w:t>Students could complete a piece of work more t</w:t>
      </w:r>
      <w:r w:rsidR="00936C7E">
        <w:rPr>
          <w:lang w:val="en-US"/>
        </w:rPr>
        <w:t>han once, and would often do so</w:t>
      </w:r>
      <w:r>
        <w:rPr>
          <w:lang w:val="en-US"/>
        </w:rPr>
        <w:t xml:space="preserve"> to improve their score as an element of self-competition and improvement [</w:t>
      </w:r>
      <w:r w:rsidR="00160FF2">
        <w:rPr>
          <w:lang w:val="en-US"/>
        </w:rPr>
        <w:t xml:space="preserve">see video </w:t>
      </w:r>
      <w:hyperlink r:id="rId22" w:history="1">
        <w:r w:rsidR="00690BEA" w:rsidRPr="00690BEA">
          <w:rPr>
            <w:rStyle w:val="Hyperlink"/>
            <w:bCs/>
            <w:szCs w:val="24"/>
            <w:lang/>
          </w:rPr>
          <w:t>Interactive whiteboards and other technologies in maths</w:t>
        </w:r>
      </w:hyperlink>
      <w:r w:rsidR="00690BEA">
        <w:rPr>
          <w:rFonts w:eastAsia="SimSun" w:cs="Courier New"/>
          <w:color w:val="auto"/>
          <w:lang w:eastAsia="zh-CN"/>
        </w:rPr>
        <w:t>].</w:t>
      </w:r>
    </w:p>
    <w:p w:rsidR="002C5611" w:rsidRDefault="00690BEA" w:rsidP="007E2674">
      <w:pPr>
        <w:pStyle w:val="BCSParagraph"/>
        <w:rPr>
          <w:lang w:val="en-US"/>
        </w:rPr>
      </w:pPr>
      <w:r>
        <w:rPr>
          <w:lang w:val="en-US"/>
        </w:rPr>
        <w:t>.</w:t>
      </w:r>
      <w:r w:rsidR="002C5611">
        <w:rPr>
          <w:lang w:val="en-US"/>
        </w:rPr>
        <w:t>Technology is essential in</w:t>
      </w:r>
      <w:r w:rsidR="00936C7E">
        <w:rPr>
          <w:lang w:val="en-US"/>
        </w:rPr>
        <w:t xml:space="preserve"> providing greater autonomy over learning, enabling learners to </w:t>
      </w:r>
      <w:r w:rsidR="002C5611">
        <w:rPr>
          <w:lang w:val="en-US"/>
        </w:rPr>
        <w:t xml:space="preserve">assess their progress and work at a speed comfortable to themselves. </w:t>
      </w:r>
    </w:p>
    <w:p w:rsidR="00860248" w:rsidRDefault="00860248" w:rsidP="007E2674">
      <w:pPr>
        <w:pStyle w:val="BCSHeadingC"/>
      </w:pPr>
      <w:bookmarkStart w:id="111" w:name="_Toc248222217"/>
      <w:r>
        <w:br w:type="page"/>
      </w:r>
    </w:p>
    <w:p w:rsidR="002C5611" w:rsidRDefault="002C5611" w:rsidP="007E2674">
      <w:pPr>
        <w:pStyle w:val="BCSHeadingC"/>
      </w:pPr>
      <w:bookmarkStart w:id="112" w:name="_Toc248651423"/>
      <w:bookmarkStart w:id="113" w:name="_Toc248651466"/>
      <w:bookmarkStart w:id="114" w:name="_Toc248651614"/>
      <w:bookmarkStart w:id="115" w:name="_Toc248652471"/>
      <w:r w:rsidRPr="00DF0048">
        <w:t>Authentic learning</w:t>
      </w:r>
      <w:bookmarkEnd w:id="111"/>
      <w:bookmarkEnd w:id="112"/>
      <w:bookmarkEnd w:id="113"/>
      <w:bookmarkEnd w:id="114"/>
      <w:bookmarkEnd w:id="115"/>
    </w:p>
    <w:p w:rsidR="002C5611" w:rsidRDefault="002C5611" w:rsidP="007E2674">
      <w:pPr>
        <w:pStyle w:val="BCSParagraph"/>
      </w:pPr>
      <w:r>
        <w:t>Many s</w:t>
      </w:r>
      <w:r w:rsidRPr="00147ED7">
        <w:t xml:space="preserve">chools </w:t>
      </w:r>
      <w:r>
        <w:t>set pro</w:t>
      </w:r>
      <w:r w:rsidR="00CA4B7C">
        <w:t>blem challenges for their learners</w:t>
      </w:r>
      <w:r>
        <w:t xml:space="preserve"> </w:t>
      </w:r>
      <w:r w:rsidR="00CA4B7C">
        <w:t>to encourage engagement in learner</w:t>
      </w:r>
      <w:r>
        <w:t>-relevant activities. For example, on</w:t>
      </w:r>
      <w:r>
        <w:rPr>
          <w:color w:val="FF0000"/>
        </w:rPr>
        <w:t xml:space="preserve"> </w:t>
      </w:r>
      <w:r>
        <w:t>a personal</w:t>
      </w:r>
      <w:r w:rsidR="00CA4B7C">
        <w:t xml:space="preserve"> learning and thinking day for Y</w:t>
      </w:r>
      <w:r>
        <w:t>ear 7, teams of learners are given a challenge to complete, for example</w:t>
      </w:r>
      <w:r w:rsidR="00CA4B7C">
        <w:t xml:space="preserve"> ridding the school of litter. Learners </w:t>
      </w:r>
      <w:r>
        <w:t>assess</w:t>
      </w:r>
      <w:r w:rsidR="00CA4B7C">
        <w:t xml:space="preserve"> themselves</w:t>
      </w:r>
      <w:r>
        <w:t xml:space="preserve"> and evidence the skills they can bring to the team. The challenge enables learners to fit into the team by using their self-assessed, individual t</w:t>
      </w:r>
      <w:r w:rsidR="00477240">
        <w:t>alents. The teams research the issue and create a five</w:t>
      </w:r>
      <w:r>
        <w:t xml:space="preserve">-minute PowerPoint to present their ideas in front of a panel of judges. </w:t>
      </w:r>
    </w:p>
    <w:p w:rsidR="002C5611" w:rsidRPr="00793B44" w:rsidRDefault="00477240" w:rsidP="00793B44">
      <w:pPr>
        <w:pStyle w:val="BCSParagraph"/>
        <w:rPr>
          <w:iCs/>
        </w:rPr>
      </w:pPr>
      <w:r>
        <w:t>Schools argue</w:t>
      </w:r>
      <w:r w:rsidR="002C5611" w:rsidRPr="001E1292">
        <w:t xml:space="preserve"> </w:t>
      </w:r>
      <w:r w:rsidR="002C5611" w:rsidRPr="001E1292">
        <w:rPr>
          <w:iCs/>
        </w:rPr>
        <w:t>that activities like these</w:t>
      </w:r>
      <w:r>
        <w:rPr>
          <w:iCs/>
        </w:rPr>
        <w:t xml:space="preserve"> are important and exciting for learners, because learners </w:t>
      </w:r>
      <w:r w:rsidRPr="00DF0048">
        <w:rPr>
          <w:iCs/>
        </w:rPr>
        <w:t>get out there and ‘do it for themselves’</w:t>
      </w:r>
      <w:r w:rsidR="00D766DE">
        <w:rPr>
          <w:iCs/>
        </w:rPr>
        <w:t xml:space="preserve">. </w:t>
      </w:r>
      <w:r w:rsidR="002C5611" w:rsidRPr="00DF0048">
        <w:rPr>
          <w:iCs/>
        </w:rPr>
        <w:t>The schools have shown that</w:t>
      </w:r>
      <w:r w:rsidR="00D766DE">
        <w:rPr>
          <w:iCs/>
        </w:rPr>
        <w:t>,</w:t>
      </w:r>
      <w:r w:rsidR="002C5611" w:rsidRPr="00DF0048">
        <w:rPr>
          <w:iCs/>
        </w:rPr>
        <w:t xml:space="preserve"> by focusing on </w:t>
      </w:r>
      <w:r w:rsidR="002C5611" w:rsidRPr="00DF0048" w:rsidDel="00C301F0">
        <w:rPr>
          <w:iCs/>
        </w:rPr>
        <w:t>su</w:t>
      </w:r>
      <w:r w:rsidR="002C5611" w:rsidRPr="00DF0048">
        <w:rPr>
          <w:iCs/>
        </w:rPr>
        <w:t xml:space="preserve">pport for low </w:t>
      </w:r>
      <w:r w:rsidR="00D766DE">
        <w:rPr>
          <w:iCs/>
        </w:rPr>
        <w:t xml:space="preserve">achievers </w:t>
      </w:r>
      <w:r w:rsidR="002C5611" w:rsidRPr="00DF0048">
        <w:rPr>
          <w:iCs/>
        </w:rPr>
        <w:t>and underachievers, they have managed to capture, enthuse and sustain educational development. In particular, they argue the benefits of making links to authentic learning with diploma students, where they can see the practical benefits of using technology to support learning.</w:t>
      </w:r>
    </w:p>
    <w:p w:rsidR="002C5611" w:rsidRPr="00DF0048" w:rsidRDefault="002C5611" w:rsidP="007E2674">
      <w:pPr>
        <w:pStyle w:val="BCSParagraph"/>
        <w:ind w:left="567"/>
      </w:pPr>
      <w:r w:rsidRPr="00DF0048">
        <w:t xml:space="preserve">Making tasks and activities real to students, so they can see the additional benefits for use of skills outside the classroom environment – this has been beneficial and encouraging. Some considered underachieving at </w:t>
      </w:r>
      <w:r w:rsidR="007C4704">
        <w:t xml:space="preserve">the </w:t>
      </w:r>
      <w:r w:rsidR="0006048F">
        <w:t>traditional level (for instance,</w:t>
      </w:r>
      <w:r w:rsidRPr="00DF0048">
        <w:t xml:space="preserve"> failing </w:t>
      </w:r>
      <w:r w:rsidR="00D766DE">
        <w:t>to meet targets in English and m</w:t>
      </w:r>
      <w:r w:rsidRPr="00DF0048">
        <w:t xml:space="preserve">aths) </w:t>
      </w:r>
      <w:r>
        <w:t xml:space="preserve">are </w:t>
      </w:r>
      <w:r w:rsidRPr="00DF0048">
        <w:t xml:space="preserve">often found to use technology to support their literacy and numeracy skills </w:t>
      </w:r>
      <w:r>
        <w:t xml:space="preserve">in </w:t>
      </w:r>
      <w:r w:rsidRPr="00DF0048">
        <w:t>the world beyond the classroom or in practical-based activities. The</w:t>
      </w:r>
      <w:r w:rsidR="00D766DE">
        <w:t>y use software to meet goals in</w:t>
      </w:r>
      <w:r w:rsidRPr="00DF0048">
        <w:t xml:space="preserve"> activities</w:t>
      </w:r>
      <w:r w:rsidR="00D766DE">
        <w:t xml:space="preserve"> that relate to real-</w:t>
      </w:r>
      <w:r w:rsidRPr="00DF0048">
        <w:t xml:space="preserve">work environments. </w:t>
      </w:r>
    </w:p>
    <w:p w:rsidR="002C5611" w:rsidRPr="00DF0048" w:rsidRDefault="002C5611" w:rsidP="00D766DE">
      <w:pPr>
        <w:pStyle w:val="BCSParagraph"/>
        <w:ind w:left="4536"/>
        <w:rPr>
          <w:lang w:val="en-US"/>
        </w:rPr>
      </w:pPr>
      <w:r w:rsidRPr="00DF0048">
        <w:t xml:space="preserve">Secondary </w:t>
      </w:r>
      <w:r w:rsidR="00D766DE">
        <w:t>5, Senior management team</w:t>
      </w:r>
    </w:p>
    <w:p w:rsidR="002C5611" w:rsidRDefault="002C5611" w:rsidP="00866852">
      <w:pPr>
        <w:pStyle w:val="BCSHeadingC"/>
      </w:pPr>
      <w:bookmarkStart w:id="116" w:name="_Toc248222218"/>
      <w:bookmarkStart w:id="117" w:name="_Toc248651424"/>
      <w:bookmarkStart w:id="118" w:name="_Toc248651467"/>
      <w:bookmarkStart w:id="119" w:name="_Toc248651615"/>
      <w:bookmarkStart w:id="120" w:name="_Toc248652472"/>
      <w:r w:rsidRPr="009E4166">
        <w:rPr>
          <w:lang w:val="en-US"/>
        </w:rPr>
        <w:t xml:space="preserve">Facilitating integration: </w:t>
      </w:r>
      <w:r w:rsidR="00D766DE">
        <w:t>t</w:t>
      </w:r>
      <w:r w:rsidRPr="009E4166">
        <w:t>ools to allow engagement</w:t>
      </w:r>
      <w:bookmarkEnd w:id="116"/>
      <w:bookmarkEnd w:id="117"/>
      <w:bookmarkEnd w:id="118"/>
      <w:bookmarkEnd w:id="119"/>
      <w:bookmarkEnd w:id="120"/>
    </w:p>
    <w:p w:rsidR="002C5611" w:rsidRDefault="002C5611" w:rsidP="00866852">
      <w:pPr>
        <w:pStyle w:val="BCSParagraph"/>
        <w:rPr>
          <w:szCs w:val="22"/>
          <w:lang w:val="en-US"/>
        </w:rPr>
      </w:pPr>
      <w:r w:rsidRPr="001E1292">
        <w:rPr>
          <w:lang w:val="en-US"/>
        </w:rPr>
        <w:t xml:space="preserve">Technology can overcome barriers that prevent </w:t>
      </w:r>
      <w:r>
        <w:rPr>
          <w:lang w:val="en-US"/>
        </w:rPr>
        <w:t xml:space="preserve">some </w:t>
      </w:r>
      <w:r w:rsidRPr="001E1292">
        <w:rPr>
          <w:lang w:val="en-US"/>
        </w:rPr>
        <w:t xml:space="preserve">learners </w:t>
      </w:r>
      <w:r w:rsidR="00D766DE">
        <w:rPr>
          <w:lang w:val="en-US"/>
        </w:rPr>
        <w:t xml:space="preserve">from </w:t>
      </w:r>
      <w:r w:rsidRPr="001E1292">
        <w:rPr>
          <w:lang w:val="en-US"/>
        </w:rPr>
        <w:t xml:space="preserve">taking a full part in the educational process. </w:t>
      </w:r>
      <w:r w:rsidRPr="001E1292">
        <w:t xml:space="preserve">At a more prosaic level, the </w:t>
      </w:r>
      <w:r w:rsidRPr="001E1292">
        <w:rPr>
          <w:szCs w:val="22"/>
          <w:lang w:val="en-US"/>
        </w:rPr>
        <w:t xml:space="preserve">technologies to help </w:t>
      </w:r>
      <w:r w:rsidR="003A0CAC">
        <w:rPr>
          <w:szCs w:val="22"/>
          <w:lang w:val="en-US"/>
        </w:rPr>
        <w:t>children with dyslexia and d</w:t>
      </w:r>
      <w:r>
        <w:rPr>
          <w:szCs w:val="22"/>
          <w:lang w:val="en-US"/>
        </w:rPr>
        <w:t xml:space="preserve">yspraxia </w:t>
      </w:r>
      <w:r w:rsidRPr="001E1292">
        <w:rPr>
          <w:szCs w:val="22"/>
          <w:lang w:val="en-US"/>
        </w:rPr>
        <w:t>(laptops, voice recognition software and text-to-speech software) are relatively cheap, but can make a big difference to children’s academic performance.</w:t>
      </w:r>
    </w:p>
    <w:p w:rsidR="002C5611" w:rsidRPr="009211CE" w:rsidRDefault="002C5611" w:rsidP="00EE4D76">
      <w:pPr>
        <w:pStyle w:val="BCSParagraph"/>
        <w:rPr>
          <w:szCs w:val="22"/>
          <w:lang w:val="en-US"/>
        </w:rPr>
      </w:pPr>
      <w:r w:rsidRPr="009211CE">
        <w:rPr>
          <w:rFonts w:eastAsia="SimSun" w:cs="Courier New"/>
          <w:lang w:eastAsia="zh-CN"/>
        </w:rPr>
        <w:t xml:space="preserve">With the use of </w:t>
      </w:r>
      <w:r>
        <w:rPr>
          <w:rFonts w:eastAsia="SimSun" w:cs="Courier New"/>
          <w:lang w:eastAsia="zh-CN"/>
        </w:rPr>
        <w:t xml:space="preserve">netbooks </w:t>
      </w:r>
      <w:r w:rsidRPr="009211CE">
        <w:rPr>
          <w:rFonts w:eastAsia="SimSun" w:cs="Courier New"/>
          <w:lang w:eastAsia="zh-CN"/>
        </w:rPr>
        <w:t>and interactive whiteboards</w:t>
      </w:r>
      <w:r w:rsidR="003A0CAC">
        <w:rPr>
          <w:rFonts w:eastAsia="SimSun" w:cs="Courier New"/>
          <w:lang w:eastAsia="zh-CN"/>
        </w:rPr>
        <w:t>, this</w:t>
      </w:r>
      <w:r w:rsidRPr="009211CE">
        <w:rPr>
          <w:rFonts w:eastAsia="SimSun" w:cs="Courier New"/>
          <w:lang w:eastAsia="zh-CN"/>
        </w:rPr>
        <w:t xml:space="preserve"> English teacher's students have found more freedom to decide how they respond </w:t>
      </w:r>
      <w:r w:rsidR="007B260E">
        <w:rPr>
          <w:rFonts w:eastAsia="SimSun" w:cs="Courier New"/>
          <w:lang w:eastAsia="zh-CN"/>
        </w:rPr>
        <w:t>to tasks and present their work</w:t>
      </w:r>
      <w:r w:rsidRPr="009211CE">
        <w:rPr>
          <w:rFonts w:eastAsia="SimSun" w:cs="Courier New"/>
          <w:lang w:eastAsia="zh-CN"/>
        </w:rPr>
        <w:t xml:space="preserve"> </w:t>
      </w:r>
      <w:r w:rsidR="00EE4D76" w:rsidRPr="009211CE">
        <w:rPr>
          <w:rFonts w:eastAsia="SimSun" w:cs="Courier New"/>
          <w:lang w:eastAsia="zh-CN"/>
        </w:rPr>
        <w:t>[</w:t>
      </w:r>
      <w:r w:rsidR="007B260E">
        <w:rPr>
          <w:rFonts w:eastAsia="SimSun" w:cs="Courier New"/>
          <w:lang w:eastAsia="zh-CN"/>
        </w:rPr>
        <w:t xml:space="preserve">see video </w:t>
      </w:r>
      <w:hyperlink r:id="rId23" w:history="1">
        <w:r w:rsidR="001365E0" w:rsidRPr="001365E0">
          <w:rPr>
            <w:rStyle w:val="Hyperlink"/>
            <w:bCs/>
            <w:szCs w:val="24"/>
            <w:lang/>
          </w:rPr>
          <w:t>Netbooks and whiteboards in English secondary classrooms</w:t>
        </w:r>
      </w:hyperlink>
      <w:r w:rsidR="00EE4D76">
        <w:rPr>
          <w:rFonts w:eastAsia="SimSun" w:cs="Courier New"/>
          <w:lang w:eastAsia="zh-CN"/>
        </w:rPr>
        <w:t>]</w:t>
      </w:r>
      <w:r w:rsidR="007B260E">
        <w:rPr>
          <w:rFonts w:eastAsia="SimSun" w:cs="Courier New"/>
          <w:lang w:eastAsia="zh-CN"/>
        </w:rPr>
        <w:t>.</w:t>
      </w:r>
      <w:r w:rsidR="00EE4D76">
        <w:rPr>
          <w:rFonts w:eastAsia="SimSun" w:cs="Courier New"/>
          <w:lang w:eastAsia="zh-CN"/>
        </w:rPr>
        <w:t xml:space="preserve"> </w:t>
      </w:r>
      <w:r w:rsidRPr="009211CE">
        <w:rPr>
          <w:rFonts w:eastAsia="SimSun" w:cs="Courier New"/>
          <w:lang w:eastAsia="zh-CN"/>
        </w:rPr>
        <w:t>The technology</w:t>
      </w:r>
      <w:r>
        <w:rPr>
          <w:rFonts w:eastAsia="SimSun" w:cs="Courier New"/>
          <w:lang w:eastAsia="zh-CN"/>
        </w:rPr>
        <w:t xml:space="preserve"> is also engaging low</w:t>
      </w:r>
      <w:r w:rsidR="003A0CAC">
        <w:rPr>
          <w:rFonts w:eastAsia="SimSun" w:cs="Courier New"/>
          <w:lang w:eastAsia="zh-CN"/>
        </w:rPr>
        <w:t>-achieving</w:t>
      </w:r>
      <w:r>
        <w:rPr>
          <w:rFonts w:eastAsia="SimSun" w:cs="Courier New"/>
          <w:lang w:eastAsia="zh-CN"/>
        </w:rPr>
        <w:t xml:space="preserve"> and under</w:t>
      </w:r>
      <w:r w:rsidRPr="009211CE">
        <w:rPr>
          <w:rFonts w:eastAsia="SimSun" w:cs="Courier New"/>
          <w:lang w:eastAsia="zh-CN"/>
        </w:rPr>
        <w:t xml:space="preserve">achieving learners more in lessons, and motivating them to work on projects in their own time. </w:t>
      </w:r>
    </w:p>
    <w:p w:rsidR="00860248" w:rsidRDefault="00860248" w:rsidP="00866852">
      <w:pPr>
        <w:pStyle w:val="BCSHeadingC"/>
      </w:pPr>
      <w:bookmarkStart w:id="121" w:name="_Toc248222219"/>
    </w:p>
    <w:p w:rsidR="00860248" w:rsidRDefault="00860248" w:rsidP="00866852">
      <w:pPr>
        <w:pStyle w:val="BCSHeadingC"/>
      </w:pPr>
    </w:p>
    <w:p w:rsidR="002C5611" w:rsidRDefault="002C5611" w:rsidP="00866852">
      <w:pPr>
        <w:pStyle w:val="BCSHeadingC"/>
      </w:pPr>
      <w:bookmarkStart w:id="122" w:name="_Toc248651425"/>
      <w:bookmarkStart w:id="123" w:name="_Toc248651468"/>
      <w:bookmarkStart w:id="124" w:name="_Toc248651616"/>
      <w:bookmarkStart w:id="125" w:name="_Toc248652473"/>
      <w:r w:rsidRPr="009E4166">
        <w:t>Resource access</w:t>
      </w:r>
      <w:r>
        <w:t xml:space="preserve"> in the home</w:t>
      </w:r>
      <w:bookmarkEnd w:id="121"/>
      <w:bookmarkEnd w:id="122"/>
      <w:bookmarkEnd w:id="123"/>
      <w:bookmarkEnd w:id="124"/>
      <w:bookmarkEnd w:id="125"/>
    </w:p>
    <w:p w:rsidR="002C5611" w:rsidRPr="001E1292" w:rsidRDefault="003A0CAC" w:rsidP="00866852">
      <w:pPr>
        <w:pStyle w:val="BCSParagraph"/>
        <w:rPr>
          <w:lang w:val="en-US"/>
        </w:rPr>
      </w:pPr>
      <w:r>
        <w:rPr>
          <w:lang w:val="en-US"/>
        </w:rPr>
        <w:t>School 1 offers a</w:t>
      </w:r>
      <w:r w:rsidR="002C5611">
        <w:rPr>
          <w:lang w:val="en-US"/>
        </w:rPr>
        <w:t xml:space="preserve"> </w:t>
      </w:r>
      <w:r>
        <w:rPr>
          <w:lang w:val="en-US"/>
        </w:rPr>
        <w:t>sixth-form computer scheme as</w:t>
      </w:r>
      <w:r w:rsidR="002C5611" w:rsidRPr="001E1292">
        <w:rPr>
          <w:lang w:val="en-US"/>
        </w:rPr>
        <w:t xml:space="preserve"> a way to en</w:t>
      </w:r>
      <w:r w:rsidR="002C5611">
        <w:rPr>
          <w:lang w:val="en-US"/>
        </w:rPr>
        <w:t>s</w:t>
      </w:r>
      <w:r w:rsidR="002C5611" w:rsidRPr="001E1292">
        <w:rPr>
          <w:lang w:val="en-US"/>
        </w:rPr>
        <w:t>ure digital suppor</w:t>
      </w:r>
      <w:r>
        <w:rPr>
          <w:lang w:val="en-US"/>
        </w:rPr>
        <w:t>t for these learners. All sixth-</w:t>
      </w:r>
      <w:r w:rsidR="002C5611" w:rsidRPr="001E1292">
        <w:rPr>
          <w:lang w:val="en-US"/>
        </w:rPr>
        <w:t>form students can opt in. They pay £25 a m</w:t>
      </w:r>
      <w:r>
        <w:rPr>
          <w:lang w:val="en-US"/>
        </w:rPr>
        <w:t xml:space="preserve">onth for the two years of sixth </w:t>
      </w:r>
      <w:r w:rsidR="002C5611" w:rsidRPr="001E1292">
        <w:rPr>
          <w:lang w:val="en-US"/>
        </w:rPr>
        <w:t xml:space="preserve">form for a laptop and </w:t>
      </w:r>
      <w:r w:rsidR="002C5611">
        <w:rPr>
          <w:lang w:val="en-US"/>
        </w:rPr>
        <w:t xml:space="preserve">technical </w:t>
      </w:r>
      <w:r w:rsidR="002C5611" w:rsidRPr="001E1292">
        <w:rPr>
          <w:lang w:val="en-US"/>
        </w:rPr>
        <w:t xml:space="preserve">support and then keep the computer at the end of </w:t>
      </w:r>
      <w:r w:rsidR="002C5611">
        <w:rPr>
          <w:lang w:val="en-US"/>
        </w:rPr>
        <w:t>the sixth form</w:t>
      </w:r>
      <w:r w:rsidR="002C5611" w:rsidRPr="001E1292">
        <w:rPr>
          <w:lang w:val="en-US"/>
        </w:rPr>
        <w:t xml:space="preserve">. </w:t>
      </w:r>
    </w:p>
    <w:p w:rsidR="002C5611" w:rsidRDefault="002C5611" w:rsidP="00866852">
      <w:pPr>
        <w:pStyle w:val="BCSParagraph"/>
        <w:rPr>
          <w:lang w:val="en-US"/>
        </w:rPr>
      </w:pPr>
      <w:r>
        <w:rPr>
          <w:lang w:val="en-US"/>
        </w:rPr>
        <w:t>School 4 places learning materials, including those for homework</w:t>
      </w:r>
      <w:r w:rsidR="003A0CAC">
        <w:rPr>
          <w:lang w:val="en-US"/>
        </w:rPr>
        <w:t>,</w:t>
      </w:r>
      <w:r w:rsidR="006278B3">
        <w:rPr>
          <w:lang w:val="en-US"/>
        </w:rPr>
        <w:t xml:space="preserve"> on the learning platform</w:t>
      </w:r>
      <w:r>
        <w:rPr>
          <w:lang w:val="en-US"/>
        </w:rPr>
        <w:t xml:space="preserve"> on Mon</w:t>
      </w:r>
      <w:r w:rsidR="003A0CAC">
        <w:rPr>
          <w:lang w:val="en-US"/>
        </w:rPr>
        <w:t xml:space="preserve">day morning. This allows flexible working for learners, who can </w:t>
      </w:r>
      <w:r>
        <w:rPr>
          <w:lang w:val="en-US"/>
        </w:rPr>
        <w:t>access material at a time of their choosing</w:t>
      </w:r>
      <w:r w:rsidR="003A0CAC">
        <w:rPr>
          <w:lang w:val="en-US"/>
        </w:rPr>
        <w:t xml:space="preserve">. </w:t>
      </w:r>
      <w:r>
        <w:rPr>
          <w:lang w:val="en-US"/>
        </w:rPr>
        <w:t xml:space="preserve">The school </w:t>
      </w:r>
      <w:r w:rsidRPr="001E1292">
        <w:rPr>
          <w:lang w:val="en-US"/>
        </w:rPr>
        <w:t>is piloting students taking aspects of the European Computer Driving L</w:t>
      </w:r>
      <w:r w:rsidR="006474E9">
        <w:rPr>
          <w:lang w:val="en-US"/>
        </w:rPr>
        <w:t>icence (ECDL) modules at home. However, before learners</w:t>
      </w:r>
      <w:r w:rsidRPr="001E1292">
        <w:rPr>
          <w:lang w:val="en-US"/>
        </w:rPr>
        <w:t xml:space="preserve"> can have this flexible approach to learning</w:t>
      </w:r>
      <w:r w:rsidR="006474E9">
        <w:rPr>
          <w:lang w:val="en-US"/>
        </w:rPr>
        <w:t>,</w:t>
      </w:r>
      <w:r w:rsidRPr="001E1292">
        <w:rPr>
          <w:lang w:val="en-US"/>
        </w:rPr>
        <w:t xml:space="preserve"> they</w:t>
      </w:r>
      <w:r w:rsidR="006474E9">
        <w:rPr>
          <w:lang w:val="en-US"/>
        </w:rPr>
        <w:t xml:space="preserve"> must have completed and passed</w:t>
      </w:r>
      <w:r>
        <w:rPr>
          <w:lang w:val="en-US"/>
        </w:rPr>
        <w:t xml:space="preserve"> a number of other modules in</w:t>
      </w:r>
      <w:r w:rsidR="006474E9">
        <w:rPr>
          <w:lang w:val="en-US"/>
        </w:rPr>
        <w:t xml:space="preserve"> the course. </w:t>
      </w:r>
      <w:r>
        <w:rPr>
          <w:lang w:val="en-US"/>
        </w:rPr>
        <w:t>This flexibility has been seen to enhance engag</w:t>
      </w:r>
      <w:r w:rsidR="006474E9">
        <w:rPr>
          <w:lang w:val="en-US"/>
        </w:rPr>
        <w:t>ement and also independence of</w:t>
      </w:r>
      <w:r>
        <w:rPr>
          <w:lang w:val="en-US"/>
        </w:rPr>
        <w:t xml:space="preserve"> learner</w:t>
      </w:r>
      <w:r w:rsidR="006474E9">
        <w:rPr>
          <w:lang w:val="en-US"/>
        </w:rPr>
        <w:t>s</w:t>
      </w:r>
      <w:r>
        <w:rPr>
          <w:lang w:val="en-US"/>
        </w:rPr>
        <w:t xml:space="preserve">. </w:t>
      </w:r>
    </w:p>
    <w:p w:rsidR="002C5611" w:rsidRPr="00866852" w:rsidRDefault="002C5611" w:rsidP="00866852">
      <w:pPr>
        <w:pStyle w:val="BCSHeadingC"/>
        <w:rPr>
          <w:lang w:val="en-US"/>
        </w:rPr>
      </w:pPr>
      <w:bookmarkStart w:id="126" w:name="_Toc248222220"/>
      <w:bookmarkStart w:id="127" w:name="_Toc248651426"/>
      <w:bookmarkStart w:id="128" w:name="_Toc248651469"/>
      <w:bookmarkStart w:id="129" w:name="_Toc248651617"/>
      <w:bookmarkStart w:id="130" w:name="_Toc248652474"/>
      <w:r w:rsidRPr="009E4166">
        <w:t>The technological sweet</w:t>
      </w:r>
      <w:bookmarkEnd w:id="126"/>
      <w:bookmarkEnd w:id="127"/>
      <w:bookmarkEnd w:id="128"/>
      <w:bookmarkEnd w:id="129"/>
      <w:bookmarkEnd w:id="130"/>
    </w:p>
    <w:p w:rsidR="002C5611" w:rsidRDefault="002C5611" w:rsidP="00866852">
      <w:pPr>
        <w:pStyle w:val="BCSParagraph"/>
        <w:rPr>
          <w:lang w:val="en-US"/>
        </w:rPr>
      </w:pPr>
      <w:r>
        <w:rPr>
          <w:lang w:val="en-US"/>
        </w:rPr>
        <w:t xml:space="preserve">A number of teachers </w:t>
      </w:r>
      <w:r w:rsidDel="00C301F0">
        <w:rPr>
          <w:lang w:val="en-US"/>
        </w:rPr>
        <w:t xml:space="preserve">explained </w:t>
      </w:r>
      <w:r w:rsidR="00152C76">
        <w:rPr>
          <w:lang w:val="en-US"/>
        </w:rPr>
        <w:t xml:space="preserve">how they use technology as a reward. </w:t>
      </w:r>
      <w:r>
        <w:rPr>
          <w:lang w:val="en-US"/>
        </w:rPr>
        <w:t xml:space="preserve">For example, one English teacher told her students that they could only do a podcast if they had completed </w:t>
      </w:r>
      <w:r w:rsidR="00152C76">
        <w:rPr>
          <w:lang w:val="en-US"/>
        </w:rPr>
        <w:t xml:space="preserve">all of their other activities. </w:t>
      </w:r>
      <w:r>
        <w:rPr>
          <w:lang w:val="en-US"/>
        </w:rPr>
        <w:t>This prompted a number of students to spend time outside of lessons completing tasks because they wanted to do the podcasts</w:t>
      </w:r>
      <w:r w:rsidR="00152C76">
        <w:rPr>
          <w:lang w:val="en-US"/>
        </w:rPr>
        <w:t>. In this way, t</w:t>
      </w:r>
      <w:r>
        <w:rPr>
          <w:lang w:val="en-US"/>
        </w:rPr>
        <w:t>he podcasts acted as an extrinsic reward.</w:t>
      </w:r>
    </w:p>
    <w:p w:rsidR="002C5611" w:rsidDel="00C301F0" w:rsidRDefault="002C5611" w:rsidP="00866852">
      <w:pPr>
        <w:pStyle w:val="BCSParagraph"/>
        <w:rPr>
          <w:lang w:val="en-US"/>
        </w:rPr>
      </w:pPr>
      <w:r>
        <w:rPr>
          <w:lang w:val="en-US"/>
        </w:rPr>
        <w:t xml:space="preserve">The nurture groups use the concept of extrinsic reward to some effect but </w:t>
      </w:r>
      <w:r w:rsidR="00152C76">
        <w:rPr>
          <w:lang w:val="en-US"/>
        </w:rPr>
        <w:t xml:space="preserve">this raises the question of potential impact </w:t>
      </w:r>
      <w:r>
        <w:rPr>
          <w:lang w:val="en-US"/>
        </w:rPr>
        <w:t xml:space="preserve">on the pupil who is working hard at school but not getting access to fun activities such as </w:t>
      </w:r>
      <w:r w:rsidRPr="007C4704">
        <w:rPr>
          <w:iCs/>
          <w:lang w:val="en-US"/>
        </w:rPr>
        <w:t>Wii</w:t>
      </w:r>
      <w:r w:rsidRPr="007C4704">
        <w:rPr>
          <w:lang w:val="en-US"/>
        </w:rPr>
        <w:t xml:space="preserve"> </w:t>
      </w:r>
      <w:r>
        <w:rPr>
          <w:lang w:val="en-US"/>
        </w:rPr>
        <w:t>sports. This was not a concern for this school, however.</w:t>
      </w:r>
    </w:p>
    <w:p w:rsidR="002C5611" w:rsidRPr="00D06F89" w:rsidRDefault="002C5611" w:rsidP="00866852">
      <w:pPr>
        <w:pStyle w:val="BCSHeadingC"/>
      </w:pPr>
      <w:bookmarkStart w:id="131" w:name="_Toc248222221"/>
      <w:bookmarkStart w:id="132" w:name="_Toc248651427"/>
      <w:bookmarkStart w:id="133" w:name="_Toc248651470"/>
      <w:bookmarkStart w:id="134" w:name="_Toc248651618"/>
      <w:bookmarkStart w:id="135" w:name="_Toc248652475"/>
      <w:r w:rsidRPr="00D06F89" w:rsidDel="00C301F0">
        <w:rPr>
          <w:lang w:val="en-US"/>
        </w:rPr>
        <w:t>T</w:t>
      </w:r>
      <w:r w:rsidR="00152C76">
        <w:t>he transition p</w:t>
      </w:r>
      <w:r w:rsidRPr="00D06F89">
        <w:t>rocess</w:t>
      </w:r>
      <w:bookmarkEnd w:id="131"/>
      <w:bookmarkEnd w:id="132"/>
      <w:bookmarkEnd w:id="133"/>
      <w:bookmarkEnd w:id="134"/>
      <w:bookmarkEnd w:id="135"/>
    </w:p>
    <w:p w:rsidR="002C5611" w:rsidRDefault="002C5611" w:rsidP="00866852">
      <w:pPr>
        <w:pStyle w:val="BCSParagraph"/>
      </w:pPr>
      <w:r>
        <w:t xml:space="preserve">Transitional activities are aimed at all children and include teacher visits, taster days and games. In </w:t>
      </w:r>
      <w:r w:rsidR="00977BF9">
        <w:t xml:space="preserve">both of the primary schools, contact is made by the secondary school teachers </w:t>
      </w:r>
      <w:r>
        <w:t xml:space="preserve">to meet and greet children </w:t>
      </w:r>
      <w:r w:rsidR="00977BF9">
        <w:t xml:space="preserve">in order </w:t>
      </w:r>
      <w:r>
        <w:t>to ease the transi</w:t>
      </w:r>
      <w:r w:rsidR="00977BF9">
        <w:t>tion process. Additionally the Year 5 and Year 6 pupils go into the secondary s</w:t>
      </w:r>
      <w:r>
        <w:t>chool for taster days</w:t>
      </w:r>
      <w:r w:rsidR="00977BF9">
        <w:t>,</w:t>
      </w:r>
      <w:r>
        <w:t xml:space="preserve"> where they become familiar with the surr</w:t>
      </w:r>
      <w:r w:rsidR="00977BF9">
        <w:t>oundings and the teachers. The secondary s</w:t>
      </w:r>
      <w:r>
        <w:t xml:space="preserve">chool has around 14 main feeder schools </w:t>
      </w:r>
      <w:r w:rsidR="004A754C">
        <w:t xml:space="preserve">with </w:t>
      </w:r>
      <w:r>
        <w:t>whic</w:t>
      </w:r>
      <w:r w:rsidR="004A754C">
        <w:t>h it has contact,</w:t>
      </w:r>
      <w:r>
        <w:t xml:space="preserve"> but it actually draw</w:t>
      </w:r>
      <w:r w:rsidR="004A754C">
        <w:t>s</w:t>
      </w:r>
      <w:r>
        <w:t xml:space="preserve"> pupils from over 30 primaries.</w:t>
      </w:r>
    </w:p>
    <w:p w:rsidR="002C5611" w:rsidRDefault="002C5611" w:rsidP="00866852">
      <w:pPr>
        <w:pStyle w:val="BCSParagraph"/>
        <w:ind w:left="567"/>
      </w:pPr>
      <w:r>
        <w:t>S</w:t>
      </w:r>
      <w:r w:rsidRPr="00EF70C6">
        <w:t>ome teachers make visits to the primary school so the learners</w:t>
      </w:r>
      <w:r>
        <w:t xml:space="preserve"> feel comfortable with the teachers and become familiar with them</w:t>
      </w:r>
      <w:r w:rsidRPr="00EF70C6">
        <w:t>. For example</w:t>
      </w:r>
      <w:r>
        <w:t>,</w:t>
      </w:r>
      <w:r w:rsidRPr="00EF70C6">
        <w:t xml:space="preserve"> the</w:t>
      </w:r>
      <w:r w:rsidR="004A754C">
        <w:t xml:space="preserve"> French teacher will visit the Y</w:t>
      </w:r>
      <w:r w:rsidRPr="00EF70C6">
        <w:t xml:space="preserve">ear </w:t>
      </w:r>
      <w:r w:rsidR="00850FA7">
        <w:t xml:space="preserve">5 and Year </w:t>
      </w:r>
      <w:r w:rsidR="004A754C">
        <w:t>6 classes</w:t>
      </w:r>
      <w:r w:rsidRPr="00EF70C6">
        <w:t xml:space="preserve"> to teach a few lessons.</w:t>
      </w:r>
    </w:p>
    <w:p w:rsidR="002C5611" w:rsidRDefault="00866852" w:rsidP="00866852">
      <w:pPr>
        <w:pStyle w:val="BCSParagraph"/>
        <w:ind w:firstLine="5103"/>
      </w:pPr>
      <w:r>
        <w:tab/>
      </w:r>
      <w:r>
        <w:tab/>
      </w:r>
      <w:r>
        <w:tab/>
      </w:r>
      <w:r>
        <w:tab/>
      </w:r>
      <w:r>
        <w:tab/>
      </w:r>
      <w:r w:rsidR="002C5611" w:rsidRPr="00CF3020">
        <w:t>Pri</w:t>
      </w:r>
      <w:r w:rsidR="0006048F">
        <w:t>mary 2, Head</w:t>
      </w:r>
      <w:r w:rsidR="002C5611">
        <w:t>teacher</w:t>
      </w:r>
    </w:p>
    <w:p w:rsidR="002C5611" w:rsidRDefault="002C5611" w:rsidP="00284E2B">
      <w:pPr>
        <w:pStyle w:val="BCSParagraph"/>
        <w:tabs>
          <w:tab w:val="center" w:pos="5245"/>
        </w:tabs>
        <w:ind w:left="567"/>
      </w:pPr>
      <w:r>
        <w:t xml:space="preserve">The Education Welfare Office had provided computer games </w:t>
      </w:r>
      <w:r w:rsidR="004A754C">
        <w:t xml:space="preserve">for learners that centre on </w:t>
      </w:r>
      <w:r>
        <w:t>transition from primary to secondary school. These games aid their knowledge and understanding of secondary school in order to make them comfortable with the transition. The games consist of activities such as ‘walking to school correctly’</w:t>
      </w:r>
      <w:r w:rsidR="00284E2B">
        <w:tab/>
      </w:r>
      <w:r w:rsidR="00284E2B">
        <w:tab/>
        <w:t>Primary 2,</w:t>
      </w:r>
      <w:r w:rsidR="0006048F">
        <w:t>Head</w:t>
      </w:r>
      <w:r>
        <w:t>teacher</w:t>
      </w:r>
    </w:p>
    <w:p w:rsidR="002C5611" w:rsidRDefault="002C5611" w:rsidP="002C5611">
      <w:pPr>
        <w:spacing w:after="120"/>
        <w:jc w:val="both"/>
      </w:pPr>
    </w:p>
    <w:p w:rsidR="002C5611" w:rsidRDefault="002C5611" w:rsidP="00007F46">
      <w:pPr>
        <w:pStyle w:val="BCSHeadingC"/>
      </w:pPr>
      <w:bookmarkStart w:id="136" w:name="_Toc248651428"/>
      <w:bookmarkStart w:id="137" w:name="_Toc248651471"/>
      <w:bookmarkStart w:id="138" w:name="_Toc248651619"/>
      <w:bookmarkStart w:id="139" w:name="_Toc248652476"/>
      <w:r w:rsidRPr="00B55D7E">
        <w:t>Strategies for low</w:t>
      </w:r>
      <w:r w:rsidR="004A754C">
        <w:t xml:space="preserve"> achievers and under</w:t>
      </w:r>
      <w:r w:rsidRPr="00B55D7E">
        <w:t>achievers</w:t>
      </w:r>
      <w:bookmarkEnd w:id="136"/>
      <w:bookmarkEnd w:id="137"/>
      <w:bookmarkEnd w:id="138"/>
      <w:bookmarkEnd w:id="139"/>
    </w:p>
    <w:p w:rsidR="002C5611" w:rsidRDefault="002C5611" w:rsidP="00007F46">
      <w:pPr>
        <w:pStyle w:val="BCSParagraph"/>
      </w:pPr>
      <w:r>
        <w:t xml:space="preserve">The primary </w:t>
      </w:r>
      <w:r w:rsidR="004A754C">
        <w:t>schools made special transition</w:t>
      </w:r>
      <w:r>
        <w:t xml:space="preserve"> arrangements for low achievers as defined by designations o</w:t>
      </w:r>
      <w:r w:rsidR="004A754C">
        <w:t>f Special Education</w:t>
      </w:r>
      <w:r w:rsidR="00DD35A9">
        <w:t>al</w:t>
      </w:r>
      <w:r w:rsidR="004A754C">
        <w:t xml:space="preserve"> Needs (SEN)</w:t>
      </w:r>
      <w:r>
        <w:t>. In both primary</w:t>
      </w:r>
      <w:r w:rsidR="004A754C">
        <w:t xml:space="preserve"> schools the special education</w:t>
      </w:r>
      <w:r w:rsidR="00DD35A9">
        <w:t>al</w:t>
      </w:r>
      <w:r>
        <w:t xml:space="preserve"> needs co-ordinator (SENCO) knows all the names of the children with a registered SEN. The SENCO works with the family of feeder schools for the receiving secondary school, and records full profiles of children in order to flag up those most in need. </w:t>
      </w:r>
    </w:p>
    <w:p w:rsidR="00007F46" w:rsidRDefault="002C5611" w:rsidP="00007F46">
      <w:pPr>
        <w:pStyle w:val="BCSParagraph"/>
      </w:pPr>
      <w:r>
        <w:t>In contrast</w:t>
      </w:r>
      <w:r w:rsidR="00DD35A9">
        <w:t>,</w:t>
      </w:r>
      <w:r>
        <w:t xml:space="preserve"> there are no specific strategi</w:t>
      </w:r>
      <w:r w:rsidR="00DD35A9">
        <w:t>es or activities aimed at under</w:t>
      </w:r>
      <w:r>
        <w:t xml:space="preserve">achievers. The receiving secondary school, however, </w:t>
      </w:r>
      <w:r w:rsidDel="00B1568A">
        <w:t>has repeatedly observed</w:t>
      </w:r>
      <w:r>
        <w:t xml:space="preserve"> notable</w:t>
      </w:r>
      <w:r w:rsidRPr="00486C04">
        <w:t xml:space="preserve"> difference</w:t>
      </w:r>
      <w:r>
        <w:t>s</w:t>
      </w:r>
      <w:r w:rsidRPr="00486C04">
        <w:t xml:space="preserve"> between boys’ and girls’ academic maturity at their point of entry to secondary education</w:t>
      </w:r>
      <w:r>
        <w:t>.</w:t>
      </w:r>
      <w:r w:rsidRPr="00486C04">
        <w:t xml:space="preserve"> </w:t>
      </w:r>
      <w:r>
        <w:t>T</w:t>
      </w:r>
      <w:r w:rsidRPr="00486C04">
        <w:t>he</w:t>
      </w:r>
      <w:r>
        <w:t xml:space="preserve"> school notices that </w:t>
      </w:r>
      <w:r w:rsidRPr="00486C04">
        <w:t xml:space="preserve">girls’ literacy, handwriting and general presentation skills </w:t>
      </w:r>
      <w:r>
        <w:t xml:space="preserve">are </w:t>
      </w:r>
      <w:r w:rsidR="00DD35A9">
        <w:t xml:space="preserve">generally </w:t>
      </w:r>
      <w:r w:rsidRPr="00486C04">
        <w:t xml:space="preserve">more advanced than </w:t>
      </w:r>
      <w:r w:rsidR="00DD35A9">
        <w:t xml:space="preserve">those of </w:t>
      </w:r>
      <w:r w:rsidRPr="00486C04">
        <w:t>boys from a very early age. They indicate that</w:t>
      </w:r>
      <w:r w:rsidR="009B3EFC">
        <w:t xml:space="preserve"> </w:t>
      </w:r>
      <w:r w:rsidR="00DD35A9">
        <w:t xml:space="preserve">a </w:t>
      </w:r>
      <w:r>
        <w:t>large proportion of</w:t>
      </w:r>
      <w:r w:rsidRPr="00486C04">
        <w:t xml:space="preserve"> boys</w:t>
      </w:r>
      <w:r w:rsidR="009B3EFC">
        <w:t xml:space="preserve"> </w:t>
      </w:r>
      <w:r w:rsidRPr="00486C04">
        <w:t>do not like to read</w:t>
      </w:r>
      <w:r w:rsidR="009B3EFC">
        <w:t>,</w:t>
      </w:r>
      <w:r w:rsidRPr="00486C04">
        <w:t xml:space="preserve"> and </w:t>
      </w:r>
      <w:r w:rsidR="009B3EFC">
        <w:t xml:space="preserve">they </w:t>
      </w:r>
      <w:r w:rsidRPr="00486C04">
        <w:t>suggest</w:t>
      </w:r>
      <w:r w:rsidR="009B3EFC">
        <w:t xml:space="preserve"> that there should be more ‘boy-</w:t>
      </w:r>
      <w:r w:rsidRPr="00486C04">
        <w:t>friendly’ material available. At Year 7</w:t>
      </w:r>
      <w:r w:rsidR="009B3EFC">
        <w:t xml:space="preserve"> the gap in performance is wide</w:t>
      </w:r>
      <w:r w:rsidRPr="00486C04">
        <w:t xml:space="preserve"> between boys and girls, with the latter being significantly advantaged, bu</w:t>
      </w:r>
      <w:r w:rsidR="009B3EFC">
        <w:t>t it is reduced to around 15% by Year 11 due to school-targeted</w:t>
      </w:r>
      <w:r w:rsidRPr="00486C04">
        <w:t xml:space="preserve"> literacy</w:t>
      </w:r>
      <w:r>
        <w:t xml:space="preserve"> throughout the school years</w:t>
      </w:r>
      <w:r w:rsidRPr="00486C04">
        <w:t>. While this rema</w:t>
      </w:r>
      <w:r w:rsidR="009B3EFC">
        <w:t xml:space="preserve">ins a noticeable difference, it is </w:t>
      </w:r>
      <w:r w:rsidRPr="00486C04">
        <w:t>perceived as a very real nar</w:t>
      </w:r>
      <w:r w:rsidR="009B3EFC">
        <w:t xml:space="preserve">rowing of the gap </w:t>
      </w:r>
      <w:r w:rsidR="007C4704">
        <w:t xml:space="preserve">that was </w:t>
      </w:r>
      <w:r w:rsidRPr="00486C04">
        <w:t>identified at that start of secondary schooling.</w:t>
      </w:r>
      <w:bookmarkStart w:id="140" w:name="_Toc248222222"/>
    </w:p>
    <w:p w:rsidR="002C5611" w:rsidRPr="00007F46" w:rsidRDefault="009B3EFC" w:rsidP="00007F46">
      <w:pPr>
        <w:pStyle w:val="BCSHeadingC"/>
      </w:pPr>
      <w:bookmarkStart w:id="141" w:name="_Toc248651429"/>
      <w:bookmarkStart w:id="142" w:name="_Toc248651472"/>
      <w:bookmarkStart w:id="143" w:name="_Toc248651620"/>
      <w:bookmarkStart w:id="144" w:name="_Toc248652477"/>
      <w:r>
        <w:t>Learner v</w:t>
      </w:r>
      <w:r w:rsidR="002C5611" w:rsidRPr="009E4166">
        <w:t>oice</w:t>
      </w:r>
      <w:bookmarkEnd w:id="140"/>
      <w:bookmarkEnd w:id="141"/>
      <w:bookmarkEnd w:id="142"/>
      <w:bookmarkEnd w:id="143"/>
      <w:bookmarkEnd w:id="144"/>
    </w:p>
    <w:p w:rsidR="002C5611" w:rsidRDefault="002C5611" w:rsidP="00007F46">
      <w:pPr>
        <w:pStyle w:val="BCSParagraph"/>
      </w:pPr>
      <w:r>
        <w:t>Although not originally part of the research brief</w:t>
      </w:r>
      <w:r w:rsidR="009B3EFC">
        <w:t>,</w:t>
      </w:r>
      <w:r>
        <w:t xml:space="preserve"> the work was e</w:t>
      </w:r>
      <w:r w:rsidR="009B3EFC">
        <w:t>xtended to investigate how learner</w:t>
      </w:r>
      <w:r>
        <w:t xml:space="preserve">s in our target populations experienced their </w:t>
      </w:r>
      <w:r w:rsidRPr="00C301F0">
        <w:t>sch</w:t>
      </w:r>
      <w:r w:rsidR="009B3EFC">
        <w:t>ool environment. Could the learner</w:t>
      </w:r>
      <w:r w:rsidRPr="00C301F0">
        <w:t>s identify key people, places or objects within the school that gave a sense of how they interacted with, and with</w:t>
      </w:r>
      <w:r w:rsidR="009B3EFC">
        <w:t>in, the educational environment?</w:t>
      </w:r>
      <w:r w:rsidRPr="00C301F0">
        <w:t xml:space="preserve"> </w:t>
      </w:r>
      <w:r w:rsidR="009B3EFC">
        <w:t>Learners</w:t>
      </w:r>
      <w:r>
        <w:t xml:space="preserve"> were asked to identify and capture, through a series of photographs, aspects of their school that were important</w:t>
      </w:r>
      <w:r w:rsidRPr="00434A05">
        <w:t xml:space="preserve"> </w:t>
      </w:r>
      <w:r>
        <w:t xml:space="preserve">to them personally. We also asked them to give a brief statement explaining why they had selected that image. In order to do this we developed a PowerPoint presentation consisting of </w:t>
      </w:r>
      <w:r w:rsidR="002157AB">
        <w:t>ten slides into which the learners</w:t>
      </w:r>
      <w:r>
        <w:t xml:space="preserve"> inserted ten images, one per slide. The explanation of why the imag</w:t>
      </w:r>
      <w:r w:rsidR="002157AB">
        <w:t xml:space="preserve">e was significant to the learner </w:t>
      </w:r>
      <w:r>
        <w:t>was to be written into a speech bubble. These photographs re</w:t>
      </w:r>
      <w:r w:rsidR="002157AB">
        <w:t>presented key aspects of a learner</w:t>
      </w:r>
      <w:r>
        <w:t>’s school life from his or her own perspective. People, places and objects not recorded were not necessarily unimportant to the child</w:t>
      </w:r>
      <w:r w:rsidR="00EE4D76">
        <w:t>,</w:t>
      </w:r>
      <w:r>
        <w:t xml:space="preserve"> but they were not of central interest.</w:t>
      </w:r>
    </w:p>
    <w:p w:rsidR="002C5611" w:rsidRDefault="002C5611" w:rsidP="00007F46">
      <w:pPr>
        <w:pStyle w:val="BCSParagraph"/>
      </w:pPr>
      <w:r>
        <w:t>The activity was designed to be non-threatening and to minimise the level of writing skills necessary to contribute. In this way</w:t>
      </w:r>
      <w:r w:rsidR="002157AB">
        <w:t>,</w:t>
      </w:r>
      <w:r>
        <w:t xml:space="preserve"> we so</w:t>
      </w:r>
      <w:r w:rsidR="002157AB">
        <w:t xml:space="preserve">ught to make </w:t>
      </w:r>
      <w:r>
        <w:t>the task</w:t>
      </w:r>
      <w:r w:rsidR="002157AB">
        <w:t xml:space="preserve"> accessible to all learners</w:t>
      </w:r>
      <w:r>
        <w:t>. However</w:t>
      </w:r>
      <w:r w:rsidR="002157AB">
        <w:t>, learner</w:t>
      </w:r>
      <w:r>
        <w:t>s responded to the task in differen</w:t>
      </w:r>
      <w:r w:rsidR="00391315">
        <w:t>t ways. Two thirds of the learners</w:t>
      </w:r>
      <w:r>
        <w:t xml:space="preserve"> completed the task as requested. Of those who took photographs</w:t>
      </w:r>
      <w:r w:rsidR="00391315">
        <w:t>,</w:t>
      </w:r>
      <w:r>
        <w:t xml:space="preserve"> the num</w:t>
      </w:r>
      <w:r w:rsidR="00391315">
        <w:t>ber of photographs varied from one</w:t>
      </w:r>
      <w:r>
        <w:t xml:space="preserve"> to the full 10 requeste</w:t>
      </w:r>
      <w:r w:rsidR="00391315">
        <w:t>d. Just under half of the learners</w:t>
      </w:r>
      <w:r>
        <w:t xml:space="preserve"> drew on clip art to represent elements that were important to them. This moved the focus away from school to life in general.</w:t>
      </w:r>
    </w:p>
    <w:p w:rsidR="002C5611" w:rsidRDefault="002C5611" w:rsidP="00007F46">
      <w:pPr>
        <w:pStyle w:val="BCSParagraph"/>
      </w:pPr>
      <w:r>
        <w:t>The outcomes of this task have proved in</w:t>
      </w:r>
      <w:r w:rsidR="005205E4">
        <w:t>teresting even though many learner</w:t>
      </w:r>
      <w:r>
        <w:t>s did not adhere to t</w:t>
      </w:r>
      <w:r w:rsidR="005205E4">
        <w:t xml:space="preserve">he brief that we set for them. </w:t>
      </w:r>
      <w:r>
        <w:t>A comparison of responses from two groups as to the importance of technology to these children is illuminating. Figure 3a shows that technolo</w:t>
      </w:r>
      <w:r w:rsidR="005205E4">
        <w:t>gy is not a focus for our learners in school</w:t>
      </w:r>
      <w:r w:rsidR="00EE4D76">
        <w:t>,</w:t>
      </w:r>
      <w:r w:rsidR="005205E4">
        <w:t xml:space="preserve"> but is</w:t>
      </w:r>
      <w:r>
        <w:t xml:space="preserve"> m</w:t>
      </w:r>
      <w:r w:rsidR="005205E4">
        <w:t>uch more important in their out-of-</w:t>
      </w:r>
      <w:r>
        <w:t>school life</w:t>
      </w:r>
      <w:r w:rsidR="00EE4D76">
        <w:t>.</w:t>
      </w:r>
      <w:r>
        <w:t xml:space="preserve"> Figure 3b</w:t>
      </w:r>
      <w:r w:rsidR="00EE4D76">
        <w:t xml:space="preserve"> shows that learners use technology primarily for entertainment and communication outside of school</w:t>
      </w:r>
      <w:r>
        <w:t>.</w:t>
      </w:r>
    </w:p>
    <w:p w:rsidR="002354D7" w:rsidRDefault="00D4185C" w:rsidP="00D4185C">
      <w:pPr>
        <w:pStyle w:val="BCSTableheadings"/>
      </w:pPr>
      <w:r w:rsidRPr="008D5366">
        <w:t>Figure</w:t>
      </w:r>
      <w:r>
        <w:t xml:space="preserve"> 3a</w:t>
      </w:r>
      <w:r w:rsidR="001D0479">
        <w:t xml:space="preserve">:  </w:t>
      </w:r>
      <w:r w:rsidR="00A82706">
        <w:t>C</w:t>
      </w:r>
      <w:r w:rsidR="000D5E21">
        <w:t xml:space="preserve">omparative </w:t>
      </w:r>
      <w:r w:rsidR="001D0479">
        <w:t>i</w:t>
      </w:r>
      <w:r w:rsidRPr="008D5366">
        <w:t>mportance of I</w:t>
      </w:r>
      <w:r w:rsidR="001D0479">
        <w:t>CT in and out of s</w:t>
      </w:r>
      <w:r w:rsidRPr="008D5366">
        <w:t>chool</w:t>
      </w:r>
    </w:p>
    <w:p w:rsidR="00A82706" w:rsidRDefault="006D47AD" w:rsidP="00D4185C">
      <w:pPr>
        <w:pStyle w:val="BCSTableheadings"/>
      </w:pPr>
      <w:r>
        <w:pict>
          <v:group id="_x0000_s1045" editas="canvas" style="width:380.25pt;height:252pt;mso-position-horizontal-relative:char;mso-position-vertical-relative:line" coordsize="7605,5040">
            <o:lock v:ext="edit" aspectratio="t"/>
            <v:shape id="_x0000_s1044" type="#_x0000_t75" style="position:absolute;width:7605;height:5040" o:preferrelative="f">
              <v:fill o:detectmouseclick="t"/>
              <v:path o:extrusionok="t" o:connecttype="none"/>
              <o:lock v:ext="edit" text="t"/>
            </v:shape>
            <v:rect id="_x0000_s1046" style="position:absolute;top:177;width:7423;height:4863" stroked="f"/>
            <v:rect id="_x0000_s1047" style="position:absolute;left:86;top:86;width:7433;height:4872" filled="f" strokeweight="1e-4mm"/>
            <v:line id="_x0000_s1048" style="position:absolute" from="1388,3864" to="6582,3865" strokeweight="1e-4mm"/>
            <v:line id="_x0000_s1049" style="position:absolute" from="1388,3365" to="6582,3366" strokeweight="1e-4mm"/>
            <v:line id="_x0000_s1050" style="position:absolute" from="1388,2870" to="6582,2871" strokeweight="1e-4mm"/>
            <v:line id="_x0000_s1051" style="position:absolute" from="1388,2366" to="6582,2367" strokeweight="1e-4mm"/>
            <v:line id="_x0000_s1052" style="position:absolute" from="1388,1867" to="6582,1868" strokeweight="1e-4mm"/>
            <v:line id="_x0000_s1053" style="position:absolute" from="1388,1368" to="6582,1369" strokeweight="1e-4mm"/>
            <v:line id="_x0000_s1054" style="position:absolute" from="1388,1368" to="6582,1369" strokecolor="gray" strokeweight="53e-5mm"/>
            <v:line id="_x0000_s1055" style="position:absolute" from="6582,1368" to="6583,4363" strokecolor="gray" strokeweight="53e-5mm"/>
            <v:line id="_x0000_s1056" style="position:absolute;flip:x" from="1388,4363" to="6582,4364" strokecolor="gray" strokeweight="53e-5mm"/>
            <v:line id="_x0000_s1057" style="position:absolute;flip:y" from="1388,1368" to="1389,4363" strokecolor="gray" strokeweight="53e-5mm"/>
            <v:rect id="_x0000_s1058" style="position:absolute;left:2205;top:4282;width:1047;height:86" fillcolor="#7f7f7f" stroked="f"/>
            <v:rect id="_x0000_s1059" style="position:absolute;left:4804;top:1531;width:1043;height:2837" fillcolor="#7f7f7f" stroked="f"/>
            <v:rect id="_x0000_s1060" style="position:absolute;left:2167;top:4243;width:1042;height:120" fillcolor="blue" stroked="f"/>
            <v:rect id="_x0000_s1061" style="position:absolute;left:4766;top:1493;width:1037;height:2870" fillcolor="blue" stroked="f"/>
            <v:line id="_x0000_s1062" style="position:absolute" from="1388,1368" to="1389,4363" strokeweight="1e-4mm"/>
            <v:line id="_x0000_s1063" style="position:absolute" from="1331,4363" to="1388,4364" strokeweight="1e-4mm"/>
            <v:line id="_x0000_s1064" style="position:absolute" from="1331,3864" to="1388,3865" strokeweight="1e-4mm"/>
            <v:line id="_x0000_s1065" style="position:absolute" from="1331,3365" to="1388,3366" strokeweight="1e-4mm"/>
            <v:line id="_x0000_s1066" style="position:absolute" from="1331,2870" to="1388,2871" strokeweight="1e-4mm"/>
            <v:line id="_x0000_s1067" style="position:absolute" from="1331,2366" to="1388,2367" strokeweight="1e-4mm"/>
            <v:line id="_x0000_s1068" style="position:absolute" from="1331,1867" to="1388,1868" strokeweight="1e-4mm"/>
            <v:line id="_x0000_s1069" style="position:absolute" from="1331,1368" to="1388,1369" strokeweight="1e-4mm"/>
            <v:line id="_x0000_s1070" style="position:absolute" from="1388,4363" to="6582,4364" strokeweight="1e-4mm"/>
            <v:line id="_x0000_s1071" style="position:absolute;flip:y" from="1388,4363" to="1389,4421" strokeweight="1e-4mm"/>
            <v:line id="_x0000_s1072" style="position:absolute;flip:y" from="3987,4363" to="3988,4421" strokeweight="1e-4mm"/>
            <v:line id="_x0000_s1073" style="position:absolute;flip:y" from="6582,4363" to="6583,4421" strokeweight="1e-4mm"/>
            <v:rect id="_x0000_s1074" style="position:absolute;left:1009;top:245;width:5580;height:290;mso-wrap-style:none" filled="f" stroked="f">
              <v:textbox style="mso-fit-shape-to-text:t" inset="0,0,0,0">
                <w:txbxContent>
                  <w:p w:rsidR="00793BF2" w:rsidRDefault="00793BF2">
                    <w:r>
                      <w:rPr>
                        <w:rFonts w:ascii="Verdana" w:hAnsi="Verdana" w:cs="Verdana"/>
                        <w:b/>
                        <w:bCs/>
                        <w:color w:val="000000"/>
                        <w:sz w:val="24"/>
                        <w:szCs w:val="24"/>
                        <w:lang w:val="en-US"/>
                      </w:rPr>
                      <w:t xml:space="preserve">Comparative Importance of ICT in School </w:t>
                    </w:r>
                  </w:p>
                </w:txbxContent>
              </v:textbox>
            </v:rect>
            <v:rect id="_x0000_s1075" style="position:absolute;left:3094;top:566;width:2323;height:290;mso-wrap-style:none" filled="f" stroked="f">
              <v:textbox style="mso-fit-shape-to-text:t" inset="0,0,0,0">
                <w:txbxContent>
                  <w:p w:rsidR="00793BF2" w:rsidRDefault="00793BF2">
                    <w:r>
                      <w:rPr>
                        <w:rFonts w:ascii="Verdana" w:hAnsi="Verdana" w:cs="Verdana"/>
                        <w:b/>
                        <w:bCs/>
                        <w:color w:val="000000"/>
                        <w:sz w:val="24"/>
                        <w:szCs w:val="24"/>
                        <w:lang w:val="en-US"/>
                      </w:rPr>
                      <w:t>and out of school</w:t>
                    </w:r>
                  </w:p>
                </w:txbxContent>
              </v:textbox>
            </v:rect>
            <v:rect id="_x0000_s1076" style="position:absolute;left:745;top:4229;width:497;height:240;mso-wrap-style:none" filled="f" stroked="f">
              <v:textbox style="mso-fit-shape-to-text:t" inset="0,0,0,0">
                <w:txbxContent>
                  <w:p w:rsidR="00793BF2" w:rsidRDefault="00793BF2">
                    <w:r>
                      <w:rPr>
                        <w:rFonts w:ascii="Verdana" w:hAnsi="Verdana" w:cs="Verdana"/>
                        <w:b/>
                        <w:bCs/>
                        <w:color w:val="000000"/>
                        <w:lang w:val="en-US"/>
                      </w:rPr>
                      <w:t>0.00</w:t>
                    </w:r>
                  </w:p>
                </w:txbxContent>
              </v:textbox>
            </v:rect>
            <v:rect id="_x0000_s1077" style="position:absolute;left:745;top:3729;width:497;height:240;mso-wrap-style:none" filled="f" stroked="f">
              <v:textbox style="mso-fit-shape-to-text:t" inset="0,0,0,0">
                <w:txbxContent>
                  <w:p w:rsidR="00793BF2" w:rsidRDefault="00793BF2">
                    <w:r>
                      <w:rPr>
                        <w:rFonts w:ascii="Verdana" w:hAnsi="Verdana" w:cs="Verdana"/>
                        <w:b/>
                        <w:bCs/>
                        <w:color w:val="000000"/>
                        <w:lang w:val="en-US"/>
                      </w:rPr>
                      <w:t>5.00</w:t>
                    </w:r>
                  </w:p>
                </w:txbxContent>
              </v:textbox>
            </v:rect>
            <v:rect id="_x0000_s1078" style="position:absolute;left:605;top:3230;width:638;height:240;mso-wrap-style:none" filled="f" stroked="f">
              <v:textbox style="mso-fit-shape-to-text:t" inset="0,0,0,0">
                <w:txbxContent>
                  <w:p w:rsidR="00793BF2" w:rsidRDefault="00793BF2">
                    <w:r>
                      <w:rPr>
                        <w:rFonts w:ascii="Verdana" w:hAnsi="Verdana" w:cs="Verdana"/>
                        <w:b/>
                        <w:bCs/>
                        <w:color w:val="000000"/>
                        <w:lang w:val="en-US"/>
                      </w:rPr>
                      <w:t>10.00</w:t>
                    </w:r>
                  </w:p>
                </w:txbxContent>
              </v:textbox>
            </v:rect>
            <v:rect id="_x0000_s1079" style="position:absolute;left:605;top:2736;width:638;height:240;mso-wrap-style:none" filled="f" stroked="f">
              <v:textbox style="mso-fit-shape-to-text:t" inset="0,0,0,0">
                <w:txbxContent>
                  <w:p w:rsidR="00793BF2" w:rsidRDefault="00793BF2">
                    <w:r>
                      <w:rPr>
                        <w:rFonts w:ascii="Verdana" w:hAnsi="Verdana" w:cs="Verdana"/>
                        <w:b/>
                        <w:bCs/>
                        <w:color w:val="000000"/>
                        <w:lang w:val="en-US"/>
                      </w:rPr>
                      <w:t>15.00</w:t>
                    </w:r>
                  </w:p>
                </w:txbxContent>
              </v:textbox>
            </v:rect>
            <v:rect id="_x0000_s1080" style="position:absolute;left:605;top:2232;width:638;height:240;mso-wrap-style:none" filled="f" stroked="f">
              <v:textbox style="mso-fit-shape-to-text:t" inset="0,0,0,0">
                <w:txbxContent>
                  <w:p w:rsidR="00793BF2" w:rsidRDefault="00793BF2">
                    <w:r>
                      <w:rPr>
                        <w:rFonts w:ascii="Verdana" w:hAnsi="Verdana" w:cs="Verdana"/>
                        <w:b/>
                        <w:bCs/>
                        <w:color w:val="000000"/>
                        <w:lang w:val="en-US"/>
                      </w:rPr>
                      <w:t>20.00</w:t>
                    </w:r>
                  </w:p>
                </w:txbxContent>
              </v:textbox>
            </v:rect>
            <v:rect id="_x0000_s1081" style="position:absolute;left:605;top:1733;width:638;height:240;mso-wrap-style:none" filled="f" stroked="f">
              <v:textbox style="mso-fit-shape-to-text:t" inset="0,0,0,0">
                <w:txbxContent>
                  <w:p w:rsidR="00793BF2" w:rsidRDefault="00793BF2">
                    <w:r>
                      <w:rPr>
                        <w:rFonts w:ascii="Verdana" w:hAnsi="Verdana" w:cs="Verdana"/>
                        <w:b/>
                        <w:bCs/>
                        <w:color w:val="000000"/>
                        <w:lang w:val="en-US"/>
                      </w:rPr>
                      <w:t>25.00</w:t>
                    </w:r>
                  </w:p>
                </w:txbxContent>
              </v:textbox>
            </v:rect>
            <v:rect id="_x0000_s1082" style="position:absolute;left:605;top:1233;width:638;height:240;mso-wrap-style:none" filled="f" stroked="f">
              <v:textbox style="mso-fit-shape-to-text:t" inset="0,0,0,0">
                <w:txbxContent>
                  <w:p w:rsidR="00793BF2" w:rsidRDefault="00793BF2">
                    <w:r>
                      <w:rPr>
                        <w:rFonts w:ascii="Verdana" w:hAnsi="Verdana" w:cs="Verdana"/>
                        <w:b/>
                        <w:bCs/>
                        <w:color w:val="000000"/>
                        <w:lang w:val="en-US"/>
                      </w:rPr>
                      <w:t>30.00</w:t>
                    </w:r>
                  </w:p>
                </w:txbxContent>
              </v:textbox>
            </v:rect>
            <v:rect id="_x0000_s1083" style="position:absolute;left:2162;top:4502;width:1058;height:240;mso-wrap-style:none" filled="f" stroked="f">
              <v:textbox style="mso-fit-shape-to-text:t" inset="0,0,0,0">
                <w:txbxContent>
                  <w:p w:rsidR="00793BF2" w:rsidRDefault="00793BF2">
                    <w:r>
                      <w:rPr>
                        <w:rFonts w:ascii="Verdana" w:hAnsi="Verdana" w:cs="Verdana"/>
                        <w:b/>
                        <w:bCs/>
                        <w:color w:val="000000"/>
                        <w:lang w:val="en-US"/>
                      </w:rPr>
                      <w:t>In School</w:t>
                    </w:r>
                  </w:p>
                </w:txbxContent>
              </v:textbox>
            </v:rect>
            <v:rect id="_x0000_s1084" style="position:absolute;left:4605;top:4502;width:1765;height:240" filled="f" stroked="f">
              <v:textbox style="mso-fit-shape-to-text:t" inset="0,0,0,0">
                <w:txbxContent>
                  <w:p w:rsidR="00793BF2" w:rsidRDefault="00793BF2">
                    <w:r>
                      <w:rPr>
                        <w:rFonts w:ascii="Verdana" w:hAnsi="Verdana" w:cs="Verdana"/>
                        <w:b/>
                        <w:bCs/>
                        <w:color w:val="000000"/>
                        <w:lang w:val="en-US"/>
                      </w:rPr>
                      <w:t>Out of school</w:t>
                    </w:r>
                  </w:p>
                </w:txbxContent>
              </v:textbox>
            </v:rect>
            <v:rect id="_x0000_s1085" style="position:absolute;left:1165;top:-86;width:240;height:2398;rotation:270;mso-wrap-style:none" filled="f" stroked="f">
              <v:textbox style="mso-fit-shape-to-text:t" inset="0,0,0,0">
                <w:txbxContent>
                  <w:p w:rsidR="00793BF2" w:rsidRDefault="00793BF2">
                    <w:r>
                      <w:rPr>
                        <w:rFonts w:ascii="Verdana" w:hAnsi="Verdana" w:cs="Verdana"/>
                        <w:b/>
                        <w:bCs/>
                        <w:color w:val="000000"/>
                        <w:lang w:val="en-US"/>
                      </w:rPr>
                      <w:t>Percentage reference</w:t>
                    </w:r>
                  </w:p>
                </w:txbxContent>
              </v:textbox>
            </v:rect>
            <v:rect id="_x0000_s1086" style="position:absolute;left:6745;top:2726;width:716;height:284" stroked="f"/>
            <v:rect id="_x0000_s1087" style="position:absolute;left:6808;top:2794;width:144;height:144" fillcolor="blue" stroked="f"/>
            <v:rect id="_x0000_s1088" style="position:absolute;left:7000;top:2741;width:389;height:240;mso-wrap-style:none" filled="f" stroked="f">
              <v:textbox style="mso-fit-shape-to-text:t" inset="0,0,0,0">
                <w:txbxContent>
                  <w:p w:rsidR="00793BF2" w:rsidRDefault="00793BF2">
                    <w:r>
                      <w:rPr>
                        <w:rFonts w:ascii="Verdana" w:hAnsi="Verdana" w:cs="Verdana"/>
                        <w:b/>
                        <w:bCs/>
                        <w:color w:val="000000"/>
                        <w:lang w:val="en-US"/>
                      </w:rPr>
                      <w:t>ICT</w:t>
                    </w:r>
                  </w:p>
                </w:txbxContent>
              </v:textbox>
            </v:rect>
            <w10:anchorlock/>
          </v:group>
        </w:pict>
      </w:r>
    </w:p>
    <w:p w:rsidR="002354D7" w:rsidRDefault="002354D7" w:rsidP="00152749">
      <w:pPr>
        <w:pStyle w:val="BCSParagraph"/>
      </w:pPr>
    </w:p>
    <w:p w:rsidR="00936908" w:rsidRDefault="00936908" w:rsidP="00152749">
      <w:pPr>
        <w:pStyle w:val="BCSParagraph"/>
      </w:pPr>
    </w:p>
    <w:p w:rsidR="00936908" w:rsidRDefault="00936908" w:rsidP="00152749">
      <w:pPr>
        <w:pStyle w:val="BCSParagraph"/>
      </w:pPr>
    </w:p>
    <w:p w:rsidR="00936908" w:rsidRDefault="00936908" w:rsidP="00152749">
      <w:pPr>
        <w:pStyle w:val="BCSParagraph"/>
      </w:pPr>
    </w:p>
    <w:p w:rsidR="00936908" w:rsidRDefault="00936908" w:rsidP="00152749">
      <w:pPr>
        <w:pStyle w:val="BCSParagraph"/>
      </w:pPr>
    </w:p>
    <w:p w:rsidR="00936908" w:rsidRDefault="00936908" w:rsidP="00152749">
      <w:pPr>
        <w:pStyle w:val="BCSParagraph"/>
      </w:pPr>
    </w:p>
    <w:p w:rsidR="00793B44" w:rsidRPr="00934E48" w:rsidRDefault="00D4185C" w:rsidP="00A82706">
      <w:pPr>
        <w:pStyle w:val="BCSParagraph"/>
      </w:pPr>
      <w:r w:rsidRPr="00934E48">
        <w:t>Figure 3b</w:t>
      </w:r>
      <w:r w:rsidR="001D0479" w:rsidRPr="00934E48">
        <w:t>:  The uses of ICT out of s</w:t>
      </w:r>
      <w:r w:rsidRPr="00934E48">
        <w:t>chool</w:t>
      </w:r>
    </w:p>
    <w:p w:rsidR="00793B44" w:rsidRPr="00152749" w:rsidRDefault="006D47AD" w:rsidP="00A6645B">
      <w:pPr>
        <w:pStyle w:val="BCSHeadingA"/>
        <w:rPr>
          <w:rStyle w:val="BCSParagraphChar"/>
        </w:rPr>
      </w:pPr>
      <w:bookmarkStart w:id="145" w:name="_Toc248652478"/>
      <w:r w:rsidRPr="006D47AD">
        <w:rPr>
          <w:noProof/>
        </w:rPr>
        <w:pict>
          <v:shape id="_x0000_s1038" type="#_x0000_t75" style="position:absolute;margin-left:0;margin-top:.35pt;width:370.8pt;height:231pt;z-index:251658752;visibility:visible;mso-position-horizontal:left" strokeweight=".25pt">
            <v:imagedata r:id="rId24" o:title=""/>
            <w10:wrap type="square" side="right"/>
          </v:shape>
        </w:pict>
      </w:r>
      <w:bookmarkEnd w:id="145"/>
      <w:r w:rsidR="00670A7B">
        <w:rPr>
          <w:rStyle w:val="BCSParagraphChar"/>
        </w:rPr>
        <w:br w:type="textWrapping" w:clear="all"/>
      </w:r>
    </w:p>
    <w:p w:rsidR="00670A7B" w:rsidRDefault="00670A7B" w:rsidP="00887A5F">
      <w:pPr>
        <w:pStyle w:val="BCSParagraph"/>
      </w:pPr>
    </w:p>
    <w:p w:rsidR="00670A7B" w:rsidRDefault="00670A7B" w:rsidP="00887A5F">
      <w:pPr>
        <w:pStyle w:val="BCSParagraph"/>
      </w:pPr>
    </w:p>
    <w:p w:rsidR="00670A7B" w:rsidRDefault="00670A7B" w:rsidP="00887A5F">
      <w:pPr>
        <w:pStyle w:val="BCSParagraph"/>
      </w:pPr>
    </w:p>
    <w:p w:rsidR="00670A7B" w:rsidRDefault="00670A7B" w:rsidP="00887A5F">
      <w:pPr>
        <w:pStyle w:val="BCSParagraph"/>
      </w:pPr>
    </w:p>
    <w:p w:rsidR="00670A7B" w:rsidRDefault="00670A7B" w:rsidP="00887A5F">
      <w:pPr>
        <w:pStyle w:val="BCSParagraph"/>
      </w:pPr>
    </w:p>
    <w:p w:rsidR="00670A7B" w:rsidRDefault="00670A7B" w:rsidP="00887A5F">
      <w:pPr>
        <w:pStyle w:val="BCSParagraph"/>
      </w:pPr>
    </w:p>
    <w:p w:rsidR="00670A7B" w:rsidRDefault="00670A7B" w:rsidP="00887A5F">
      <w:pPr>
        <w:pStyle w:val="BCSParagraph"/>
      </w:pPr>
    </w:p>
    <w:p w:rsidR="00670A7B" w:rsidRDefault="00670A7B" w:rsidP="00887A5F">
      <w:pPr>
        <w:pStyle w:val="BCSParagraph"/>
      </w:pPr>
    </w:p>
    <w:p w:rsidR="00887A5F" w:rsidRPr="008D5366" w:rsidRDefault="00887A5F" w:rsidP="00887A5F">
      <w:pPr>
        <w:pStyle w:val="BCSParagraph"/>
      </w:pPr>
      <w:r w:rsidRPr="008D5366">
        <w:t>The main foc</w:t>
      </w:r>
      <w:r w:rsidR="001D0479">
        <w:t>us of attention for those learners</w:t>
      </w:r>
      <w:r w:rsidRPr="008D5366">
        <w:t xml:space="preserve"> who </w:t>
      </w:r>
      <w:r w:rsidR="001D0479">
        <w:t>completed the task as requested</w:t>
      </w:r>
      <w:r>
        <w:t xml:space="preserve"> </w:t>
      </w:r>
      <w:r w:rsidRPr="008D5366">
        <w:t xml:space="preserve">was essentially on school symbols often connected to rules or on social spaces such as the bench </w:t>
      </w:r>
      <w:r>
        <w:t xml:space="preserve">used with friends </w:t>
      </w:r>
      <w:r w:rsidRPr="008D5366">
        <w:t>at break. School is incre</w:t>
      </w:r>
      <w:r w:rsidR="00447103">
        <w:t>asingly the place where the next</w:t>
      </w:r>
      <w:r w:rsidRPr="008D5366">
        <w:t xml:space="preserve"> generation meets face to face. They then g</w:t>
      </w:r>
      <w:r w:rsidR="001D0479">
        <w:t>o home and text, phone or go on</w:t>
      </w:r>
      <w:r w:rsidRPr="008D5366">
        <w:t>line to contact their social group. This is an interesting social phenomenon but outside the remit of this report.</w:t>
      </w:r>
    </w:p>
    <w:p w:rsidR="00BD4C7C" w:rsidRDefault="00BD4C7C" w:rsidP="00152749">
      <w:pPr>
        <w:pStyle w:val="BCSParagraph"/>
      </w:pPr>
    </w:p>
    <w:p w:rsidR="00887A5F" w:rsidRPr="00020299" w:rsidRDefault="007C4704" w:rsidP="00020299">
      <w:pPr>
        <w:pStyle w:val="BCSHeadingA"/>
      </w:pPr>
      <w:r>
        <w:br w:type="page"/>
      </w:r>
      <w:bookmarkStart w:id="146" w:name="_Toc248651150"/>
      <w:bookmarkStart w:id="147" w:name="_Toc248651431"/>
      <w:bookmarkStart w:id="148" w:name="_Toc248651474"/>
      <w:bookmarkStart w:id="149" w:name="_Toc248651622"/>
      <w:bookmarkStart w:id="150" w:name="_Toc248652479"/>
      <w:r w:rsidR="009D6A21">
        <w:t>Conclusion</w:t>
      </w:r>
      <w:bookmarkEnd w:id="146"/>
      <w:bookmarkEnd w:id="147"/>
      <w:bookmarkEnd w:id="148"/>
      <w:bookmarkEnd w:id="149"/>
      <w:bookmarkEnd w:id="150"/>
    </w:p>
    <w:p w:rsidR="00020299" w:rsidRPr="00434A05" w:rsidRDefault="00020299" w:rsidP="00020299">
      <w:pPr>
        <w:pStyle w:val="BCSParagraph"/>
      </w:pPr>
      <w:r w:rsidRPr="00434A05">
        <w:t>There i</w:t>
      </w:r>
      <w:r w:rsidR="000447FA">
        <w:t xml:space="preserve">s </w:t>
      </w:r>
      <w:r w:rsidR="007C4704">
        <w:t xml:space="preserve">a </w:t>
      </w:r>
      <w:r w:rsidR="000447FA">
        <w:t>high level of agreement among</w:t>
      </w:r>
      <w:r w:rsidRPr="00434A05">
        <w:t xml:space="preserve"> various educational stakeholders as to what constitutes low </w:t>
      </w:r>
      <w:r w:rsidR="000447FA">
        <w:t xml:space="preserve">achievement </w:t>
      </w:r>
      <w:r w:rsidRPr="00434A05">
        <w:t>and underachievement</w:t>
      </w:r>
      <w:r w:rsidR="000447FA">
        <w:t>,</w:t>
      </w:r>
      <w:r w:rsidRPr="00434A05">
        <w:t xml:space="preserve"> with the former being related to the charact</w:t>
      </w:r>
      <w:r w:rsidR="000447FA">
        <w:t>eristics of the individual learner</w:t>
      </w:r>
      <w:r w:rsidRPr="00434A05">
        <w:t xml:space="preserve"> while the latter is defined by the individual’s performance.</w:t>
      </w:r>
    </w:p>
    <w:p w:rsidR="00020299" w:rsidRPr="00434A05" w:rsidRDefault="00020299" w:rsidP="00020299">
      <w:pPr>
        <w:pStyle w:val="BCSParagraph"/>
      </w:pPr>
      <w:r w:rsidRPr="00434A05">
        <w:t>Establishing effective practice to tackle the problems of low</w:t>
      </w:r>
      <w:r w:rsidR="000447FA">
        <w:t xml:space="preserve"> achievement</w:t>
      </w:r>
      <w:r w:rsidRPr="00434A05">
        <w:t xml:space="preserve"> and underachievement is seen as a priority goal at all levels of the educational system. </w:t>
      </w:r>
    </w:p>
    <w:p w:rsidR="00020299" w:rsidRPr="00434A05" w:rsidRDefault="00020299" w:rsidP="00020299">
      <w:pPr>
        <w:pStyle w:val="BCSParagraph"/>
      </w:pPr>
      <w:r w:rsidRPr="00434A05">
        <w:t>Despite th</w:t>
      </w:r>
      <w:r w:rsidR="000447FA">
        <w:t>is recognition of need, there is some confusion</w:t>
      </w:r>
      <w:r w:rsidRPr="00434A05">
        <w:t xml:space="preserve"> in the overarching strategy development. While the DCSF has a clear policy on </w:t>
      </w:r>
      <w:r w:rsidRPr="000447FA">
        <w:rPr>
          <w:bCs/>
          <w:iCs/>
        </w:rPr>
        <w:t>narrowing the gap</w:t>
      </w:r>
      <w:r w:rsidRPr="00434A05">
        <w:t>, the imp</w:t>
      </w:r>
      <w:r w:rsidR="006278B3">
        <w:t>lementation of that policy at local authority</w:t>
      </w:r>
      <w:r w:rsidR="000447FA">
        <w:t xml:space="preserve"> and school levels is diffuse </w:t>
      </w:r>
      <w:r w:rsidRPr="00434A05">
        <w:t>and is represented under a myriad of o</w:t>
      </w:r>
      <w:r w:rsidR="006278B3">
        <w:t>ther policies. However, some local authorities</w:t>
      </w:r>
      <w:r w:rsidRPr="00434A05">
        <w:t xml:space="preserve"> have </w:t>
      </w:r>
      <w:r>
        <w:t xml:space="preserve">a </w:t>
      </w:r>
      <w:r w:rsidRPr="00434A05">
        <w:t xml:space="preserve">set of </w:t>
      </w:r>
      <w:r w:rsidRPr="000447FA">
        <w:rPr>
          <w:bCs/>
          <w:iCs/>
        </w:rPr>
        <w:t>narrowing the gap</w:t>
      </w:r>
      <w:r w:rsidRPr="00434A05">
        <w:t xml:space="preserve"> task groups</w:t>
      </w:r>
      <w:r w:rsidR="000447FA">
        <w:t>,</w:t>
      </w:r>
      <w:r w:rsidRPr="00434A05">
        <w:t xml:space="preserve"> and these are seen as productive at senior management and classroom level</w:t>
      </w:r>
      <w:r w:rsidR="00164DCA">
        <w:t>s</w:t>
      </w:r>
      <w:r>
        <w:t xml:space="preserve"> in schools</w:t>
      </w:r>
      <w:r w:rsidRPr="00434A05">
        <w:t>.</w:t>
      </w:r>
    </w:p>
    <w:p w:rsidR="00020299" w:rsidRPr="00434A05" w:rsidRDefault="00020299" w:rsidP="00020299">
      <w:pPr>
        <w:pStyle w:val="BCSParagraph"/>
      </w:pPr>
      <w:r w:rsidRPr="00434A05">
        <w:t xml:space="preserve">While technology is not the answer to all the </w:t>
      </w:r>
      <w:r>
        <w:t xml:space="preserve">difficulties </w:t>
      </w:r>
      <w:r w:rsidRPr="00434A05">
        <w:t xml:space="preserve">associated with low </w:t>
      </w:r>
      <w:r w:rsidR="000447FA">
        <w:t xml:space="preserve">achievement </w:t>
      </w:r>
      <w:r w:rsidRPr="00434A05">
        <w:t>and underac</w:t>
      </w:r>
      <w:r w:rsidR="000447FA">
        <w:t xml:space="preserve">hievement, it is central to </w:t>
      </w:r>
      <w:r w:rsidRPr="00434A05">
        <w:t>many of the strategies in use in the schools within this project.</w:t>
      </w:r>
    </w:p>
    <w:p w:rsidR="00020299" w:rsidRPr="00434A05" w:rsidRDefault="00020299" w:rsidP="00020299">
      <w:pPr>
        <w:pStyle w:val="BCSParagraph"/>
      </w:pPr>
      <w:r w:rsidRPr="00434A05">
        <w:t>Detailed and timely monitoring</w:t>
      </w:r>
      <w:r>
        <w:t xml:space="preserve"> is crucial for identifying and interveni</w:t>
      </w:r>
      <w:r w:rsidR="00164DCA">
        <w:t>ng in the academic trajectories of all learners</w:t>
      </w:r>
      <w:r>
        <w:t>.</w:t>
      </w:r>
      <w:r w:rsidR="00164DCA">
        <w:t xml:space="preserve"> Iterative individual learner</w:t>
      </w:r>
      <w:r w:rsidRPr="00434A05">
        <w:t xml:space="preserve"> profiling is seen as a prerequisite to success. Although the schools within this sample </w:t>
      </w:r>
      <w:r>
        <w:t xml:space="preserve">use data in </w:t>
      </w:r>
      <w:r w:rsidRPr="00434A05">
        <w:t>many different ways</w:t>
      </w:r>
      <w:r w:rsidR="00164DCA">
        <w:t>, they share</w:t>
      </w:r>
      <w:r>
        <w:t xml:space="preserve"> </w:t>
      </w:r>
      <w:r w:rsidR="00164DCA">
        <w:t>commonalities of practice</w:t>
      </w:r>
      <w:r w:rsidRPr="00434A05">
        <w:t>. School culture, through the setting of in-house educational goals, may result in a standards performance ap</w:t>
      </w:r>
      <w:r w:rsidR="00164DCA">
        <w:t>proach in one school compared with</w:t>
      </w:r>
      <w:r w:rsidRPr="00434A05">
        <w:t xml:space="preserve"> a p</w:t>
      </w:r>
      <w:r w:rsidR="00164DCA">
        <w:t>ersonal development approach</w:t>
      </w:r>
      <w:r w:rsidRPr="00434A05">
        <w:t xml:space="preserve"> in another. Individual profili</w:t>
      </w:r>
      <w:r w:rsidR="00164DCA">
        <w:t>ng allows schools to target their efforts towards the</w:t>
      </w:r>
      <w:r w:rsidR="00164DCA" w:rsidRPr="00434A05">
        <w:t xml:space="preserve"> development of learning skills</w:t>
      </w:r>
      <w:r w:rsidR="00164DCA">
        <w:t xml:space="preserve"> and </w:t>
      </w:r>
      <w:r w:rsidRPr="009039FC">
        <w:t>training</w:t>
      </w:r>
      <w:r w:rsidR="00164DCA">
        <w:t xml:space="preserve"> in</w:t>
      </w:r>
      <w:r w:rsidR="009C0A40">
        <w:t xml:space="preserve"> those cognitive skills essential for</w:t>
      </w:r>
      <w:r w:rsidRPr="00434A05">
        <w:t xml:space="preserve"> an effect</w:t>
      </w:r>
      <w:r w:rsidR="00164DCA">
        <w:t>ive classroom experience.</w:t>
      </w:r>
      <w:r w:rsidRPr="00434A05">
        <w:t xml:space="preserve"> </w:t>
      </w:r>
    </w:p>
    <w:p w:rsidR="00020299" w:rsidRPr="00434A05" w:rsidRDefault="00BD4C7C" w:rsidP="00020299">
      <w:pPr>
        <w:pStyle w:val="BCSParagraph"/>
      </w:pPr>
      <w:r>
        <w:t>A school</w:t>
      </w:r>
      <w:r w:rsidR="00020299" w:rsidRPr="00434A05">
        <w:t xml:space="preserve"> environment </w:t>
      </w:r>
      <w:r>
        <w:t>based on clear analysis of individual</w:t>
      </w:r>
      <w:r w:rsidR="00020299" w:rsidRPr="00434A05">
        <w:t xml:space="preserve"> performance</w:t>
      </w:r>
      <w:r>
        <w:t xml:space="preserve"> allows learners, </w:t>
      </w:r>
      <w:r w:rsidR="00020299" w:rsidRPr="00434A05">
        <w:t>parent</w:t>
      </w:r>
      <w:r>
        <w:t>s and teachers</w:t>
      </w:r>
      <w:r w:rsidR="00020299" w:rsidRPr="00434A05">
        <w:t xml:space="preserve"> </w:t>
      </w:r>
      <w:r>
        <w:t xml:space="preserve">to work </w:t>
      </w:r>
      <w:r w:rsidR="00020299" w:rsidRPr="00434A05">
        <w:t>towards a common goal</w:t>
      </w:r>
      <w:r>
        <w:t>, which</w:t>
      </w:r>
      <w:r w:rsidR="00020299" w:rsidRPr="00434A05">
        <w:t xml:space="preserve"> </w:t>
      </w:r>
      <w:r>
        <w:t>can positively influence learners’ academic achievement</w:t>
      </w:r>
      <w:r w:rsidR="00020299" w:rsidRPr="00434A05">
        <w:t xml:space="preserve">. There is a willingness in the </w:t>
      </w:r>
      <w:r w:rsidR="00020299">
        <w:t xml:space="preserve">research </w:t>
      </w:r>
      <w:r w:rsidR="00020299" w:rsidRPr="00434A05">
        <w:t>school</w:t>
      </w:r>
      <w:r w:rsidR="006273AA">
        <w:t>s</w:t>
      </w:r>
      <w:r w:rsidR="00020299" w:rsidRPr="00434A05">
        <w:t xml:space="preserve"> to engage with parents as partners in </w:t>
      </w:r>
      <w:r w:rsidR="00020299">
        <w:t>supporting the</w:t>
      </w:r>
      <w:r w:rsidR="00020299" w:rsidRPr="00434A05">
        <w:t xml:space="preserve"> development of the child. Technology allows frequent and just</w:t>
      </w:r>
      <w:r>
        <w:t>-in-</w:t>
      </w:r>
      <w:r w:rsidR="00020299" w:rsidRPr="00434A05">
        <w:t>time contact with parents</w:t>
      </w:r>
      <w:r>
        <w:t>,</w:t>
      </w:r>
      <w:r w:rsidR="00020299" w:rsidRPr="00434A05">
        <w:t xml:space="preserve"> and this </w:t>
      </w:r>
      <w:r>
        <w:t>is seen as a vast improvement over</w:t>
      </w:r>
      <w:r w:rsidR="00020299" w:rsidRPr="00434A05">
        <w:t xml:space="preserve"> the yearly or even termly parents’ evenings.  </w:t>
      </w:r>
      <w:r w:rsidR="00020299">
        <w:t xml:space="preserve">Additionally, technology </w:t>
      </w:r>
      <w:r>
        <w:t>can facilitate and enhance learner</w:t>
      </w:r>
      <w:r w:rsidR="00020299">
        <w:t xml:space="preserve"> </w:t>
      </w:r>
      <w:r>
        <w:t xml:space="preserve">engagement within the classroom - </w:t>
      </w:r>
      <w:r w:rsidR="00020299">
        <w:t>a prerequisite to meeting the ultimate goal of raising attainment.</w:t>
      </w:r>
    </w:p>
    <w:p w:rsidR="00887A5F" w:rsidRDefault="00887A5F" w:rsidP="00020299">
      <w:pPr>
        <w:pStyle w:val="BCSParagraph"/>
      </w:pPr>
    </w:p>
    <w:p w:rsidR="003959E2" w:rsidRDefault="00850FA7" w:rsidP="00A6645B">
      <w:pPr>
        <w:pStyle w:val="BCSHeadingA"/>
      </w:pPr>
      <w:r>
        <w:br w:type="page"/>
      </w:r>
      <w:bookmarkStart w:id="151" w:name="_Toc248651151"/>
      <w:bookmarkStart w:id="152" w:name="_Toc248651432"/>
      <w:bookmarkStart w:id="153" w:name="_Toc248651475"/>
      <w:bookmarkStart w:id="154" w:name="_Toc248651623"/>
      <w:bookmarkStart w:id="155" w:name="_Toc248652480"/>
      <w:r w:rsidR="009A2892">
        <w:t>References</w:t>
      </w:r>
      <w:bookmarkEnd w:id="151"/>
      <w:bookmarkEnd w:id="152"/>
      <w:bookmarkEnd w:id="153"/>
      <w:bookmarkEnd w:id="154"/>
      <w:bookmarkEnd w:id="155"/>
    </w:p>
    <w:p w:rsidR="002B7D7E" w:rsidRPr="00B55D7E" w:rsidRDefault="00951DB6" w:rsidP="002B7D7E">
      <w:pPr>
        <w:pStyle w:val="BCSParagraph"/>
      </w:pPr>
      <w:r>
        <w:rPr>
          <w:lang w:val="en-US"/>
        </w:rPr>
        <w:t xml:space="preserve">Anderson, L W, </w:t>
      </w:r>
      <w:r w:rsidR="002B7D7E" w:rsidRPr="00B55D7E">
        <w:rPr>
          <w:lang w:val="en-US"/>
        </w:rPr>
        <w:t>Jacobs</w:t>
      </w:r>
      <w:r>
        <w:rPr>
          <w:lang w:val="en-US"/>
        </w:rPr>
        <w:t xml:space="preserve">, J, </w:t>
      </w:r>
      <w:r w:rsidR="002B7D7E" w:rsidRPr="00B55D7E">
        <w:rPr>
          <w:lang w:val="en-US"/>
        </w:rPr>
        <w:t>Schramm,</w:t>
      </w:r>
      <w:r>
        <w:rPr>
          <w:lang w:val="en-US"/>
        </w:rPr>
        <w:t xml:space="preserve"> S and </w:t>
      </w:r>
      <w:r w:rsidR="002B7D7E" w:rsidRPr="00B55D7E">
        <w:rPr>
          <w:lang w:val="en-US"/>
        </w:rPr>
        <w:t>Splittherber</w:t>
      </w:r>
      <w:r>
        <w:rPr>
          <w:lang w:val="en-US"/>
        </w:rPr>
        <w:t>, F (2000),</w:t>
      </w:r>
      <w:r w:rsidR="002B7D7E" w:rsidRPr="00B55D7E">
        <w:rPr>
          <w:lang w:val="en-US"/>
        </w:rPr>
        <w:t xml:space="preserve"> </w:t>
      </w:r>
      <w:r>
        <w:rPr>
          <w:lang w:val="en-US"/>
        </w:rPr>
        <w:t>“</w:t>
      </w:r>
      <w:r w:rsidR="002B7D7E" w:rsidRPr="00B55D7E">
        <w:rPr>
          <w:lang w:val="en-US"/>
        </w:rPr>
        <w:t xml:space="preserve">School transitions: beginning of the end or a new beginning?” </w:t>
      </w:r>
      <w:r w:rsidR="002B7D7E" w:rsidRPr="00951DB6">
        <w:rPr>
          <w:i/>
          <w:lang w:val="en-US"/>
        </w:rPr>
        <w:t>International Journal of Educational Research</w:t>
      </w:r>
      <w:r w:rsidR="002B7D7E" w:rsidRPr="00B55D7E">
        <w:rPr>
          <w:lang w:val="en-US"/>
        </w:rPr>
        <w:t xml:space="preserve"> </w:t>
      </w:r>
      <w:r w:rsidR="002B7D7E" w:rsidRPr="00B55D7E">
        <w:rPr>
          <w:bCs/>
          <w:lang w:val="en-US"/>
        </w:rPr>
        <w:t>33,</w:t>
      </w:r>
      <w:r w:rsidR="002B7D7E" w:rsidRPr="00B55D7E">
        <w:rPr>
          <w:lang w:val="en-US"/>
        </w:rPr>
        <w:t xml:space="preserve"> 325–339.</w:t>
      </w:r>
    </w:p>
    <w:p w:rsidR="00020299" w:rsidRPr="00B55D7E" w:rsidRDefault="00951DB6" w:rsidP="00020299">
      <w:pPr>
        <w:pStyle w:val="BCSParagraph"/>
      </w:pPr>
      <w:r>
        <w:rPr>
          <w:lang w:val="en-US"/>
        </w:rPr>
        <w:t>Becta (2008),</w:t>
      </w:r>
      <w:r w:rsidR="00020299" w:rsidRPr="00B55D7E">
        <w:rPr>
          <w:lang w:val="en-US"/>
        </w:rPr>
        <w:t xml:space="preserve"> </w:t>
      </w:r>
      <w:r w:rsidR="001C5761">
        <w:rPr>
          <w:lang w:val="en-US"/>
        </w:rPr>
        <w:t>‘</w:t>
      </w:r>
      <w:r w:rsidR="00020299" w:rsidRPr="001C5761">
        <w:rPr>
          <w:lang w:val="en-US"/>
        </w:rPr>
        <w:t>Harnessing Technology: Next Generation Learning 2008-14</w:t>
      </w:r>
      <w:r w:rsidR="001C5761">
        <w:rPr>
          <w:lang w:val="en-US"/>
        </w:rPr>
        <w:t>’</w:t>
      </w:r>
      <w:r>
        <w:rPr>
          <w:lang w:val="en-US"/>
        </w:rPr>
        <w:t>,</w:t>
      </w:r>
      <w:r w:rsidR="00020299" w:rsidRPr="00B55D7E">
        <w:rPr>
          <w:lang w:val="en-US"/>
        </w:rPr>
        <w:t xml:space="preserve"> Coventry: Becta</w:t>
      </w:r>
      <w:r>
        <w:rPr>
          <w:lang w:val="en-US"/>
        </w:rPr>
        <w:t>.</w:t>
      </w:r>
    </w:p>
    <w:p w:rsidR="00020299" w:rsidRDefault="00951DB6" w:rsidP="009A2892">
      <w:pPr>
        <w:pStyle w:val="BCSParagraph"/>
        <w:rPr>
          <w:lang w:val="en-US"/>
        </w:rPr>
      </w:pPr>
      <w:r>
        <w:t>Borgatti, S P, Everett, M G and Freeman, L C (2002),</w:t>
      </w:r>
      <w:r w:rsidR="00020299" w:rsidRPr="00357BE6">
        <w:t xml:space="preserve"> </w:t>
      </w:r>
      <w:r w:rsidR="00020299" w:rsidRPr="00951DB6">
        <w:rPr>
          <w:i/>
        </w:rPr>
        <w:t>Ucinet for Windows: Software for Social Network Analysis</w:t>
      </w:r>
      <w:r>
        <w:t>,</w:t>
      </w:r>
      <w:r w:rsidR="00020299" w:rsidRPr="00357BE6">
        <w:t xml:space="preserve"> Harvard, MA: Analytic Technologies</w:t>
      </w:r>
      <w:r>
        <w:t>.</w:t>
      </w:r>
    </w:p>
    <w:p w:rsidR="00E450F1" w:rsidRPr="002E7350" w:rsidRDefault="00E450F1" w:rsidP="002E7350">
      <w:pPr>
        <w:pStyle w:val="BCSParagraph"/>
      </w:pPr>
      <w:r w:rsidRPr="00E450F1">
        <w:t xml:space="preserve">DCSF </w:t>
      </w:r>
      <w:r>
        <w:t>(</w:t>
      </w:r>
      <w:r w:rsidRPr="00E450F1">
        <w:t>2009</w:t>
      </w:r>
      <w:r>
        <w:t xml:space="preserve">), </w:t>
      </w:r>
      <w:r w:rsidR="00951DB6">
        <w:t>‘</w:t>
      </w:r>
      <w:r w:rsidRPr="00951DB6">
        <w:rPr>
          <w:iCs/>
        </w:rPr>
        <w:t>Deprivation and Education</w:t>
      </w:r>
      <w:r w:rsidR="002E7350" w:rsidRPr="00951DB6">
        <w:rPr>
          <w:iCs/>
        </w:rPr>
        <w:t>:</w:t>
      </w:r>
      <w:r w:rsidRPr="00951DB6">
        <w:rPr>
          <w:iCs/>
        </w:rPr>
        <w:t xml:space="preserve"> </w:t>
      </w:r>
      <w:r w:rsidR="002E7350" w:rsidRPr="00951DB6">
        <w:rPr>
          <w:iCs/>
        </w:rPr>
        <w:t>The Evidence on P</w:t>
      </w:r>
      <w:r w:rsidRPr="00951DB6">
        <w:rPr>
          <w:iCs/>
        </w:rPr>
        <w:t>upils in England,</w:t>
      </w:r>
      <w:r w:rsidR="002E7350" w:rsidRPr="00951DB6">
        <w:rPr>
          <w:iCs/>
        </w:rPr>
        <w:t xml:space="preserve"> </w:t>
      </w:r>
      <w:r w:rsidRPr="00951DB6">
        <w:rPr>
          <w:iCs/>
        </w:rPr>
        <w:t>Foundation Stage to Key Stage 4</w:t>
      </w:r>
      <w:r w:rsidR="00951DB6">
        <w:rPr>
          <w:iCs/>
        </w:rPr>
        <w:t>’</w:t>
      </w:r>
      <w:r w:rsidR="002E7350">
        <w:rPr>
          <w:i/>
          <w:iCs/>
        </w:rPr>
        <w:t>,</w:t>
      </w:r>
      <w:r w:rsidR="002E7350">
        <w:t xml:space="preserve"> DCSF.</w:t>
      </w:r>
      <w:r w:rsidRPr="002E7350">
        <w:rPr>
          <w:i/>
          <w:iCs/>
        </w:rPr>
        <w:t xml:space="preserve"> </w:t>
      </w:r>
      <w:r w:rsidRPr="002E7350">
        <w:br/>
      </w:r>
      <w:r w:rsidR="00EB18CF">
        <w:t>[</w:t>
      </w:r>
      <w:r w:rsidRPr="00E450F1">
        <w:t>www.dcsf.gov.uk/research/data/uploadfiles/DCSF-RTP-09-01.pdf</w:t>
      </w:r>
      <w:r w:rsidR="00EB18CF">
        <w:t>]</w:t>
      </w:r>
    </w:p>
    <w:p w:rsidR="00196C38" w:rsidRDefault="00EB18CF" w:rsidP="002B7D7E">
      <w:pPr>
        <w:pStyle w:val="BCSParagraph"/>
      </w:pPr>
      <w:r>
        <w:rPr>
          <w:rFonts w:eastAsia="SimSun"/>
        </w:rPr>
        <w:t>Diamond, M C (2001),</w:t>
      </w:r>
      <w:r w:rsidR="00196C38" w:rsidRPr="001C13A5">
        <w:rPr>
          <w:rFonts w:eastAsia="SimSun"/>
        </w:rPr>
        <w:t xml:space="preserve"> 'Response of the Brain to Enrichment', New Horizons for Learning.</w:t>
      </w:r>
      <w:r w:rsidR="00196C38" w:rsidRPr="001C13A5">
        <w:t xml:space="preserve"> </w:t>
      </w:r>
      <w:hyperlink r:id="rId25" w:anchor="a" w:history="1">
        <w:r w:rsidR="002E7350">
          <w:rPr>
            <w:rFonts w:eastAsia="SimSun"/>
          </w:rPr>
          <w:br/>
        </w:r>
        <w:r>
          <w:rPr>
            <w:rFonts w:eastAsia="SimSun"/>
          </w:rPr>
          <w:t>[</w:t>
        </w:r>
        <w:r w:rsidR="00196C38" w:rsidRPr="001C13A5">
          <w:rPr>
            <w:rFonts w:eastAsia="SimSun"/>
          </w:rPr>
          <w:t>www.newhorizons.org/neuro/diamond_brain_response.htm#a</w:t>
        </w:r>
      </w:hyperlink>
      <w:r>
        <w:rPr>
          <w:rFonts w:eastAsia="SimSun"/>
        </w:rPr>
        <w:t>]</w:t>
      </w:r>
    </w:p>
    <w:p w:rsidR="002B7D7E" w:rsidRPr="00B55D7E" w:rsidRDefault="004F54C6" w:rsidP="002B7D7E">
      <w:pPr>
        <w:pStyle w:val="BCSParagraph"/>
      </w:pPr>
      <w:r>
        <w:t>Dockett, S and</w:t>
      </w:r>
      <w:r w:rsidR="00EB18CF">
        <w:t xml:space="preserve"> Perry, B (2004),</w:t>
      </w:r>
      <w:r w:rsidR="002B7D7E" w:rsidRPr="00B55D7E">
        <w:t xml:space="preserve"> </w:t>
      </w:r>
      <w:r w:rsidR="00EB18CF">
        <w:t>‘</w:t>
      </w:r>
      <w:r w:rsidR="002B7D7E" w:rsidRPr="00B55D7E">
        <w:rPr>
          <w:rFonts w:cs="Arial-BoldMT"/>
          <w:bCs/>
          <w:lang w:val="en-US" w:bidi="en-US"/>
        </w:rPr>
        <w:t xml:space="preserve">Starting School: </w:t>
      </w:r>
      <w:r w:rsidR="002B7D7E" w:rsidRPr="00B55D7E">
        <w:rPr>
          <w:rFonts w:cs="ArialMT"/>
          <w:lang w:val="en-US" w:bidi="en-US"/>
        </w:rPr>
        <w:t xml:space="preserve">Perspectives of Australian </w:t>
      </w:r>
      <w:r w:rsidR="00EB18CF">
        <w:rPr>
          <w:rFonts w:cs="ArialMT"/>
          <w:lang w:val="en-US" w:bidi="en-US"/>
        </w:rPr>
        <w:t>Children, Parents and Educators’,</w:t>
      </w:r>
      <w:r w:rsidR="002B7D7E">
        <w:rPr>
          <w:rFonts w:cs="ArialMT"/>
          <w:lang w:val="en-US" w:bidi="en-US"/>
        </w:rPr>
        <w:t xml:space="preserve"> </w:t>
      </w:r>
      <w:r w:rsidR="002B7D7E" w:rsidRPr="00EB18CF">
        <w:rPr>
          <w:rFonts w:cs="Verdana"/>
          <w:i/>
          <w:lang w:val="en-US" w:bidi="en-US"/>
        </w:rPr>
        <w:t>Journal of Early Childhood Research</w:t>
      </w:r>
      <w:r w:rsidR="002B7D7E" w:rsidRPr="00B55D7E">
        <w:rPr>
          <w:rFonts w:cs="Verdana"/>
          <w:lang w:val="en-US" w:bidi="en-US"/>
        </w:rPr>
        <w:t xml:space="preserve"> 2, 171-189.</w:t>
      </w:r>
    </w:p>
    <w:p w:rsidR="0020635C" w:rsidRPr="001A12AE" w:rsidRDefault="0020635C" w:rsidP="00E450F1">
      <w:pPr>
        <w:pStyle w:val="BCSParagraph"/>
        <w:rPr>
          <w:szCs w:val="24"/>
        </w:rPr>
      </w:pPr>
      <w:r w:rsidRPr="001A12AE">
        <w:rPr>
          <w:szCs w:val="24"/>
        </w:rPr>
        <w:t xml:space="preserve">Hollingworth, S., Allen, K., Hutchings, M., Abol Kuyok, K. and Williams, K. (IPSE) (2008), </w:t>
      </w:r>
      <w:r w:rsidRPr="001A12AE">
        <w:rPr>
          <w:i/>
          <w:iCs/>
          <w:szCs w:val="24"/>
        </w:rPr>
        <w:t xml:space="preserve">Technology and school improvement: reducing social inequity with technology? </w:t>
      </w:r>
      <w:r w:rsidRPr="001A12AE">
        <w:rPr>
          <w:szCs w:val="24"/>
        </w:rPr>
        <w:t xml:space="preserve">Coventry, Becta. </w:t>
      </w:r>
    </w:p>
    <w:p w:rsidR="00020299" w:rsidRPr="00E450F1" w:rsidRDefault="00EB18CF" w:rsidP="00E450F1">
      <w:pPr>
        <w:pStyle w:val="BCSParagraph"/>
      </w:pPr>
      <w:r>
        <w:t>Katz, M B (1989),</w:t>
      </w:r>
      <w:r w:rsidR="00020299" w:rsidRPr="005070C6">
        <w:t xml:space="preserve"> </w:t>
      </w:r>
      <w:r w:rsidR="00020299" w:rsidRPr="00EB18CF">
        <w:rPr>
          <w:i/>
        </w:rPr>
        <w:t>The undeserving poor: From the war on poverty to the war on welfare</w:t>
      </w:r>
      <w:r>
        <w:rPr>
          <w:i/>
        </w:rPr>
        <w:t xml:space="preserve">, </w:t>
      </w:r>
      <w:r w:rsidR="00020299" w:rsidRPr="00E450F1">
        <w:t>New York: Pantheon Books.</w:t>
      </w:r>
    </w:p>
    <w:p w:rsidR="00E450F1" w:rsidRPr="00E450F1" w:rsidRDefault="00EB18CF" w:rsidP="00E450F1">
      <w:pPr>
        <w:pStyle w:val="BCSParagraph"/>
      </w:pPr>
      <w:r>
        <w:rPr>
          <w:szCs w:val="18"/>
        </w:rPr>
        <w:t>Kendall, S</w:t>
      </w:r>
      <w:r w:rsidR="00E450F1" w:rsidRPr="00E450F1">
        <w:rPr>
          <w:szCs w:val="18"/>
        </w:rPr>
        <w:t>, St</w:t>
      </w:r>
      <w:r>
        <w:rPr>
          <w:szCs w:val="18"/>
        </w:rPr>
        <w:t>raw, S, Jones, M, Springate, I and Grayson, H (2008),</w:t>
      </w:r>
      <w:r w:rsidR="00E450F1" w:rsidRPr="00E450F1">
        <w:rPr>
          <w:szCs w:val="18"/>
        </w:rPr>
        <w:t xml:space="preserve"> </w:t>
      </w:r>
      <w:r>
        <w:rPr>
          <w:szCs w:val="18"/>
        </w:rPr>
        <w:t>‘</w:t>
      </w:r>
      <w:r w:rsidR="00E450F1" w:rsidRPr="00E450F1">
        <w:rPr>
          <w:szCs w:val="18"/>
        </w:rPr>
        <w:t xml:space="preserve">A Review of the Research Evidence: </w:t>
      </w:r>
      <w:r w:rsidR="00E450F1" w:rsidRPr="00E450F1">
        <w:t>Narrowing the Gap in Outcomes for Vulnerable Groups</w:t>
      </w:r>
      <w:r>
        <w:t>’,</w:t>
      </w:r>
      <w:r w:rsidR="00E450F1" w:rsidRPr="00E450F1">
        <w:t xml:space="preserve"> Slough: NFER</w:t>
      </w:r>
      <w:r>
        <w:t>.</w:t>
      </w:r>
    </w:p>
    <w:p w:rsidR="00AF5CBA" w:rsidRPr="00B55D7E" w:rsidRDefault="00AF5CBA" w:rsidP="00AF5CBA">
      <w:pPr>
        <w:pStyle w:val="BCSParagraph"/>
      </w:pPr>
      <w:r>
        <w:rPr>
          <w:lang w:val="en-US"/>
        </w:rPr>
        <w:t xml:space="preserve">Lucey, H and </w:t>
      </w:r>
      <w:r w:rsidRPr="00B55D7E">
        <w:rPr>
          <w:lang w:val="en-US"/>
        </w:rPr>
        <w:t>Reay</w:t>
      </w:r>
      <w:r>
        <w:rPr>
          <w:lang w:val="en-US"/>
        </w:rPr>
        <w:t>, D</w:t>
      </w:r>
      <w:r w:rsidRPr="00B55D7E">
        <w:rPr>
          <w:lang w:val="en-US"/>
        </w:rPr>
        <w:t xml:space="preserve"> (2000</w:t>
      </w:r>
      <w:r>
        <w:rPr>
          <w:lang w:val="en-US"/>
        </w:rPr>
        <w:t>), ‘</w:t>
      </w:r>
      <w:r w:rsidRPr="00B55D7E">
        <w:rPr>
          <w:lang w:val="en-US"/>
        </w:rPr>
        <w:t xml:space="preserve">Identities in transition: anxiety and excitement in the </w:t>
      </w:r>
      <w:r w:rsidRPr="00B55D7E">
        <w:t>move to secondary school</w:t>
      </w:r>
      <w:r>
        <w:t>’,</w:t>
      </w:r>
      <w:r w:rsidRPr="00B55D7E">
        <w:t xml:space="preserve"> </w:t>
      </w:r>
      <w:r w:rsidRPr="00EB18CF">
        <w:rPr>
          <w:i/>
        </w:rPr>
        <w:t>Oxford Review of Education</w:t>
      </w:r>
      <w:r w:rsidRPr="00B55D7E">
        <w:t xml:space="preserve"> 26, 191–205.</w:t>
      </w:r>
    </w:p>
    <w:p w:rsidR="00020299" w:rsidRPr="005070C6" w:rsidRDefault="00EB18CF" w:rsidP="00020299">
      <w:pPr>
        <w:pStyle w:val="BCSParagraph"/>
      </w:pPr>
      <w:r>
        <w:t xml:space="preserve">Underwood, J, Baguley, T, Banyard, P, </w:t>
      </w:r>
      <w:r w:rsidR="00670A7B">
        <w:t>Coyne, E, Farrington-Flint, L, and</w:t>
      </w:r>
      <w:r>
        <w:t xml:space="preserve"> Selwood, I (2007),</w:t>
      </w:r>
      <w:r w:rsidR="00020299" w:rsidRPr="005070C6">
        <w:t xml:space="preserve"> </w:t>
      </w:r>
      <w:r>
        <w:t>‘</w:t>
      </w:r>
      <w:r w:rsidR="00020299" w:rsidRPr="005070C6">
        <w:t>Impact 2007:  Persona</w:t>
      </w:r>
      <w:r>
        <w:t>lising Learning with Technology’,</w:t>
      </w:r>
      <w:r w:rsidR="00020299" w:rsidRPr="005070C6">
        <w:t xml:space="preserve"> Coventry: Becta</w:t>
      </w:r>
      <w:r>
        <w:t>.</w:t>
      </w:r>
    </w:p>
    <w:p w:rsidR="009A2892" w:rsidRDefault="00020299" w:rsidP="00020299">
      <w:pPr>
        <w:pStyle w:val="BCSParagraph"/>
      </w:pPr>
      <w:r w:rsidRPr="005070C6">
        <w:tab/>
      </w:r>
      <w:r w:rsidR="00670A7B">
        <w:rPr>
          <w:webHidden/>
          <w:szCs w:val="18"/>
        </w:rPr>
        <w:t>Underwood, J and</w:t>
      </w:r>
      <w:r w:rsidR="00EB18CF">
        <w:rPr>
          <w:webHidden/>
          <w:szCs w:val="18"/>
        </w:rPr>
        <w:t xml:space="preserve"> Banyard, P (2008),</w:t>
      </w:r>
      <w:r w:rsidRPr="005070C6">
        <w:rPr>
          <w:webHidden/>
          <w:szCs w:val="18"/>
        </w:rPr>
        <w:t xml:space="preserve"> </w:t>
      </w:r>
      <w:r w:rsidR="00EB18CF">
        <w:rPr>
          <w:webHidden/>
          <w:szCs w:val="18"/>
        </w:rPr>
        <w:t>‘</w:t>
      </w:r>
      <w:r w:rsidR="008F1EAD">
        <w:rPr>
          <w:webHidden/>
          <w:szCs w:val="18"/>
        </w:rPr>
        <w:t xml:space="preserve">Managers‚ </w:t>
      </w:r>
      <w:r w:rsidRPr="005070C6">
        <w:rPr>
          <w:webHidden/>
          <w:szCs w:val="18"/>
        </w:rPr>
        <w:t>teachers‚ and learners‚ perceptions of personalised learning: evidence from Impact 2007</w:t>
      </w:r>
      <w:r w:rsidR="00EB18CF">
        <w:rPr>
          <w:webHidden/>
          <w:szCs w:val="18"/>
        </w:rPr>
        <w:t>’,</w:t>
      </w:r>
      <w:r w:rsidRPr="005070C6">
        <w:rPr>
          <w:webHidden/>
          <w:szCs w:val="18"/>
        </w:rPr>
        <w:t xml:space="preserve"> </w:t>
      </w:r>
      <w:r w:rsidRPr="00EB18CF">
        <w:rPr>
          <w:i/>
          <w:webHidden/>
          <w:szCs w:val="18"/>
        </w:rPr>
        <w:t>Technology, Pedagogy and Education</w:t>
      </w:r>
      <w:r w:rsidRPr="005070C6">
        <w:rPr>
          <w:webHidden/>
          <w:szCs w:val="18"/>
        </w:rPr>
        <w:t xml:space="preserve"> </w:t>
      </w:r>
      <w:r w:rsidRPr="00B55D7E">
        <w:rPr>
          <w:webHidden/>
          <w:szCs w:val="18"/>
        </w:rPr>
        <w:t>17</w:t>
      </w:r>
      <w:r w:rsidRPr="005070C6">
        <w:rPr>
          <w:webHidden/>
          <w:szCs w:val="18"/>
        </w:rPr>
        <w:t>, 233-246.</w:t>
      </w:r>
    </w:p>
    <w:p w:rsidR="004136F1" w:rsidRPr="004116F5" w:rsidRDefault="009A2892" w:rsidP="004136F1">
      <w:pPr>
        <w:pStyle w:val="BCSHeadingA"/>
      </w:pPr>
      <w:r>
        <w:br w:type="page"/>
      </w:r>
      <w:bookmarkStart w:id="156" w:name="_Toc248222224"/>
      <w:bookmarkStart w:id="157" w:name="_Toc248651152"/>
      <w:bookmarkStart w:id="158" w:name="_Toc248651433"/>
      <w:bookmarkStart w:id="159" w:name="_Toc248651476"/>
      <w:bookmarkStart w:id="160" w:name="_Toc248651624"/>
      <w:bookmarkStart w:id="161" w:name="_Toc248652481"/>
      <w:r w:rsidR="004136F1" w:rsidRPr="004116F5">
        <w:t>Appendix A</w:t>
      </w:r>
      <w:bookmarkEnd w:id="156"/>
      <w:bookmarkEnd w:id="157"/>
      <w:bookmarkEnd w:id="158"/>
      <w:bookmarkEnd w:id="159"/>
      <w:bookmarkEnd w:id="160"/>
      <w:bookmarkEnd w:id="161"/>
    </w:p>
    <w:p w:rsidR="004136F1" w:rsidRPr="00125C8E" w:rsidRDefault="009D6A21" w:rsidP="004136F1">
      <w:pPr>
        <w:pStyle w:val="BCSHeadingB"/>
      </w:pPr>
      <w:bookmarkStart w:id="162" w:name="_Toc248651153"/>
      <w:bookmarkStart w:id="163" w:name="_Toc248651434"/>
      <w:bookmarkStart w:id="164" w:name="_Toc248651477"/>
      <w:bookmarkStart w:id="165" w:name="_Toc248651625"/>
      <w:bookmarkStart w:id="166" w:name="_Toc248652482"/>
      <w:r>
        <w:t>Illustrative strategies to resolve issues of l</w:t>
      </w:r>
      <w:r w:rsidR="004136F1" w:rsidRPr="00125C8E">
        <w:t xml:space="preserve">ow </w:t>
      </w:r>
      <w:r>
        <w:t>achievement and undera</w:t>
      </w:r>
      <w:r w:rsidR="004136F1" w:rsidRPr="00125C8E">
        <w:t>chievement</w:t>
      </w:r>
      <w:bookmarkEnd w:id="162"/>
      <w:bookmarkEnd w:id="163"/>
      <w:bookmarkEnd w:id="164"/>
      <w:bookmarkEnd w:id="165"/>
      <w:bookmarkEnd w:id="166"/>
    </w:p>
    <w:p w:rsidR="009A2892" w:rsidRDefault="004136F1" w:rsidP="00FF027A">
      <w:pPr>
        <w:pStyle w:val="BCSParagraph"/>
      </w:pPr>
      <w:r w:rsidRPr="0071182E">
        <w:t xml:space="preserve">Table </w:t>
      </w:r>
      <w:r>
        <w:t>1</w:t>
      </w:r>
      <w:r w:rsidR="009D6A21">
        <w:t xml:space="preserve"> illustrates </w:t>
      </w:r>
      <w:r w:rsidRPr="0071182E">
        <w:t>t</w:t>
      </w:r>
      <w:r w:rsidR="009D6A21">
        <w:t xml:space="preserve">he strategies </w:t>
      </w:r>
      <w:r w:rsidRPr="0071182E">
        <w:t>actively used to support low</w:t>
      </w:r>
      <w:r w:rsidR="009D6A21">
        <w:t>-achieving</w:t>
      </w:r>
      <w:r w:rsidRPr="0071182E">
        <w:t xml:space="preserve"> and underachieving learners in our sample schools. It is a categorisation of activities but does not represen</w:t>
      </w:r>
      <w:r w:rsidR="009D6A21">
        <w:t>t a statement of spread throughout the sample of schools. The shaded strategies are ICT-</w:t>
      </w:r>
      <w:r w:rsidRPr="0071182E">
        <w:t xml:space="preserve">rich. </w:t>
      </w:r>
      <w:r w:rsidR="00FF027A">
        <w:t xml:space="preserve">The ticks represent the number of teacher consultants who feel that these statements apply to either one or both groups. </w:t>
      </w:r>
    </w:p>
    <w:p w:rsidR="00B06D43" w:rsidRDefault="00B06D43" w:rsidP="00B06D43">
      <w:pPr>
        <w:pStyle w:val="BCSTableheadings"/>
      </w:pPr>
      <w:r>
        <w:t>T</w:t>
      </w:r>
      <w:r w:rsidR="009D6A21">
        <w:t>able 1: S</w:t>
      </w:r>
      <w:r>
        <w:t>trategies used to support learners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99"/>
        <w:gridCol w:w="1908"/>
        <w:gridCol w:w="1257"/>
        <w:gridCol w:w="737"/>
        <w:gridCol w:w="883"/>
        <w:gridCol w:w="2758"/>
      </w:tblGrid>
      <w:tr w:rsidR="004136F1" w:rsidRPr="00EC2A99">
        <w:tc>
          <w:tcPr>
            <w:tcW w:w="1727" w:type="dxa"/>
          </w:tcPr>
          <w:p w:rsidR="004136F1" w:rsidRPr="0050660B" w:rsidRDefault="004136F1" w:rsidP="00FE5A1D">
            <w:pPr>
              <w:spacing w:before="120" w:after="120"/>
              <w:jc w:val="center"/>
              <w:rPr>
                <w:b/>
                <w:sz w:val="18"/>
              </w:rPr>
            </w:pPr>
          </w:p>
        </w:tc>
        <w:tc>
          <w:tcPr>
            <w:tcW w:w="1936" w:type="dxa"/>
          </w:tcPr>
          <w:p w:rsidR="004136F1" w:rsidRPr="00EC2A99" w:rsidRDefault="004136F1" w:rsidP="004136F1">
            <w:pPr>
              <w:pStyle w:val="BCSTablesubheadings"/>
            </w:pPr>
            <w:r w:rsidRPr="00EC2A99">
              <w:t>Strategy</w:t>
            </w:r>
          </w:p>
        </w:tc>
        <w:tc>
          <w:tcPr>
            <w:tcW w:w="1191" w:type="dxa"/>
          </w:tcPr>
          <w:p w:rsidR="004136F1" w:rsidRPr="00EC2A99" w:rsidRDefault="004136F1" w:rsidP="004136F1">
            <w:pPr>
              <w:pStyle w:val="BCSTablesubheadings"/>
            </w:pPr>
            <w:r w:rsidRPr="00EC2A99">
              <w:t>Standard practice</w:t>
            </w:r>
          </w:p>
        </w:tc>
        <w:tc>
          <w:tcPr>
            <w:tcW w:w="737" w:type="dxa"/>
          </w:tcPr>
          <w:p w:rsidR="004136F1" w:rsidRPr="00EC2A99" w:rsidRDefault="00400A28" w:rsidP="004136F1">
            <w:pPr>
              <w:pStyle w:val="BCSTablesubheadings"/>
            </w:pPr>
            <w:r>
              <w:t>With l</w:t>
            </w:r>
            <w:r w:rsidR="004136F1">
              <w:t>ow</w:t>
            </w:r>
          </w:p>
        </w:tc>
        <w:tc>
          <w:tcPr>
            <w:tcW w:w="855" w:type="dxa"/>
          </w:tcPr>
          <w:p w:rsidR="004136F1" w:rsidRPr="00EC2A99" w:rsidRDefault="00400A28" w:rsidP="004136F1">
            <w:pPr>
              <w:pStyle w:val="BCSTablesubheadings"/>
            </w:pPr>
            <w:r>
              <w:t>With u</w:t>
            </w:r>
            <w:r w:rsidR="004136F1">
              <w:t>nder</w:t>
            </w:r>
          </w:p>
        </w:tc>
        <w:tc>
          <w:tcPr>
            <w:tcW w:w="2796" w:type="dxa"/>
          </w:tcPr>
          <w:p w:rsidR="004136F1" w:rsidRPr="00EC2A99" w:rsidRDefault="004136F1" w:rsidP="004136F1">
            <w:pPr>
              <w:pStyle w:val="BCSTablesubheadings"/>
            </w:pPr>
            <w:r w:rsidRPr="00EC2A99">
              <w:t>Comments</w:t>
            </w:r>
          </w:p>
        </w:tc>
      </w:tr>
      <w:tr w:rsidR="004136F1" w:rsidRPr="00EC2A99">
        <w:tc>
          <w:tcPr>
            <w:tcW w:w="1727" w:type="dxa"/>
            <w:vMerge w:val="restart"/>
            <w:shd w:val="clear" w:color="66CCFF" w:fill="CCFFFF"/>
          </w:tcPr>
          <w:p w:rsidR="004136F1" w:rsidRPr="00EC2A99" w:rsidRDefault="004136F1" w:rsidP="004136F1">
            <w:pPr>
              <w:pStyle w:val="BCSTabletext"/>
            </w:pPr>
            <w:r w:rsidRPr="00EC2A99">
              <w:t>Monitoring</w:t>
            </w:r>
          </w:p>
          <w:p w:rsidR="004136F1" w:rsidRPr="00EC2A99" w:rsidRDefault="004136F1" w:rsidP="004136F1">
            <w:pPr>
              <w:pStyle w:val="BCSTabletext"/>
            </w:pPr>
          </w:p>
        </w:tc>
        <w:tc>
          <w:tcPr>
            <w:tcW w:w="1936" w:type="dxa"/>
            <w:shd w:val="clear" w:color="66CCFF" w:fill="CCFFFF"/>
          </w:tcPr>
          <w:p w:rsidR="004136F1" w:rsidRPr="00EC2A99" w:rsidRDefault="004136F1" w:rsidP="004136F1">
            <w:pPr>
              <w:pStyle w:val="BCSTabletext"/>
            </w:pPr>
            <w:r w:rsidRPr="00EC2A99">
              <w:t>Data tracking and identification from residuals</w:t>
            </w:r>
          </w:p>
        </w:tc>
        <w:tc>
          <w:tcPr>
            <w:tcW w:w="1191" w:type="dxa"/>
            <w:shd w:val="clear" w:color="66CCFF" w:fill="CCFFFF"/>
          </w:tcPr>
          <w:p w:rsidR="004136F1" w:rsidRPr="00EC2A99" w:rsidRDefault="004136F1" w:rsidP="004136F1">
            <w:pPr>
              <w:pStyle w:val="BCSTabletext"/>
              <w:rPr>
                <w:iCs/>
              </w:rPr>
            </w:pPr>
            <w:r w:rsidRPr="00EC2A99">
              <w:sym w:font="Wingdings" w:char="F0FC"/>
            </w:r>
          </w:p>
        </w:tc>
        <w:tc>
          <w:tcPr>
            <w:tcW w:w="737" w:type="dxa"/>
            <w:shd w:val="clear" w:color="66CCFF" w:fill="CCFFFF"/>
          </w:tcPr>
          <w:p w:rsidR="004136F1" w:rsidRPr="00EC2A99" w:rsidRDefault="004136F1" w:rsidP="004136F1">
            <w:pPr>
              <w:pStyle w:val="BCSTabletext"/>
              <w:rPr>
                <w:i/>
              </w:rPr>
            </w:pPr>
            <w:r w:rsidRPr="00EC2A99">
              <w:sym w:font="Wingdings" w:char="F0FC"/>
            </w:r>
          </w:p>
        </w:tc>
        <w:tc>
          <w:tcPr>
            <w:tcW w:w="855" w:type="dxa"/>
            <w:shd w:val="clear" w:color="66CCFF" w:fill="CCFFFF"/>
          </w:tcPr>
          <w:p w:rsidR="004136F1" w:rsidRPr="00EC2A99" w:rsidRDefault="004136F1" w:rsidP="004136F1">
            <w:pPr>
              <w:pStyle w:val="BCSTabletext"/>
              <w:rPr>
                <w:i/>
              </w:rPr>
            </w:pPr>
            <w:r w:rsidRPr="00EC2A99">
              <w:sym w:font="Wingdings" w:char="F0FC"/>
            </w:r>
          </w:p>
        </w:tc>
        <w:tc>
          <w:tcPr>
            <w:tcW w:w="2796" w:type="dxa"/>
            <w:shd w:val="clear" w:color="66CCFF" w:fill="CCFFFF"/>
          </w:tcPr>
          <w:p w:rsidR="004136F1" w:rsidRPr="00EC2A99" w:rsidRDefault="009D6A21" w:rsidP="004136F1">
            <w:pPr>
              <w:pStyle w:val="BCSTabletext"/>
              <w:rPr>
                <w:i/>
              </w:rPr>
            </w:pPr>
            <w:r>
              <w:t xml:space="preserve">Part of </w:t>
            </w:r>
            <w:r w:rsidR="004136F1" w:rsidRPr="00EC2A99">
              <w:t>administ</w:t>
            </w:r>
            <w:r>
              <w:t xml:space="preserve">rative duties of the school; </w:t>
            </w:r>
            <w:r w:rsidR="004136F1" w:rsidRPr="00EC2A99">
              <w:t>allows close and easy identification</w:t>
            </w:r>
            <w:r>
              <w:t xml:space="preserve"> of all student</w:t>
            </w:r>
            <w:r w:rsidR="004136F1" w:rsidRPr="00EC2A99">
              <w:t xml:space="preserve"> progress</w:t>
            </w:r>
            <w:r>
              <w:t xml:space="preserve">, especially </w:t>
            </w:r>
            <w:r w:rsidR="004136F1">
              <w:t xml:space="preserve">low </w:t>
            </w:r>
            <w:r>
              <w:t xml:space="preserve">achievers </w:t>
            </w:r>
            <w:r w:rsidR="004136F1">
              <w:t>and underachievers.</w:t>
            </w:r>
          </w:p>
        </w:tc>
      </w:tr>
      <w:tr w:rsidR="004136F1" w:rsidRPr="00EC2A99">
        <w:tc>
          <w:tcPr>
            <w:tcW w:w="1727" w:type="dxa"/>
            <w:vMerge/>
            <w:shd w:val="clear" w:color="66CCFF" w:fill="CCFFFF"/>
          </w:tcPr>
          <w:p w:rsidR="004136F1" w:rsidRPr="00EC2A99" w:rsidRDefault="004136F1" w:rsidP="004136F1">
            <w:pPr>
              <w:pStyle w:val="BCSTabletext"/>
            </w:pPr>
          </w:p>
        </w:tc>
        <w:tc>
          <w:tcPr>
            <w:tcW w:w="1936" w:type="dxa"/>
            <w:shd w:val="clear" w:color="66CCFF" w:fill="CCFFFF"/>
          </w:tcPr>
          <w:p w:rsidR="004136F1" w:rsidRPr="00EC2A99" w:rsidRDefault="009D6A21" w:rsidP="004136F1">
            <w:pPr>
              <w:pStyle w:val="BCSTabletext"/>
            </w:pPr>
            <w:r>
              <w:t>Learner</w:t>
            </w:r>
            <w:r w:rsidR="004136F1" w:rsidRPr="00EC2A99">
              <w:t xml:space="preserve"> profiling</w:t>
            </w:r>
          </w:p>
        </w:tc>
        <w:tc>
          <w:tcPr>
            <w:tcW w:w="1191" w:type="dxa"/>
            <w:shd w:val="clear" w:color="66CCFF" w:fill="CCFFFF"/>
          </w:tcPr>
          <w:p w:rsidR="004136F1" w:rsidRPr="00EC2A99" w:rsidRDefault="004136F1" w:rsidP="004136F1">
            <w:pPr>
              <w:pStyle w:val="BCSTabletext"/>
              <w:rPr>
                <w:i/>
              </w:rPr>
            </w:pPr>
            <w:r w:rsidRPr="00EC2A99">
              <w:sym w:font="Wingdings" w:char="F0FC"/>
            </w:r>
          </w:p>
        </w:tc>
        <w:tc>
          <w:tcPr>
            <w:tcW w:w="737" w:type="dxa"/>
            <w:shd w:val="clear" w:color="66CCFF" w:fill="CCFFFF"/>
          </w:tcPr>
          <w:p w:rsidR="004136F1" w:rsidRPr="00EC2A99" w:rsidRDefault="004136F1" w:rsidP="004136F1">
            <w:pPr>
              <w:pStyle w:val="BCSTabletext"/>
              <w:rPr>
                <w:i/>
              </w:rPr>
            </w:pPr>
            <w:r w:rsidRPr="00EC2A99">
              <w:sym w:font="Wingdings" w:char="F0FC"/>
            </w:r>
          </w:p>
        </w:tc>
        <w:tc>
          <w:tcPr>
            <w:tcW w:w="855" w:type="dxa"/>
            <w:shd w:val="clear" w:color="66CCFF" w:fill="CCFFFF"/>
          </w:tcPr>
          <w:p w:rsidR="004136F1" w:rsidRPr="00EC2A99" w:rsidRDefault="004136F1" w:rsidP="004136F1">
            <w:pPr>
              <w:pStyle w:val="BCSTabletext"/>
              <w:rPr>
                <w:i/>
              </w:rPr>
            </w:pPr>
            <w:r w:rsidRPr="00EC2A99">
              <w:sym w:font="Wingdings" w:char="F0FC"/>
            </w:r>
          </w:p>
        </w:tc>
        <w:tc>
          <w:tcPr>
            <w:tcW w:w="2796" w:type="dxa"/>
            <w:shd w:val="clear" w:color="66CCFF" w:fill="CCFFFF"/>
          </w:tcPr>
          <w:p w:rsidR="004136F1" w:rsidRPr="00EC2A99" w:rsidRDefault="004136F1" w:rsidP="004136F1">
            <w:pPr>
              <w:pStyle w:val="BCSTabletext"/>
            </w:pPr>
            <w:r w:rsidRPr="00EC2A99">
              <w:t>Useful for identifying problems or mismatches but also</w:t>
            </w:r>
            <w:r w:rsidR="009D6A21">
              <w:t xml:space="preserve"> for </w:t>
            </w:r>
            <w:r w:rsidRPr="00EC2A99">
              <w:t>setting aspirational performance targets.</w:t>
            </w:r>
          </w:p>
          <w:p w:rsidR="004136F1" w:rsidRPr="00EC2A99" w:rsidRDefault="004136F1" w:rsidP="004136F1">
            <w:pPr>
              <w:pStyle w:val="BCSTabletext"/>
            </w:pPr>
            <w:r w:rsidRPr="00EC2A99">
              <w:t>In</w:t>
            </w:r>
            <w:r w:rsidR="00400A28">
              <w:t xml:space="preserve"> one school, if a student</w:t>
            </w:r>
            <w:r w:rsidRPr="00EC2A99">
              <w:t xml:space="preserve"> i</w:t>
            </w:r>
            <w:r w:rsidR="00400A28">
              <w:t xml:space="preserve">s below the predicted pattern, </w:t>
            </w:r>
            <w:r w:rsidRPr="00EC2A99">
              <w:t>teachers use the information at parents</w:t>
            </w:r>
            <w:r w:rsidR="00400A28">
              <w:t>’ evening</w:t>
            </w:r>
            <w:r w:rsidR="006273AA">
              <w:t>s</w:t>
            </w:r>
            <w:r w:rsidR="00400A28">
              <w:t xml:space="preserve"> to understand </w:t>
            </w:r>
            <w:r w:rsidR="006273AA">
              <w:t xml:space="preserve">the </w:t>
            </w:r>
            <w:r w:rsidR="00400A28">
              <w:t>student</w:t>
            </w:r>
            <w:r w:rsidRPr="00EC2A99">
              <w:t xml:space="preserve"> as an individual in an attempt to comprehend underachievement.</w:t>
            </w:r>
          </w:p>
        </w:tc>
      </w:tr>
    </w:tbl>
    <w:p w:rsidR="00CF6D09" w:rsidRDefault="00CF6D09"/>
    <w:p w:rsidR="00BB711A" w:rsidRDefault="00BB711A"/>
    <w:p w:rsidR="00BB711A" w:rsidRDefault="00BB711A"/>
    <w:p w:rsidR="00BB711A" w:rsidRDefault="00BB711A"/>
    <w:p w:rsidR="00BB711A" w:rsidRDefault="00BB711A"/>
    <w:p w:rsidR="00BB711A" w:rsidRDefault="00BB711A"/>
    <w:p w:rsidR="00BB711A" w:rsidRDefault="00BB711A"/>
    <w:p w:rsidR="00BB711A" w:rsidRDefault="00BB711A"/>
    <w:p w:rsidR="00BB711A" w:rsidRDefault="00BB711A"/>
    <w:p w:rsidR="00BB711A" w:rsidRDefault="007406F1" w:rsidP="00400A28">
      <w:pPr>
        <w:pStyle w:val="BCSTableheadings"/>
      </w:pPr>
      <w:r>
        <w:t>Table 1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677"/>
        <w:gridCol w:w="1408"/>
        <w:gridCol w:w="1418"/>
        <w:gridCol w:w="850"/>
        <w:gridCol w:w="992"/>
        <w:gridCol w:w="2897"/>
      </w:tblGrid>
      <w:tr w:rsidR="00BB711A" w:rsidRPr="00EC2A99">
        <w:tc>
          <w:tcPr>
            <w:tcW w:w="1677" w:type="dxa"/>
          </w:tcPr>
          <w:p w:rsidR="00BB711A" w:rsidRPr="0050660B" w:rsidRDefault="00BB711A" w:rsidP="00FE5A1D">
            <w:pPr>
              <w:spacing w:before="120" w:after="120"/>
              <w:jc w:val="center"/>
              <w:rPr>
                <w:b/>
                <w:sz w:val="18"/>
              </w:rPr>
            </w:pPr>
          </w:p>
        </w:tc>
        <w:tc>
          <w:tcPr>
            <w:tcW w:w="1408" w:type="dxa"/>
          </w:tcPr>
          <w:p w:rsidR="00BB711A" w:rsidRPr="00EC2A99" w:rsidRDefault="00BB711A" w:rsidP="00FE5A1D">
            <w:pPr>
              <w:pStyle w:val="BCSTablesubheadings"/>
            </w:pPr>
            <w:r w:rsidRPr="00EC2A99">
              <w:t>Strategy</w:t>
            </w:r>
          </w:p>
        </w:tc>
        <w:tc>
          <w:tcPr>
            <w:tcW w:w="1418" w:type="dxa"/>
          </w:tcPr>
          <w:p w:rsidR="00BB711A" w:rsidRPr="00EC2A99" w:rsidRDefault="00BB711A" w:rsidP="00FE5A1D">
            <w:pPr>
              <w:pStyle w:val="BCSTablesubheadings"/>
            </w:pPr>
            <w:r w:rsidRPr="00EC2A99">
              <w:t>Standard practice</w:t>
            </w:r>
          </w:p>
        </w:tc>
        <w:tc>
          <w:tcPr>
            <w:tcW w:w="850" w:type="dxa"/>
          </w:tcPr>
          <w:p w:rsidR="00BB711A" w:rsidRPr="00EC2A99" w:rsidRDefault="00400A28" w:rsidP="00FE5A1D">
            <w:pPr>
              <w:pStyle w:val="BCSTablesubheadings"/>
            </w:pPr>
            <w:r>
              <w:t>With l</w:t>
            </w:r>
            <w:r w:rsidR="00BB711A">
              <w:t>ow</w:t>
            </w:r>
          </w:p>
        </w:tc>
        <w:tc>
          <w:tcPr>
            <w:tcW w:w="992" w:type="dxa"/>
          </w:tcPr>
          <w:p w:rsidR="00BB711A" w:rsidRPr="00EC2A99" w:rsidRDefault="00400A28" w:rsidP="00FE5A1D">
            <w:pPr>
              <w:pStyle w:val="BCSTablesubheadings"/>
            </w:pPr>
            <w:r>
              <w:t>With u</w:t>
            </w:r>
            <w:r w:rsidR="00BB711A">
              <w:t>nder</w:t>
            </w:r>
          </w:p>
        </w:tc>
        <w:tc>
          <w:tcPr>
            <w:tcW w:w="2897" w:type="dxa"/>
          </w:tcPr>
          <w:p w:rsidR="00BB711A" w:rsidRPr="00EC2A99" w:rsidRDefault="00BB711A" w:rsidP="00FE5A1D">
            <w:pPr>
              <w:pStyle w:val="BCSTablesubheadings"/>
            </w:pPr>
            <w:r w:rsidRPr="00EC2A99">
              <w:t>Comments</w:t>
            </w:r>
          </w:p>
        </w:tc>
      </w:tr>
      <w:tr w:rsidR="004136F1" w:rsidRPr="00EC2A99">
        <w:tc>
          <w:tcPr>
            <w:tcW w:w="1677" w:type="dxa"/>
            <w:vMerge w:val="restart"/>
          </w:tcPr>
          <w:p w:rsidR="004136F1" w:rsidRPr="00EC2A99" w:rsidRDefault="004136F1" w:rsidP="0001767E">
            <w:pPr>
              <w:pStyle w:val="BCSTabletext"/>
            </w:pPr>
            <w:r w:rsidRPr="00EC2A99">
              <w:t>Mentoring</w:t>
            </w:r>
          </w:p>
        </w:tc>
        <w:tc>
          <w:tcPr>
            <w:tcW w:w="1408" w:type="dxa"/>
          </w:tcPr>
          <w:p w:rsidR="004136F1" w:rsidRPr="00EC2A99" w:rsidRDefault="00FF027A" w:rsidP="0001767E">
            <w:pPr>
              <w:pStyle w:val="BCSTabletext"/>
            </w:pPr>
            <w:r>
              <w:t>Peer support</w:t>
            </w:r>
          </w:p>
        </w:tc>
        <w:tc>
          <w:tcPr>
            <w:tcW w:w="1418" w:type="dxa"/>
          </w:tcPr>
          <w:p w:rsidR="004136F1" w:rsidRPr="00EC2A99" w:rsidRDefault="004136F1" w:rsidP="0001767E">
            <w:pPr>
              <w:pStyle w:val="BCSTabletext"/>
            </w:pPr>
          </w:p>
        </w:tc>
        <w:tc>
          <w:tcPr>
            <w:tcW w:w="850" w:type="dxa"/>
          </w:tcPr>
          <w:p w:rsidR="004136F1" w:rsidRPr="00EC2A99" w:rsidRDefault="004136F1" w:rsidP="0001767E">
            <w:pPr>
              <w:pStyle w:val="BCSTabletext"/>
            </w:pPr>
            <w:r w:rsidRPr="00EC2A99">
              <w:sym w:font="Wingdings" w:char="F0FC"/>
            </w:r>
            <w:r w:rsidRPr="00EC2A99">
              <w:sym w:font="Wingdings" w:char="F0FC"/>
            </w:r>
          </w:p>
        </w:tc>
        <w:tc>
          <w:tcPr>
            <w:tcW w:w="992" w:type="dxa"/>
          </w:tcPr>
          <w:p w:rsidR="004136F1" w:rsidRPr="00EC2A99" w:rsidRDefault="004136F1" w:rsidP="0001767E">
            <w:pPr>
              <w:pStyle w:val="BCSTabletext"/>
            </w:pPr>
            <w:r w:rsidRPr="00EC2A99">
              <w:sym w:font="Wingdings" w:char="F0FC"/>
            </w:r>
            <w:r w:rsidRPr="00EC2A99">
              <w:sym w:font="Wingdings" w:char="F0FC"/>
            </w:r>
            <w:r w:rsidRPr="00EC2A99">
              <w:sym w:font="Wingdings" w:char="F0FC"/>
            </w:r>
          </w:p>
        </w:tc>
        <w:tc>
          <w:tcPr>
            <w:tcW w:w="2897" w:type="dxa"/>
          </w:tcPr>
          <w:p w:rsidR="004136F1" w:rsidRPr="00EC2A99" w:rsidRDefault="004136F1" w:rsidP="0001767E">
            <w:pPr>
              <w:pStyle w:val="BCSTabletext"/>
            </w:pPr>
            <w:r w:rsidRPr="00EC2A99">
              <w:rPr>
                <w:iCs/>
              </w:rPr>
              <w:t xml:space="preserve">Can be used to push both </w:t>
            </w:r>
            <w:r>
              <w:rPr>
                <w:iCs/>
              </w:rPr>
              <w:t xml:space="preserve">low </w:t>
            </w:r>
            <w:r w:rsidR="00400A28">
              <w:rPr>
                <w:iCs/>
              </w:rPr>
              <w:t xml:space="preserve">achievers </w:t>
            </w:r>
            <w:r>
              <w:rPr>
                <w:iCs/>
              </w:rPr>
              <w:t>and under</w:t>
            </w:r>
            <w:r w:rsidRPr="00EC2A99">
              <w:rPr>
                <w:iCs/>
              </w:rPr>
              <w:t>achievers. For examp</w:t>
            </w:r>
            <w:r w:rsidR="00400A28">
              <w:rPr>
                <w:iCs/>
              </w:rPr>
              <w:t>le, it is used for some of Key Stage 4 material and academic subjects, as well as with sixth-</w:t>
            </w:r>
            <w:r w:rsidRPr="00EC2A99">
              <w:rPr>
                <w:iCs/>
              </w:rPr>
              <w:t>form students</w:t>
            </w:r>
            <w:r w:rsidR="00400A28">
              <w:rPr>
                <w:iCs/>
              </w:rPr>
              <w:t>.</w:t>
            </w:r>
          </w:p>
        </w:tc>
      </w:tr>
      <w:tr w:rsidR="004136F1" w:rsidRPr="00EC2A99">
        <w:tc>
          <w:tcPr>
            <w:tcW w:w="1677" w:type="dxa"/>
            <w:vMerge/>
          </w:tcPr>
          <w:p w:rsidR="004136F1" w:rsidRPr="00EC2A99" w:rsidRDefault="004136F1" w:rsidP="0001767E">
            <w:pPr>
              <w:pStyle w:val="BCSTabletext"/>
            </w:pPr>
          </w:p>
        </w:tc>
        <w:tc>
          <w:tcPr>
            <w:tcW w:w="1408" w:type="dxa"/>
            <w:shd w:val="clear" w:color="auto" w:fill="CCFFFF"/>
          </w:tcPr>
          <w:p w:rsidR="004136F1" w:rsidRPr="00EC2A99" w:rsidRDefault="004136F1" w:rsidP="0001767E">
            <w:pPr>
              <w:pStyle w:val="BCSTabletext"/>
            </w:pPr>
            <w:r w:rsidRPr="00EC2A99">
              <w:t>Engage parents if feel student needs support</w:t>
            </w:r>
          </w:p>
        </w:tc>
        <w:tc>
          <w:tcPr>
            <w:tcW w:w="1418" w:type="dxa"/>
            <w:shd w:val="clear" w:color="auto" w:fill="CCFFFF"/>
          </w:tcPr>
          <w:p w:rsidR="004136F1" w:rsidRPr="00EC2A99" w:rsidRDefault="004136F1" w:rsidP="0001767E">
            <w:pPr>
              <w:pStyle w:val="BCSTabletext"/>
              <w:rPr>
                <w:i/>
              </w:rPr>
            </w:pPr>
            <w:r w:rsidRPr="00EC2A99">
              <w:sym w:font="Wingdings" w:char="F0FC"/>
            </w:r>
          </w:p>
        </w:tc>
        <w:tc>
          <w:tcPr>
            <w:tcW w:w="850"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992" w:type="dxa"/>
            <w:shd w:val="clear" w:color="auto" w:fill="CCFFFF"/>
          </w:tcPr>
          <w:p w:rsidR="004136F1" w:rsidRPr="00EC2A99" w:rsidRDefault="004136F1" w:rsidP="0001767E">
            <w:pPr>
              <w:pStyle w:val="BCSTabletext"/>
            </w:pPr>
            <w:r w:rsidRPr="00EC2A99">
              <w:sym w:font="Wingdings" w:char="F0FC"/>
            </w:r>
            <w:r w:rsidRPr="00EC2A99">
              <w:sym w:font="Wingdings" w:char="F0FC"/>
            </w:r>
            <w:r w:rsidRPr="00EC2A99">
              <w:sym w:font="Wingdings" w:char="F0FC"/>
            </w:r>
          </w:p>
        </w:tc>
        <w:tc>
          <w:tcPr>
            <w:tcW w:w="2897" w:type="dxa"/>
            <w:shd w:val="clear" w:color="auto" w:fill="CCFFFF"/>
          </w:tcPr>
          <w:p w:rsidR="004136F1" w:rsidRPr="00EC2A99" w:rsidRDefault="004136F1" w:rsidP="0001767E">
            <w:pPr>
              <w:pStyle w:val="BCSTabletext"/>
            </w:pPr>
            <w:r w:rsidRPr="00EC2A99">
              <w:t>Real time reporting to parents is crucial.</w:t>
            </w:r>
          </w:p>
          <w:p w:rsidR="004136F1" w:rsidRPr="00EC2A99" w:rsidRDefault="00400A28" w:rsidP="0001767E">
            <w:pPr>
              <w:pStyle w:val="BCSTabletext"/>
            </w:pPr>
            <w:r>
              <w:rPr>
                <w:rFonts w:cs="Courier New"/>
              </w:rPr>
              <w:t>School 10 t</w:t>
            </w:r>
            <w:r w:rsidR="004136F1" w:rsidRPr="00EC2A99">
              <w:rPr>
                <w:rFonts w:cs="Courier New"/>
              </w:rPr>
              <w:t>eachers report to pa</w:t>
            </w:r>
            <w:r>
              <w:rPr>
                <w:rFonts w:cs="Courier New"/>
              </w:rPr>
              <w:t xml:space="preserve">rents online with all teacher-student and teacher-parent messages </w:t>
            </w:r>
            <w:r w:rsidR="004136F1" w:rsidRPr="00EC2A99">
              <w:rPr>
                <w:rFonts w:cs="Courier New"/>
              </w:rPr>
              <w:t>accessible to parents.</w:t>
            </w:r>
          </w:p>
        </w:tc>
      </w:tr>
      <w:tr w:rsidR="004136F1" w:rsidRPr="00EC2A99">
        <w:tc>
          <w:tcPr>
            <w:tcW w:w="1677" w:type="dxa"/>
            <w:vMerge/>
          </w:tcPr>
          <w:p w:rsidR="004136F1" w:rsidRPr="00EC2A99" w:rsidRDefault="004136F1" w:rsidP="0001767E">
            <w:pPr>
              <w:pStyle w:val="BCSTabletext"/>
            </w:pPr>
          </w:p>
        </w:tc>
        <w:tc>
          <w:tcPr>
            <w:tcW w:w="1408" w:type="dxa"/>
          </w:tcPr>
          <w:p w:rsidR="004136F1" w:rsidRPr="00EC2A99" w:rsidRDefault="004136F1" w:rsidP="0001767E">
            <w:pPr>
              <w:pStyle w:val="BCSTabletext"/>
              <w:rPr>
                <w:lang w:val="en-US"/>
              </w:rPr>
            </w:pPr>
            <w:r w:rsidRPr="00EC2A99">
              <w:rPr>
                <w:lang w:val="en-US"/>
              </w:rPr>
              <w:t>One-to-one support</w:t>
            </w:r>
          </w:p>
        </w:tc>
        <w:tc>
          <w:tcPr>
            <w:tcW w:w="1418" w:type="dxa"/>
          </w:tcPr>
          <w:p w:rsidR="004136F1" w:rsidRPr="00EC2A99" w:rsidRDefault="004136F1" w:rsidP="0001767E">
            <w:pPr>
              <w:pStyle w:val="BCSTabletext"/>
              <w:rPr>
                <w:i/>
              </w:rPr>
            </w:pPr>
            <w:r w:rsidRPr="00EC2A99">
              <w:sym w:font="Wingdings" w:char="F0FC"/>
            </w:r>
          </w:p>
        </w:tc>
        <w:tc>
          <w:tcPr>
            <w:tcW w:w="850" w:type="dxa"/>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992" w:type="dxa"/>
          </w:tcPr>
          <w:p w:rsidR="004136F1" w:rsidRPr="00EC2A99" w:rsidRDefault="004136F1" w:rsidP="0001767E">
            <w:pPr>
              <w:pStyle w:val="BCSTabletext"/>
              <w:rPr>
                <w:i/>
              </w:rPr>
            </w:pPr>
            <w:r w:rsidRPr="00EC2A99">
              <w:sym w:font="Wingdings" w:char="F0FC"/>
            </w:r>
            <w:r w:rsidRPr="00EC2A99">
              <w:sym w:font="Wingdings" w:char="F0FC"/>
            </w:r>
          </w:p>
        </w:tc>
        <w:tc>
          <w:tcPr>
            <w:tcW w:w="2897" w:type="dxa"/>
          </w:tcPr>
          <w:p w:rsidR="004136F1" w:rsidRPr="00EC2A99" w:rsidRDefault="00400A28" w:rsidP="0001767E">
            <w:pPr>
              <w:pStyle w:val="BCSTabletext"/>
            </w:pPr>
            <w:r>
              <w:t>One-to-</w:t>
            </w:r>
            <w:r w:rsidR="004136F1" w:rsidRPr="00EC2A99">
              <w:t xml:space="preserve">one support is essential for low achievers but sometimes can be targeted at underachievers so they have a peer or staff mentor to give formative feedback. </w:t>
            </w:r>
          </w:p>
        </w:tc>
      </w:tr>
    </w:tbl>
    <w:p w:rsidR="00CF6D09" w:rsidRDefault="00CF6D09"/>
    <w:p w:rsidR="00BB711A" w:rsidRDefault="00BB711A"/>
    <w:p w:rsidR="00BB711A" w:rsidRDefault="00BB711A"/>
    <w:p w:rsidR="00BB711A" w:rsidRDefault="00BB711A"/>
    <w:p w:rsidR="00BB711A" w:rsidRDefault="00BB711A"/>
    <w:p w:rsidR="00BB711A" w:rsidRDefault="00BB711A"/>
    <w:p w:rsidR="00BB711A" w:rsidRDefault="00BB711A"/>
    <w:p w:rsidR="00BB711A" w:rsidRDefault="00BB711A"/>
    <w:p w:rsidR="00BB711A" w:rsidRDefault="00BB711A"/>
    <w:p w:rsidR="00BB711A" w:rsidRDefault="00BB711A"/>
    <w:p w:rsidR="00BB711A" w:rsidRDefault="00BB711A"/>
    <w:p w:rsidR="00BB711A" w:rsidRDefault="00BB711A"/>
    <w:p w:rsidR="00BB711A" w:rsidRDefault="00BB711A"/>
    <w:p w:rsidR="00BB711A" w:rsidRDefault="00BB711A"/>
    <w:p w:rsidR="00B06D43" w:rsidRDefault="00B06D43"/>
    <w:p w:rsidR="00B06D43" w:rsidRDefault="00B06D43"/>
    <w:p w:rsidR="006D1C6B" w:rsidRDefault="006D1C6B"/>
    <w:p w:rsidR="006D1C6B" w:rsidRDefault="00400A28" w:rsidP="00400A28">
      <w:pPr>
        <w:pStyle w:val="BCSTableheadings"/>
      </w:pPr>
      <w:r>
        <w:br w:type="page"/>
      </w:r>
      <w:r w:rsidR="006D1C6B">
        <w:t>Table 1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809"/>
        <w:gridCol w:w="1719"/>
        <w:gridCol w:w="1350"/>
        <w:gridCol w:w="810"/>
        <w:gridCol w:w="900"/>
        <w:gridCol w:w="2654"/>
      </w:tblGrid>
      <w:tr w:rsidR="00F1743E" w:rsidRPr="00EC2A99">
        <w:tc>
          <w:tcPr>
            <w:tcW w:w="1809" w:type="dxa"/>
          </w:tcPr>
          <w:p w:rsidR="00B06D43" w:rsidRPr="0050660B" w:rsidRDefault="00B06D43" w:rsidP="00FE5A1D">
            <w:pPr>
              <w:spacing w:before="120" w:after="120"/>
              <w:jc w:val="center"/>
              <w:rPr>
                <w:b/>
                <w:sz w:val="18"/>
              </w:rPr>
            </w:pPr>
          </w:p>
        </w:tc>
        <w:tc>
          <w:tcPr>
            <w:tcW w:w="1719" w:type="dxa"/>
          </w:tcPr>
          <w:p w:rsidR="00B06D43" w:rsidRPr="00EC2A99" w:rsidRDefault="00B06D43" w:rsidP="00FE5A1D">
            <w:pPr>
              <w:pStyle w:val="BCSTablesubheadings"/>
            </w:pPr>
            <w:r w:rsidRPr="00EC2A99">
              <w:t>Strategy</w:t>
            </w:r>
          </w:p>
        </w:tc>
        <w:tc>
          <w:tcPr>
            <w:tcW w:w="1350" w:type="dxa"/>
          </w:tcPr>
          <w:p w:rsidR="00B06D43" w:rsidRPr="00EC2A99" w:rsidRDefault="00B06D43" w:rsidP="00FE5A1D">
            <w:pPr>
              <w:pStyle w:val="BCSTablesubheadings"/>
            </w:pPr>
            <w:r w:rsidRPr="00EC2A99">
              <w:t>Standard practice</w:t>
            </w:r>
          </w:p>
        </w:tc>
        <w:tc>
          <w:tcPr>
            <w:tcW w:w="810" w:type="dxa"/>
          </w:tcPr>
          <w:p w:rsidR="00B06D43" w:rsidRPr="00EC2A99" w:rsidRDefault="007F2C7D" w:rsidP="00FE5A1D">
            <w:pPr>
              <w:pStyle w:val="BCSTablesubheadings"/>
            </w:pPr>
            <w:r>
              <w:t>With l</w:t>
            </w:r>
            <w:r w:rsidR="00B06D43">
              <w:t>ow</w:t>
            </w:r>
          </w:p>
        </w:tc>
        <w:tc>
          <w:tcPr>
            <w:tcW w:w="900" w:type="dxa"/>
          </w:tcPr>
          <w:p w:rsidR="00B06D43" w:rsidRPr="00EC2A99" w:rsidRDefault="007F2C7D" w:rsidP="00FE5A1D">
            <w:pPr>
              <w:pStyle w:val="BCSTablesubheadings"/>
            </w:pPr>
            <w:r>
              <w:t>With u</w:t>
            </w:r>
            <w:r w:rsidR="00B06D43">
              <w:t>nder</w:t>
            </w:r>
          </w:p>
        </w:tc>
        <w:tc>
          <w:tcPr>
            <w:tcW w:w="2654" w:type="dxa"/>
          </w:tcPr>
          <w:p w:rsidR="00B06D43" w:rsidRPr="00EC2A99" w:rsidRDefault="00B06D43" w:rsidP="00FE5A1D">
            <w:pPr>
              <w:pStyle w:val="BCSTablesubheadings"/>
            </w:pPr>
            <w:r w:rsidRPr="00EC2A99">
              <w:t>Comments</w:t>
            </w:r>
          </w:p>
        </w:tc>
      </w:tr>
      <w:tr w:rsidR="004136F1" w:rsidRPr="00EC2A99">
        <w:trPr>
          <w:trHeight w:val="930"/>
        </w:trPr>
        <w:tc>
          <w:tcPr>
            <w:tcW w:w="1809" w:type="dxa"/>
            <w:vMerge w:val="restart"/>
            <w:shd w:val="clear" w:color="auto" w:fill="CCFFFF"/>
          </w:tcPr>
          <w:p w:rsidR="004136F1" w:rsidRPr="00EC2A99" w:rsidRDefault="004136F1" w:rsidP="0001767E">
            <w:pPr>
              <w:pStyle w:val="BCSTabletext"/>
            </w:pPr>
            <w:r w:rsidRPr="00EC2A99">
              <w:t>Skills development</w:t>
            </w:r>
          </w:p>
        </w:tc>
        <w:tc>
          <w:tcPr>
            <w:tcW w:w="1719" w:type="dxa"/>
            <w:shd w:val="clear" w:color="auto" w:fill="CCFFFF"/>
          </w:tcPr>
          <w:p w:rsidR="004136F1" w:rsidRPr="00EC2A99" w:rsidRDefault="004136F1" w:rsidP="0001767E">
            <w:pPr>
              <w:pStyle w:val="BCSTabletext"/>
            </w:pPr>
            <w:r w:rsidRPr="00EC2A99">
              <w:t>Provide differentiated templates or frames</w:t>
            </w:r>
            <w:r w:rsidR="00F06B05">
              <w:t xml:space="preserve"> to support individual learner’s</w:t>
            </w:r>
            <w:r w:rsidRPr="00EC2A99">
              <w:t xml:space="preserve"> work</w:t>
            </w:r>
          </w:p>
        </w:tc>
        <w:tc>
          <w:tcPr>
            <w:tcW w:w="1350" w:type="dxa"/>
            <w:shd w:val="clear" w:color="auto" w:fill="CCFFFF"/>
          </w:tcPr>
          <w:p w:rsidR="004136F1" w:rsidRPr="00EC2A99" w:rsidRDefault="004136F1" w:rsidP="0001767E">
            <w:pPr>
              <w:pStyle w:val="BCSTabletext"/>
            </w:pPr>
          </w:p>
        </w:tc>
        <w:tc>
          <w:tcPr>
            <w:tcW w:w="810" w:type="dxa"/>
            <w:shd w:val="clear" w:color="auto" w:fill="CCFFFF"/>
          </w:tcPr>
          <w:p w:rsidR="004136F1" w:rsidRPr="00EC2A99" w:rsidRDefault="004136F1" w:rsidP="0001767E">
            <w:pPr>
              <w:pStyle w:val="BCSTabletext"/>
            </w:pPr>
            <w:r w:rsidRPr="00EC2A99">
              <w:sym w:font="Wingdings" w:char="F0FC"/>
            </w:r>
            <w:r w:rsidRPr="00EC2A99">
              <w:sym w:font="Wingdings" w:char="F0FC"/>
            </w:r>
            <w:r w:rsidRPr="00EC2A99">
              <w:sym w:font="Wingdings" w:char="F0FC"/>
            </w:r>
          </w:p>
        </w:tc>
        <w:tc>
          <w:tcPr>
            <w:tcW w:w="900" w:type="dxa"/>
            <w:shd w:val="clear" w:color="auto" w:fill="CCFFFF"/>
          </w:tcPr>
          <w:p w:rsidR="004136F1" w:rsidRPr="00EC2A99" w:rsidRDefault="004136F1" w:rsidP="0001767E">
            <w:pPr>
              <w:pStyle w:val="BCSTabletext"/>
            </w:pPr>
            <w:r w:rsidRPr="00EC2A99">
              <w:t xml:space="preserve"> </w:t>
            </w:r>
            <w:r w:rsidRPr="00EC2A99">
              <w:sym w:font="Wingdings" w:char="F0FC"/>
            </w:r>
          </w:p>
        </w:tc>
        <w:tc>
          <w:tcPr>
            <w:tcW w:w="2654" w:type="dxa"/>
            <w:shd w:val="clear" w:color="auto" w:fill="CCFFFF"/>
          </w:tcPr>
          <w:p w:rsidR="004136F1" w:rsidRPr="00EC2A99" w:rsidRDefault="004136F1" w:rsidP="0001767E">
            <w:pPr>
              <w:pStyle w:val="BCSTabletext"/>
            </w:pPr>
            <w:r w:rsidRPr="00EC2A99">
              <w:t>Although time restrictions can be</w:t>
            </w:r>
            <w:r w:rsidR="00F06B05">
              <w:t xml:space="preserve"> problematic, </w:t>
            </w:r>
            <w:r w:rsidRPr="00EC2A99">
              <w:t>differentiated help sheets can be beneficial with ex</w:t>
            </w:r>
            <w:r w:rsidRPr="00EC2A99">
              <w:rPr>
                <w:iCs/>
              </w:rPr>
              <w:t>treme</w:t>
            </w:r>
            <w:r w:rsidR="00F06B05">
              <w:rPr>
                <w:iCs/>
              </w:rPr>
              <w:t xml:space="preserve"> low achievers or those with</w:t>
            </w:r>
            <w:r w:rsidRPr="00EC2A99">
              <w:rPr>
                <w:iCs/>
              </w:rPr>
              <w:t xml:space="preserve"> difficulties starting curriculum tasks</w:t>
            </w:r>
            <w:r w:rsidR="00F06B05">
              <w:rPr>
                <w:iCs/>
              </w:rPr>
              <w:t>. W</w:t>
            </w:r>
            <w:r w:rsidRPr="00EC2A99">
              <w:t xml:space="preserve">riting frames may include </w:t>
            </w:r>
            <w:r w:rsidR="00F06B05">
              <w:t>the start of a sentence. R</w:t>
            </w:r>
            <w:r w:rsidRPr="00EC2A99">
              <w:t xml:space="preserve">egarded by some primary schools as a strategy used in secondary schools. </w:t>
            </w:r>
          </w:p>
        </w:tc>
      </w:tr>
      <w:tr w:rsidR="004136F1" w:rsidRPr="00EC2A99">
        <w:trPr>
          <w:trHeight w:val="930"/>
        </w:trPr>
        <w:tc>
          <w:tcPr>
            <w:tcW w:w="1809" w:type="dxa"/>
            <w:vMerge/>
            <w:shd w:val="clear" w:color="auto" w:fill="CCFFFF"/>
          </w:tcPr>
          <w:p w:rsidR="004136F1" w:rsidRPr="00EC2A99" w:rsidRDefault="004136F1" w:rsidP="0001767E">
            <w:pPr>
              <w:pStyle w:val="BCSTabletext"/>
            </w:pPr>
          </w:p>
        </w:tc>
        <w:tc>
          <w:tcPr>
            <w:tcW w:w="1719" w:type="dxa"/>
            <w:shd w:val="clear" w:color="auto" w:fill="CCFFFF"/>
          </w:tcPr>
          <w:p w:rsidR="004136F1" w:rsidRPr="00EC2A99" w:rsidRDefault="00672463" w:rsidP="0001767E">
            <w:pPr>
              <w:pStyle w:val="BCSTabletext"/>
            </w:pPr>
            <w:r>
              <w:t>Put material on the learning platform</w:t>
            </w:r>
            <w:r w:rsidR="004136F1" w:rsidRPr="00EC2A99">
              <w:t xml:space="preserve"> or email it to students</w:t>
            </w:r>
          </w:p>
        </w:tc>
        <w:tc>
          <w:tcPr>
            <w:tcW w:w="1350"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p>
        </w:tc>
        <w:tc>
          <w:tcPr>
            <w:tcW w:w="810"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p>
        </w:tc>
        <w:tc>
          <w:tcPr>
            <w:tcW w:w="900" w:type="dxa"/>
            <w:shd w:val="clear" w:color="auto" w:fill="CCFFFF"/>
          </w:tcPr>
          <w:p w:rsidR="004136F1" w:rsidRPr="00EC2A99" w:rsidRDefault="004136F1" w:rsidP="0001767E">
            <w:pPr>
              <w:pStyle w:val="BCSTabletext"/>
            </w:pPr>
            <w:r w:rsidRPr="00EC2A99">
              <w:sym w:font="Wingdings" w:char="F0FC"/>
            </w:r>
            <w:r w:rsidRPr="00EC2A99">
              <w:sym w:font="Wingdings" w:char="F0FC"/>
            </w:r>
          </w:p>
        </w:tc>
        <w:tc>
          <w:tcPr>
            <w:tcW w:w="2654" w:type="dxa"/>
            <w:shd w:val="clear" w:color="auto" w:fill="CCFFFF"/>
          </w:tcPr>
          <w:p w:rsidR="004136F1" w:rsidRPr="00EC2A99" w:rsidRDefault="004136F1" w:rsidP="0001767E">
            <w:pPr>
              <w:pStyle w:val="BCSTabletext"/>
            </w:pPr>
            <w:r w:rsidRPr="00EC2A99">
              <w:rPr>
                <w:rFonts w:cs="Courier New"/>
              </w:rPr>
              <w:t>In</w:t>
            </w:r>
            <w:r w:rsidR="00F06B05">
              <w:rPr>
                <w:rFonts w:cs="Courier New"/>
              </w:rPr>
              <w:t>ternet resources are powerful for</w:t>
            </w:r>
            <w:r w:rsidRPr="00EC2A99">
              <w:rPr>
                <w:rFonts w:cs="Courier New"/>
              </w:rPr>
              <w:t xml:space="preserve"> support</w:t>
            </w:r>
            <w:r w:rsidR="00F06B05">
              <w:rPr>
                <w:rFonts w:cs="Courier New"/>
              </w:rPr>
              <w:t>ing</w:t>
            </w:r>
            <w:r w:rsidRPr="00EC2A99">
              <w:rPr>
                <w:rFonts w:cs="Courier New"/>
              </w:rPr>
              <w:t xml:space="preserve"> l</w:t>
            </w:r>
            <w:r w:rsidR="00F06B05">
              <w:rPr>
                <w:rFonts w:cs="Courier New"/>
              </w:rPr>
              <w:t>earning. An example from</w:t>
            </w:r>
            <w:r w:rsidRPr="00EC2A99">
              <w:rPr>
                <w:rFonts w:cs="Courier New"/>
              </w:rPr>
              <w:t xml:space="preserve"> science</w:t>
            </w:r>
            <w:r w:rsidR="00F06B05">
              <w:rPr>
                <w:rFonts w:cs="Courier New"/>
              </w:rPr>
              <w:t xml:space="preserve">: when some learners do </w:t>
            </w:r>
            <w:r w:rsidRPr="00EC2A99">
              <w:rPr>
                <w:rFonts w:cs="Courier New"/>
              </w:rPr>
              <w:t>not understan</w:t>
            </w:r>
            <w:r w:rsidR="00F06B05">
              <w:rPr>
                <w:rFonts w:cs="Courier New"/>
              </w:rPr>
              <w:t xml:space="preserve">d a diagram drawn on the board, </w:t>
            </w:r>
            <w:r w:rsidRPr="00EC2A99">
              <w:rPr>
                <w:rFonts w:cs="Courier New"/>
              </w:rPr>
              <w:t>presenting a colourful in</w:t>
            </w:r>
            <w:r w:rsidR="00F06B05">
              <w:rPr>
                <w:rFonts w:cs="Courier New"/>
              </w:rPr>
              <w:t>teractive diagram can bring it</w:t>
            </w:r>
            <w:r w:rsidRPr="00EC2A99">
              <w:rPr>
                <w:rFonts w:cs="Courier New"/>
              </w:rPr>
              <w:t xml:space="preserve"> to life and enhance their engagement.</w:t>
            </w:r>
          </w:p>
        </w:tc>
      </w:tr>
      <w:tr w:rsidR="004136F1" w:rsidRPr="00EC2A99">
        <w:tc>
          <w:tcPr>
            <w:tcW w:w="1809" w:type="dxa"/>
          </w:tcPr>
          <w:p w:rsidR="004136F1" w:rsidRPr="00EC2A99" w:rsidRDefault="004136F1" w:rsidP="0001767E">
            <w:pPr>
              <w:pStyle w:val="BCSTabletext"/>
            </w:pPr>
          </w:p>
        </w:tc>
        <w:tc>
          <w:tcPr>
            <w:tcW w:w="1719" w:type="dxa"/>
          </w:tcPr>
          <w:p w:rsidR="004136F1" w:rsidRPr="00EC2A99" w:rsidRDefault="004136F1" w:rsidP="0001767E">
            <w:pPr>
              <w:pStyle w:val="BCSTabletext"/>
              <w:rPr>
                <w:lang w:val="en-US"/>
              </w:rPr>
            </w:pPr>
            <w:r w:rsidRPr="00EC2A99">
              <w:t>Study skills support</w:t>
            </w:r>
          </w:p>
        </w:tc>
        <w:tc>
          <w:tcPr>
            <w:tcW w:w="1350" w:type="dxa"/>
          </w:tcPr>
          <w:p w:rsidR="004136F1" w:rsidRPr="00EC2A99" w:rsidRDefault="004136F1" w:rsidP="0001767E">
            <w:pPr>
              <w:pStyle w:val="BCSTabletext"/>
              <w:rPr>
                <w:i/>
              </w:rPr>
            </w:pPr>
            <w:r w:rsidRPr="00EC2A99">
              <w:sym w:font="Wingdings" w:char="F0FC"/>
            </w:r>
          </w:p>
        </w:tc>
        <w:tc>
          <w:tcPr>
            <w:tcW w:w="810" w:type="dxa"/>
          </w:tcPr>
          <w:p w:rsidR="004136F1" w:rsidRPr="00EC2A99" w:rsidRDefault="004136F1" w:rsidP="0001767E">
            <w:pPr>
              <w:pStyle w:val="BCSTabletext"/>
              <w:rPr>
                <w:bCs/>
                <w:iCs/>
              </w:rPr>
            </w:pPr>
            <w:r w:rsidRPr="00EC2A99">
              <w:sym w:font="Wingdings" w:char="F0FC"/>
            </w:r>
          </w:p>
        </w:tc>
        <w:tc>
          <w:tcPr>
            <w:tcW w:w="900" w:type="dxa"/>
          </w:tcPr>
          <w:p w:rsidR="004136F1" w:rsidRPr="00EC2A99" w:rsidRDefault="004136F1" w:rsidP="0001767E">
            <w:pPr>
              <w:pStyle w:val="BCSTabletext"/>
              <w:rPr>
                <w:i/>
              </w:rPr>
            </w:pPr>
            <w:r w:rsidRPr="00EC2A99">
              <w:sym w:font="Wingdings" w:char="F0FC"/>
            </w:r>
            <w:r w:rsidRPr="00EC2A99">
              <w:sym w:font="Wingdings" w:char="F0FC"/>
            </w:r>
          </w:p>
        </w:tc>
        <w:tc>
          <w:tcPr>
            <w:tcW w:w="2654" w:type="dxa"/>
          </w:tcPr>
          <w:p w:rsidR="004136F1" w:rsidRPr="00EC2A99" w:rsidRDefault="004136F1" w:rsidP="0001767E">
            <w:pPr>
              <w:pStyle w:val="BCSTabletext"/>
              <w:rPr>
                <w:i/>
              </w:rPr>
            </w:pPr>
            <w:r w:rsidRPr="00EC2A99">
              <w:t>Appropriate to all students across all cu</w:t>
            </w:r>
            <w:r w:rsidR="00F06B05">
              <w:t>rriculum subjects, although perhaps seen as</w:t>
            </w:r>
            <w:r w:rsidRPr="00EC2A99">
              <w:t xml:space="preserve"> more fundamental to </w:t>
            </w:r>
            <w:r>
              <w:t>low</w:t>
            </w:r>
            <w:r w:rsidR="00F06B05">
              <w:t xml:space="preserve"> achievers</w:t>
            </w:r>
            <w:r>
              <w:t xml:space="preserve"> and underachievers. </w:t>
            </w:r>
          </w:p>
        </w:tc>
      </w:tr>
    </w:tbl>
    <w:p w:rsidR="00672463" w:rsidRDefault="00672463"/>
    <w:p w:rsidR="00672463" w:rsidRDefault="00B313A1" w:rsidP="00B313A1">
      <w:pPr>
        <w:pStyle w:val="BCSTableheadings"/>
      </w:pPr>
      <w:r>
        <w:t>Table 1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809"/>
        <w:gridCol w:w="1719"/>
        <w:gridCol w:w="1350"/>
        <w:gridCol w:w="810"/>
        <w:gridCol w:w="900"/>
        <w:gridCol w:w="2654"/>
      </w:tblGrid>
      <w:tr w:rsidR="00672463" w:rsidRPr="00EC2A99">
        <w:tc>
          <w:tcPr>
            <w:tcW w:w="1809" w:type="dxa"/>
          </w:tcPr>
          <w:p w:rsidR="00672463" w:rsidRPr="0050660B" w:rsidRDefault="00672463" w:rsidP="00705DC6">
            <w:pPr>
              <w:spacing w:before="120" w:after="120"/>
              <w:jc w:val="center"/>
              <w:rPr>
                <w:b/>
                <w:sz w:val="18"/>
              </w:rPr>
            </w:pPr>
          </w:p>
        </w:tc>
        <w:tc>
          <w:tcPr>
            <w:tcW w:w="1719" w:type="dxa"/>
          </w:tcPr>
          <w:p w:rsidR="00672463" w:rsidRPr="00EC2A99" w:rsidRDefault="00672463" w:rsidP="00705DC6">
            <w:pPr>
              <w:pStyle w:val="BCSTablesubheadings"/>
            </w:pPr>
            <w:r w:rsidRPr="00EC2A99">
              <w:t>Strategy</w:t>
            </w:r>
          </w:p>
        </w:tc>
        <w:tc>
          <w:tcPr>
            <w:tcW w:w="1350" w:type="dxa"/>
          </w:tcPr>
          <w:p w:rsidR="00672463" w:rsidRPr="00EC2A99" w:rsidRDefault="00672463" w:rsidP="00705DC6">
            <w:pPr>
              <w:pStyle w:val="BCSTablesubheadings"/>
            </w:pPr>
            <w:r w:rsidRPr="00EC2A99">
              <w:t>Standard practice</w:t>
            </w:r>
          </w:p>
        </w:tc>
        <w:tc>
          <w:tcPr>
            <w:tcW w:w="810" w:type="dxa"/>
          </w:tcPr>
          <w:p w:rsidR="00672463" w:rsidRPr="00EC2A99" w:rsidRDefault="00672463" w:rsidP="00705DC6">
            <w:pPr>
              <w:pStyle w:val="BCSTablesubheadings"/>
            </w:pPr>
            <w:r>
              <w:t>With low</w:t>
            </w:r>
          </w:p>
        </w:tc>
        <w:tc>
          <w:tcPr>
            <w:tcW w:w="900" w:type="dxa"/>
          </w:tcPr>
          <w:p w:rsidR="00672463" w:rsidRPr="00EC2A99" w:rsidRDefault="00672463" w:rsidP="00705DC6">
            <w:pPr>
              <w:pStyle w:val="BCSTablesubheadings"/>
            </w:pPr>
            <w:r>
              <w:t>With under</w:t>
            </w:r>
          </w:p>
        </w:tc>
        <w:tc>
          <w:tcPr>
            <w:tcW w:w="2654" w:type="dxa"/>
          </w:tcPr>
          <w:p w:rsidR="00672463" w:rsidRPr="00EC2A99" w:rsidRDefault="00672463" w:rsidP="00705DC6">
            <w:pPr>
              <w:pStyle w:val="BCSTablesubheadings"/>
            </w:pPr>
            <w:r w:rsidRPr="00EC2A99">
              <w:t>Comments</w:t>
            </w:r>
          </w:p>
        </w:tc>
      </w:tr>
      <w:tr w:rsidR="004136F1" w:rsidRPr="00EC2A99">
        <w:tc>
          <w:tcPr>
            <w:tcW w:w="1809" w:type="dxa"/>
          </w:tcPr>
          <w:p w:rsidR="004136F1" w:rsidRPr="00EC2A99" w:rsidRDefault="00672463" w:rsidP="0001767E">
            <w:pPr>
              <w:pStyle w:val="BCSTabletext"/>
            </w:pPr>
            <w:r>
              <w:t xml:space="preserve">Skills development </w:t>
            </w:r>
            <w:r w:rsidR="0091566D">
              <w:t>(</w:t>
            </w:r>
            <w:r>
              <w:t>continued)</w:t>
            </w:r>
          </w:p>
        </w:tc>
        <w:tc>
          <w:tcPr>
            <w:tcW w:w="1719" w:type="dxa"/>
            <w:shd w:val="clear" w:color="auto" w:fill="CCFFFF"/>
          </w:tcPr>
          <w:p w:rsidR="004136F1" w:rsidRPr="00EC2A99" w:rsidRDefault="004136F1" w:rsidP="0001767E">
            <w:pPr>
              <w:pStyle w:val="BCSTabletext"/>
              <w:rPr>
                <w:lang w:val="en-US"/>
              </w:rPr>
            </w:pPr>
            <w:r w:rsidRPr="00EC2A99">
              <w:rPr>
                <w:lang w:val="en-US"/>
              </w:rPr>
              <w:t>Provide immediate feedback on performance</w:t>
            </w:r>
          </w:p>
        </w:tc>
        <w:tc>
          <w:tcPr>
            <w:tcW w:w="1350"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p>
        </w:tc>
        <w:tc>
          <w:tcPr>
            <w:tcW w:w="810"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p>
        </w:tc>
        <w:tc>
          <w:tcPr>
            <w:tcW w:w="900" w:type="dxa"/>
            <w:shd w:val="clear" w:color="auto" w:fill="CCFFFF"/>
          </w:tcPr>
          <w:p w:rsidR="004136F1" w:rsidRPr="00EC2A99" w:rsidRDefault="004136F1" w:rsidP="0001767E">
            <w:pPr>
              <w:pStyle w:val="BCSTabletext"/>
            </w:pPr>
            <w:r w:rsidRPr="00EC2A99">
              <w:sym w:font="Wingdings" w:char="F0FC"/>
            </w:r>
            <w:r w:rsidRPr="00EC2A99">
              <w:sym w:font="Wingdings" w:char="F0FC"/>
            </w:r>
          </w:p>
        </w:tc>
        <w:tc>
          <w:tcPr>
            <w:tcW w:w="2654" w:type="dxa"/>
            <w:shd w:val="clear" w:color="auto" w:fill="CCFFFF"/>
          </w:tcPr>
          <w:p w:rsidR="004136F1" w:rsidRPr="00EC2A99" w:rsidRDefault="004136F1" w:rsidP="0001767E">
            <w:pPr>
              <w:pStyle w:val="BCSTabletext"/>
              <w:rPr>
                <w:i/>
              </w:rPr>
            </w:pPr>
            <w:r w:rsidRPr="00EC2A99">
              <w:rPr>
                <w:iCs/>
              </w:rPr>
              <w:t xml:space="preserve">This </w:t>
            </w:r>
            <w:r w:rsidR="00F06B05">
              <w:rPr>
                <w:iCs/>
              </w:rPr>
              <w:t>works for all learners</w:t>
            </w:r>
            <w:r w:rsidRPr="00EC2A99">
              <w:rPr>
                <w:iCs/>
              </w:rPr>
              <w:t>. Focus on regular form</w:t>
            </w:r>
            <w:r w:rsidR="00F06B05">
              <w:rPr>
                <w:iCs/>
              </w:rPr>
              <w:t xml:space="preserve">ative assessment and feedback </w:t>
            </w:r>
            <w:r w:rsidR="00291226">
              <w:rPr>
                <w:iCs/>
              </w:rPr>
              <w:t xml:space="preserve">is </w:t>
            </w:r>
            <w:r w:rsidRPr="00EC2A99">
              <w:rPr>
                <w:iCs/>
              </w:rPr>
              <w:t>crucial for improvin</w:t>
            </w:r>
            <w:r w:rsidR="00F06B05">
              <w:rPr>
                <w:iCs/>
              </w:rPr>
              <w:t>g and maintaining high</w:t>
            </w:r>
            <w:r w:rsidRPr="00EC2A99">
              <w:rPr>
                <w:iCs/>
              </w:rPr>
              <w:t xml:space="preserve"> performance</w:t>
            </w:r>
            <w:r w:rsidR="00F06B05">
              <w:rPr>
                <w:iCs/>
              </w:rPr>
              <w:t xml:space="preserve"> levels</w:t>
            </w:r>
            <w:r w:rsidRPr="00EC2A99">
              <w:rPr>
                <w:iCs/>
              </w:rPr>
              <w:t>. Also, it provides</w:t>
            </w:r>
            <w:r w:rsidR="00291226">
              <w:rPr>
                <w:iCs/>
              </w:rPr>
              <w:t xml:space="preserve"> an</w:t>
            </w:r>
            <w:r w:rsidRPr="00EC2A99">
              <w:rPr>
                <w:iCs/>
              </w:rPr>
              <w:t xml:space="preserve"> opportunity to meet specified objectives </w:t>
            </w:r>
            <w:r w:rsidR="00291226">
              <w:rPr>
                <w:iCs/>
              </w:rPr>
              <w:t>in appropriate amount of time. An example: MyMaths used with on</w:t>
            </w:r>
            <w:r w:rsidRPr="00EC2A99">
              <w:rPr>
                <w:iCs/>
              </w:rPr>
              <w:t>line homework a</w:t>
            </w:r>
            <w:r w:rsidR="00291226">
              <w:rPr>
                <w:iCs/>
              </w:rPr>
              <w:t xml:space="preserve">ssessments and </w:t>
            </w:r>
            <w:r w:rsidRPr="00EC2A99">
              <w:rPr>
                <w:iCs/>
              </w:rPr>
              <w:t xml:space="preserve">immediate feedback </w:t>
            </w:r>
            <w:r w:rsidR="00291226">
              <w:rPr>
                <w:iCs/>
              </w:rPr>
              <w:t xml:space="preserve">to students </w:t>
            </w:r>
            <w:r w:rsidRPr="00EC2A99">
              <w:rPr>
                <w:iCs/>
              </w:rPr>
              <w:t>on their performance via a traffic light scheme.</w:t>
            </w:r>
          </w:p>
        </w:tc>
      </w:tr>
    </w:tbl>
    <w:p w:rsidR="00F1743E" w:rsidRDefault="00F1743E"/>
    <w:p w:rsidR="00F1743E" w:rsidRDefault="00F1743E" w:rsidP="00291226">
      <w:pPr>
        <w:pStyle w:val="BCSTableheadings"/>
      </w:pPr>
      <w:r>
        <w:br w:type="page"/>
      </w:r>
      <w:r w:rsidR="006D1C6B">
        <w:t>Table 1 (continued)</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668"/>
        <w:gridCol w:w="2268"/>
        <w:gridCol w:w="1275"/>
        <w:gridCol w:w="851"/>
        <w:gridCol w:w="992"/>
        <w:gridCol w:w="2144"/>
      </w:tblGrid>
      <w:tr w:rsidR="00F1743E" w:rsidRPr="00EC2A99">
        <w:tc>
          <w:tcPr>
            <w:tcW w:w="1668" w:type="dxa"/>
          </w:tcPr>
          <w:p w:rsidR="00F1743E" w:rsidRPr="0050660B" w:rsidRDefault="00F1743E" w:rsidP="00FE5A1D">
            <w:pPr>
              <w:spacing w:before="120" w:after="120"/>
              <w:jc w:val="center"/>
              <w:rPr>
                <w:b/>
                <w:sz w:val="18"/>
              </w:rPr>
            </w:pPr>
          </w:p>
        </w:tc>
        <w:tc>
          <w:tcPr>
            <w:tcW w:w="2268" w:type="dxa"/>
          </w:tcPr>
          <w:p w:rsidR="00F1743E" w:rsidRPr="00EC2A99" w:rsidRDefault="00F1743E" w:rsidP="00FE5A1D">
            <w:pPr>
              <w:pStyle w:val="BCSTablesubheadings"/>
            </w:pPr>
            <w:r w:rsidRPr="00EC2A99">
              <w:t>Strategy</w:t>
            </w:r>
          </w:p>
        </w:tc>
        <w:tc>
          <w:tcPr>
            <w:tcW w:w="1275" w:type="dxa"/>
          </w:tcPr>
          <w:p w:rsidR="00F1743E" w:rsidRPr="00EC2A99" w:rsidRDefault="00F1743E" w:rsidP="00FE5A1D">
            <w:pPr>
              <w:pStyle w:val="BCSTablesubheadings"/>
            </w:pPr>
            <w:r w:rsidRPr="00EC2A99">
              <w:t>Standard practice</w:t>
            </w:r>
          </w:p>
        </w:tc>
        <w:tc>
          <w:tcPr>
            <w:tcW w:w="851" w:type="dxa"/>
          </w:tcPr>
          <w:p w:rsidR="00F1743E" w:rsidRPr="00EC2A99" w:rsidRDefault="002437F3" w:rsidP="00FE5A1D">
            <w:pPr>
              <w:pStyle w:val="BCSTablesubheadings"/>
            </w:pPr>
            <w:r>
              <w:t>With l</w:t>
            </w:r>
            <w:r w:rsidR="00F1743E">
              <w:t>ow</w:t>
            </w:r>
          </w:p>
        </w:tc>
        <w:tc>
          <w:tcPr>
            <w:tcW w:w="992" w:type="dxa"/>
          </w:tcPr>
          <w:p w:rsidR="00F1743E" w:rsidRPr="00EC2A99" w:rsidRDefault="002437F3" w:rsidP="00FE5A1D">
            <w:pPr>
              <w:pStyle w:val="BCSTablesubheadings"/>
            </w:pPr>
            <w:r>
              <w:t>With u</w:t>
            </w:r>
            <w:r w:rsidR="00F1743E">
              <w:t>nder</w:t>
            </w:r>
          </w:p>
        </w:tc>
        <w:tc>
          <w:tcPr>
            <w:tcW w:w="2144" w:type="dxa"/>
          </w:tcPr>
          <w:p w:rsidR="00F1743E" w:rsidRPr="00EC2A99" w:rsidRDefault="00F1743E" w:rsidP="00FE5A1D">
            <w:pPr>
              <w:pStyle w:val="BCSTablesubheadings"/>
            </w:pPr>
            <w:r w:rsidRPr="00EC2A99">
              <w:t>Comments</w:t>
            </w:r>
          </w:p>
        </w:tc>
      </w:tr>
      <w:tr w:rsidR="004136F1" w:rsidRPr="00EC2A99">
        <w:tc>
          <w:tcPr>
            <w:tcW w:w="1668" w:type="dxa"/>
            <w:vMerge w:val="restart"/>
          </w:tcPr>
          <w:p w:rsidR="004136F1" w:rsidRPr="00EC2A99" w:rsidRDefault="004136F1" w:rsidP="0001767E">
            <w:pPr>
              <w:pStyle w:val="BCSTabletext"/>
            </w:pPr>
            <w:r w:rsidRPr="00EC2A99">
              <w:t>Engagement</w:t>
            </w:r>
          </w:p>
        </w:tc>
        <w:tc>
          <w:tcPr>
            <w:tcW w:w="2268" w:type="dxa"/>
          </w:tcPr>
          <w:p w:rsidR="004136F1" w:rsidRPr="00EC2A99" w:rsidRDefault="004136F1" w:rsidP="0001767E">
            <w:pPr>
              <w:pStyle w:val="BCSTabletext"/>
            </w:pPr>
            <w:r w:rsidRPr="00EC2A99">
              <w:t>Maintain attention by task rotation/ switching</w:t>
            </w:r>
          </w:p>
        </w:tc>
        <w:tc>
          <w:tcPr>
            <w:tcW w:w="1275" w:type="dxa"/>
          </w:tcPr>
          <w:p w:rsidR="004136F1" w:rsidRPr="00EC2A99" w:rsidRDefault="004136F1" w:rsidP="0001767E">
            <w:pPr>
              <w:pStyle w:val="BCSTabletext"/>
            </w:pPr>
          </w:p>
        </w:tc>
        <w:tc>
          <w:tcPr>
            <w:tcW w:w="851" w:type="dxa"/>
          </w:tcPr>
          <w:p w:rsidR="004136F1" w:rsidRPr="00EC2A99" w:rsidRDefault="004136F1" w:rsidP="0001767E">
            <w:pPr>
              <w:pStyle w:val="BCSTabletext"/>
            </w:pPr>
            <w:r w:rsidRPr="00EC2A99">
              <w:sym w:font="Wingdings" w:char="F0FC"/>
            </w:r>
            <w:r w:rsidRPr="00EC2A99">
              <w:sym w:font="Wingdings" w:char="F0FC"/>
            </w:r>
            <w:r w:rsidRPr="00EC2A99">
              <w:sym w:font="Wingdings" w:char="F0FC"/>
            </w:r>
          </w:p>
        </w:tc>
        <w:tc>
          <w:tcPr>
            <w:tcW w:w="992" w:type="dxa"/>
          </w:tcPr>
          <w:p w:rsidR="004136F1" w:rsidRPr="00EC2A99" w:rsidRDefault="004136F1" w:rsidP="0001767E">
            <w:pPr>
              <w:pStyle w:val="BCSTabletext"/>
            </w:pPr>
            <w:r w:rsidRPr="00EC2A99">
              <w:sym w:font="Wingdings" w:char="F0FC"/>
            </w:r>
            <w:r w:rsidRPr="00EC2A99">
              <w:sym w:font="Wingdings" w:char="F0FC"/>
            </w:r>
            <w:r w:rsidRPr="00EC2A99">
              <w:sym w:font="Wingdings" w:char="F0FC"/>
            </w:r>
          </w:p>
        </w:tc>
        <w:tc>
          <w:tcPr>
            <w:tcW w:w="2144" w:type="dxa"/>
          </w:tcPr>
          <w:p w:rsidR="004136F1" w:rsidRPr="00EC2A99" w:rsidRDefault="004136F1" w:rsidP="0001767E">
            <w:pPr>
              <w:pStyle w:val="BCSTabletext"/>
            </w:pPr>
            <w:r w:rsidRPr="00EC2A99">
              <w:rPr>
                <w:szCs w:val="20"/>
              </w:rPr>
              <w:t>To keep engagement and attention, focus on short activities throughout lessons</w:t>
            </w:r>
            <w:r w:rsidR="007F2C7D">
              <w:rPr>
                <w:szCs w:val="20"/>
              </w:rPr>
              <w:t>.</w:t>
            </w:r>
          </w:p>
        </w:tc>
      </w:tr>
      <w:tr w:rsidR="004136F1" w:rsidRPr="00EC2A99">
        <w:tc>
          <w:tcPr>
            <w:tcW w:w="1668" w:type="dxa"/>
            <w:vMerge/>
          </w:tcPr>
          <w:p w:rsidR="004136F1" w:rsidRPr="00EC2A99" w:rsidRDefault="004136F1" w:rsidP="0001767E">
            <w:pPr>
              <w:pStyle w:val="BCSTabletext"/>
            </w:pPr>
          </w:p>
        </w:tc>
        <w:tc>
          <w:tcPr>
            <w:tcW w:w="2268" w:type="dxa"/>
            <w:shd w:val="clear" w:color="auto" w:fill="CCFFFF"/>
          </w:tcPr>
          <w:p w:rsidR="004136F1" w:rsidRPr="00EC2A99" w:rsidRDefault="002437F3" w:rsidP="0001767E">
            <w:pPr>
              <w:pStyle w:val="BCSTabletext"/>
            </w:pPr>
            <w:r>
              <w:t>Computer-</w:t>
            </w:r>
            <w:r w:rsidR="004136F1" w:rsidRPr="00EC2A99">
              <w:t>based interactive quick fire games</w:t>
            </w:r>
          </w:p>
        </w:tc>
        <w:tc>
          <w:tcPr>
            <w:tcW w:w="1275" w:type="dxa"/>
            <w:shd w:val="clear" w:color="auto" w:fill="CCFFFF"/>
          </w:tcPr>
          <w:p w:rsidR="004136F1" w:rsidRPr="00EC2A99" w:rsidRDefault="004136F1" w:rsidP="0001767E">
            <w:pPr>
              <w:pStyle w:val="BCSTabletext"/>
            </w:pPr>
          </w:p>
        </w:tc>
        <w:tc>
          <w:tcPr>
            <w:tcW w:w="851" w:type="dxa"/>
            <w:shd w:val="clear" w:color="auto" w:fill="CCFFFF"/>
          </w:tcPr>
          <w:p w:rsidR="004136F1" w:rsidRPr="00EC2A99" w:rsidRDefault="004136F1" w:rsidP="0001767E">
            <w:pPr>
              <w:pStyle w:val="BCSTabletext"/>
            </w:pPr>
            <w:r w:rsidRPr="00EC2A99">
              <w:sym w:font="Wingdings" w:char="F0FC"/>
            </w:r>
          </w:p>
        </w:tc>
        <w:tc>
          <w:tcPr>
            <w:tcW w:w="992" w:type="dxa"/>
            <w:shd w:val="clear" w:color="auto" w:fill="CCFFFF"/>
          </w:tcPr>
          <w:p w:rsidR="004136F1" w:rsidRPr="00EC2A99" w:rsidRDefault="004136F1" w:rsidP="0001767E">
            <w:pPr>
              <w:pStyle w:val="BCSTabletext"/>
            </w:pPr>
            <w:r w:rsidRPr="00EC2A99">
              <w:sym w:font="Wingdings" w:char="F0FC"/>
            </w:r>
            <w:r w:rsidRPr="00EC2A99">
              <w:sym w:font="Wingdings" w:char="F0FC"/>
            </w:r>
            <w:r w:rsidRPr="00EC2A99">
              <w:sym w:font="Wingdings" w:char="F0FC"/>
            </w:r>
          </w:p>
        </w:tc>
        <w:tc>
          <w:tcPr>
            <w:tcW w:w="2144" w:type="dxa"/>
            <w:shd w:val="clear" w:color="auto" w:fill="CCFFFF"/>
          </w:tcPr>
          <w:p w:rsidR="004136F1" w:rsidRPr="00EC2A99" w:rsidRDefault="004136F1" w:rsidP="0001767E">
            <w:pPr>
              <w:pStyle w:val="BCSTabletext"/>
            </w:pPr>
            <w:r w:rsidRPr="00EC2A99">
              <w:t xml:space="preserve">Shown to work well with Diploma students to allow focus and interest in activities.  However, there is a recognition that not all students will be able to compete.  </w:t>
            </w:r>
          </w:p>
        </w:tc>
      </w:tr>
      <w:tr w:rsidR="004136F1" w:rsidRPr="00EC2A99">
        <w:tc>
          <w:tcPr>
            <w:tcW w:w="1668" w:type="dxa"/>
            <w:vMerge/>
          </w:tcPr>
          <w:p w:rsidR="004136F1" w:rsidRPr="00EC2A99" w:rsidRDefault="004136F1" w:rsidP="0001767E">
            <w:pPr>
              <w:pStyle w:val="BCSTabletext"/>
            </w:pPr>
          </w:p>
        </w:tc>
        <w:tc>
          <w:tcPr>
            <w:tcW w:w="2268" w:type="dxa"/>
            <w:shd w:val="clear" w:color="auto" w:fill="CCFFFF"/>
          </w:tcPr>
          <w:p w:rsidR="004136F1" w:rsidRPr="00EC2A99" w:rsidRDefault="004136F1" w:rsidP="0001767E">
            <w:pPr>
              <w:pStyle w:val="BCSTabletext"/>
            </w:pPr>
            <w:r w:rsidRPr="00EC2A99">
              <w:t xml:space="preserve">Use voting system to engage </w:t>
            </w:r>
          </w:p>
        </w:tc>
        <w:tc>
          <w:tcPr>
            <w:tcW w:w="1275" w:type="dxa"/>
            <w:shd w:val="clear" w:color="auto" w:fill="CCFFFF"/>
          </w:tcPr>
          <w:p w:rsidR="004136F1" w:rsidRPr="00EC2A99" w:rsidRDefault="004136F1" w:rsidP="0001767E">
            <w:pPr>
              <w:pStyle w:val="BCSTabletext"/>
              <w:rPr>
                <w:i/>
              </w:rPr>
            </w:pPr>
            <w:r w:rsidRPr="00EC2A99">
              <w:sym w:font="Wingdings" w:char="F0FC"/>
            </w:r>
          </w:p>
        </w:tc>
        <w:tc>
          <w:tcPr>
            <w:tcW w:w="851"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992" w:type="dxa"/>
            <w:shd w:val="clear" w:color="auto" w:fill="CCFFFF"/>
          </w:tcPr>
          <w:p w:rsidR="004136F1" w:rsidRPr="00EC2A99" w:rsidRDefault="004136F1" w:rsidP="0001767E">
            <w:pPr>
              <w:pStyle w:val="BCSTabletext"/>
            </w:pPr>
            <w:r w:rsidRPr="00EC2A99">
              <w:sym w:font="Wingdings" w:char="F0FC"/>
            </w:r>
            <w:r w:rsidRPr="00EC2A99">
              <w:sym w:font="Wingdings" w:char="F0FC"/>
            </w:r>
            <w:r w:rsidRPr="00EC2A99">
              <w:sym w:font="Wingdings" w:char="F0FC"/>
            </w:r>
          </w:p>
        </w:tc>
        <w:tc>
          <w:tcPr>
            <w:tcW w:w="2144" w:type="dxa"/>
            <w:shd w:val="clear" w:color="auto" w:fill="CCFFFF"/>
          </w:tcPr>
          <w:p w:rsidR="004136F1" w:rsidRPr="00EC2A99" w:rsidRDefault="004136F1" w:rsidP="0001767E">
            <w:pPr>
              <w:pStyle w:val="BCSTabletext"/>
            </w:pPr>
            <w:r w:rsidRPr="00EC2A99">
              <w:t>Some schools use this as a standard strategy</w:t>
            </w:r>
            <w:r w:rsidR="002437F3">
              <w:t>,</w:t>
            </w:r>
            <w:r w:rsidRPr="00EC2A99">
              <w:t xml:space="preserve"> but </w:t>
            </w:r>
            <w:r w:rsidR="002437F3">
              <w:t xml:space="preserve">it </w:t>
            </w:r>
            <w:r w:rsidRPr="00EC2A99">
              <w:t>is more prev</w:t>
            </w:r>
            <w:r w:rsidR="002437F3">
              <w:t>alent in classrooms where learners</w:t>
            </w:r>
            <w:r w:rsidRPr="00EC2A99">
              <w:t xml:space="preserve"> are disengaged or have a low attention span.</w:t>
            </w:r>
          </w:p>
        </w:tc>
      </w:tr>
      <w:tr w:rsidR="004136F1" w:rsidRPr="00EC2A99">
        <w:tc>
          <w:tcPr>
            <w:tcW w:w="1668" w:type="dxa"/>
            <w:vMerge/>
          </w:tcPr>
          <w:p w:rsidR="004136F1" w:rsidRPr="00EC2A99" w:rsidRDefault="004136F1" w:rsidP="0001767E">
            <w:pPr>
              <w:pStyle w:val="BCSTabletext"/>
            </w:pPr>
          </w:p>
        </w:tc>
        <w:tc>
          <w:tcPr>
            <w:tcW w:w="2268" w:type="dxa"/>
          </w:tcPr>
          <w:p w:rsidR="004136F1" w:rsidRPr="00EC2A99" w:rsidRDefault="004136F1" w:rsidP="0001767E">
            <w:pPr>
              <w:pStyle w:val="BCSTabletext"/>
              <w:rPr>
                <w:lang w:val="en-US"/>
              </w:rPr>
            </w:pPr>
            <w:r w:rsidRPr="00EC2A99">
              <w:rPr>
                <w:lang w:val="en-US"/>
              </w:rPr>
              <w:t>Develop links to extra-curricular activities</w:t>
            </w:r>
          </w:p>
        </w:tc>
        <w:tc>
          <w:tcPr>
            <w:tcW w:w="1275" w:type="dxa"/>
          </w:tcPr>
          <w:p w:rsidR="004136F1" w:rsidRPr="00EC2A99" w:rsidRDefault="004136F1" w:rsidP="0001767E">
            <w:pPr>
              <w:pStyle w:val="BCSTabletext"/>
              <w:rPr>
                <w:i/>
              </w:rPr>
            </w:pPr>
          </w:p>
        </w:tc>
        <w:tc>
          <w:tcPr>
            <w:tcW w:w="851" w:type="dxa"/>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992" w:type="dxa"/>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2144" w:type="dxa"/>
          </w:tcPr>
          <w:p w:rsidR="004136F1" w:rsidRPr="00EC2A99" w:rsidRDefault="004136F1" w:rsidP="0001767E">
            <w:pPr>
              <w:pStyle w:val="BCSTabletext"/>
              <w:rPr>
                <w:i/>
              </w:rPr>
            </w:pPr>
            <w:r w:rsidRPr="00EC2A99">
              <w:rPr>
                <w:iCs/>
              </w:rPr>
              <w:t>Imp</w:t>
            </w:r>
            <w:r w:rsidR="002437F3">
              <w:rPr>
                <w:iCs/>
              </w:rPr>
              <w:t>ortant to capitalise on learner</w:t>
            </w:r>
            <w:r w:rsidRPr="00EC2A99">
              <w:rPr>
                <w:iCs/>
              </w:rPr>
              <w:t xml:space="preserve"> strengths and </w:t>
            </w:r>
            <w:r w:rsidR="00FF027A">
              <w:rPr>
                <w:iCs/>
              </w:rPr>
              <w:t xml:space="preserve">interests. </w:t>
            </w:r>
            <w:r w:rsidR="002437F3">
              <w:rPr>
                <w:iCs/>
              </w:rPr>
              <w:t xml:space="preserve"> C</w:t>
            </w:r>
            <w:r w:rsidRPr="00EC2A99">
              <w:rPr>
                <w:iCs/>
              </w:rPr>
              <w:t>ap</w:t>
            </w:r>
            <w:r w:rsidR="002437F3">
              <w:rPr>
                <w:iCs/>
              </w:rPr>
              <w:t xml:space="preserve">italising on own strengths </w:t>
            </w:r>
            <w:r w:rsidRPr="00EC2A99">
              <w:rPr>
                <w:iCs/>
              </w:rPr>
              <w:t>leads to attitude change in classroom</w:t>
            </w:r>
            <w:r w:rsidR="002437F3">
              <w:rPr>
                <w:iCs/>
              </w:rPr>
              <w:t>.</w:t>
            </w:r>
          </w:p>
        </w:tc>
      </w:tr>
    </w:tbl>
    <w:p w:rsidR="00BB711A" w:rsidRDefault="00BB711A"/>
    <w:p w:rsidR="003C1D27" w:rsidRDefault="003C1D27"/>
    <w:p w:rsidR="00AE6EF5" w:rsidRDefault="00AE6EF5" w:rsidP="002437F3">
      <w:pPr>
        <w:pStyle w:val="BCSTableheadings"/>
      </w:pPr>
    </w:p>
    <w:p w:rsidR="006D1C6B" w:rsidRDefault="006D1C6B" w:rsidP="002437F3">
      <w:pPr>
        <w:pStyle w:val="BCSTableheadings"/>
      </w:pPr>
      <w:r>
        <w:t>Table 1 (continued)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671"/>
        <w:gridCol w:w="1698"/>
        <w:gridCol w:w="1275"/>
        <w:gridCol w:w="834"/>
        <w:gridCol w:w="17"/>
        <w:gridCol w:w="992"/>
        <w:gridCol w:w="2693"/>
      </w:tblGrid>
      <w:tr w:rsidR="003C1D27" w:rsidRPr="00EC2A99">
        <w:tc>
          <w:tcPr>
            <w:tcW w:w="1671" w:type="dxa"/>
          </w:tcPr>
          <w:p w:rsidR="003C1D27" w:rsidRPr="0050660B" w:rsidRDefault="003C1D27" w:rsidP="00FE5A1D">
            <w:pPr>
              <w:spacing w:before="120" w:after="120"/>
              <w:jc w:val="center"/>
              <w:rPr>
                <w:b/>
                <w:sz w:val="18"/>
              </w:rPr>
            </w:pPr>
          </w:p>
        </w:tc>
        <w:tc>
          <w:tcPr>
            <w:tcW w:w="1698" w:type="dxa"/>
          </w:tcPr>
          <w:p w:rsidR="003C1D27" w:rsidRPr="00EC2A99" w:rsidRDefault="003C1D27" w:rsidP="00FE5A1D">
            <w:pPr>
              <w:pStyle w:val="BCSTablesubheadings"/>
            </w:pPr>
            <w:r w:rsidRPr="00EC2A99">
              <w:t>Strategy</w:t>
            </w:r>
          </w:p>
        </w:tc>
        <w:tc>
          <w:tcPr>
            <w:tcW w:w="1275" w:type="dxa"/>
          </w:tcPr>
          <w:p w:rsidR="003C1D27" w:rsidRPr="00EC2A99" w:rsidRDefault="003C1D27" w:rsidP="00FE5A1D">
            <w:pPr>
              <w:pStyle w:val="BCSTablesubheadings"/>
            </w:pPr>
            <w:r w:rsidRPr="00EC2A99">
              <w:t>Standard practice</w:t>
            </w:r>
          </w:p>
        </w:tc>
        <w:tc>
          <w:tcPr>
            <w:tcW w:w="851" w:type="dxa"/>
            <w:gridSpan w:val="2"/>
          </w:tcPr>
          <w:p w:rsidR="003C1D27" w:rsidRPr="00EC2A99" w:rsidRDefault="002437F3" w:rsidP="00FE5A1D">
            <w:pPr>
              <w:pStyle w:val="BCSTablesubheadings"/>
            </w:pPr>
            <w:r>
              <w:t>With l</w:t>
            </w:r>
            <w:r w:rsidR="003C1D27">
              <w:t>ow</w:t>
            </w:r>
          </w:p>
        </w:tc>
        <w:tc>
          <w:tcPr>
            <w:tcW w:w="992" w:type="dxa"/>
          </w:tcPr>
          <w:p w:rsidR="003C1D27" w:rsidRPr="00EC2A99" w:rsidRDefault="002437F3" w:rsidP="00FE5A1D">
            <w:pPr>
              <w:pStyle w:val="BCSTablesubheadings"/>
            </w:pPr>
            <w:r>
              <w:t>With u</w:t>
            </w:r>
            <w:r w:rsidR="003C1D27">
              <w:t>nder</w:t>
            </w:r>
          </w:p>
        </w:tc>
        <w:tc>
          <w:tcPr>
            <w:tcW w:w="2693" w:type="dxa"/>
          </w:tcPr>
          <w:p w:rsidR="003C1D27" w:rsidRPr="00EC2A99" w:rsidRDefault="003C1D27" w:rsidP="00FE5A1D">
            <w:pPr>
              <w:pStyle w:val="BCSTablesubheadings"/>
            </w:pPr>
            <w:r w:rsidRPr="00EC2A99">
              <w:t>Comments</w:t>
            </w:r>
          </w:p>
        </w:tc>
      </w:tr>
      <w:tr w:rsidR="004136F1" w:rsidRPr="00EC2A99">
        <w:tc>
          <w:tcPr>
            <w:tcW w:w="1671" w:type="dxa"/>
            <w:vMerge w:val="restart"/>
          </w:tcPr>
          <w:p w:rsidR="004136F1" w:rsidRPr="00EC2A99" w:rsidRDefault="004136F1" w:rsidP="0001767E">
            <w:pPr>
              <w:pStyle w:val="BCSTabletext"/>
            </w:pPr>
            <w:r w:rsidRPr="00EC2A99">
              <w:t>Authentic</w:t>
            </w:r>
          </w:p>
          <w:p w:rsidR="004136F1" w:rsidRPr="00EC2A99" w:rsidRDefault="004136F1" w:rsidP="0001767E">
            <w:pPr>
              <w:pStyle w:val="BCSTabletext"/>
            </w:pPr>
            <w:r w:rsidRPr="00EC2A99">
              <w:t>working</w:t>
            </w:r>
          </w:p>
          <w:p w:rsidR="004136F1" w:rsidRPr="00EC2A99" w:rsidRDefault="004136F1" w:rsidP="0001767E">
            <w:pPr>
              <w:pStyle w:val="BCSTabletext"/>
            </w:pPr>
          </w:p>
          <w:p w:rsidR="004136F1" w:rsidRPr="00EC2A99" w:rsidRDefault="004136F1" w:rsidP="0001767E">
            <w:pPr>
              <w:pStyle w:val="BCSTabletext"/>
            </w:pPr>
          </w:p>
        </w:tc>
        <w:tc>
          <w:tcPr>
            <w:tcW w:w="1698" w:type="dxa"/>
          </w:tcPr>
          <w:p w:rsidR="004136F1" w:rsidRPr="00EC2A99" w:rsidRDefault="004136F1" w:rsidP="0001767E">
            <w:pPr>
              <w:pStyle w:val="BCSTabletext"/>
            </w:pPr>
            <w:r w:rsidRPr="00EC2A99">
              <w:t>Ma</w:t>
            </w:r>
            <w:r w:rsidR="002437F3">
              <w:t>ke the content relevant to learner</w:t>
            </w:r>
            <w:r w:rsidRPr="00EC2A99">
              <w:t>s’ own experiences</w:t>
            </w:r>
          </w:p>
        </w:tc>
        <w:tc>
          <w:tcPr>
            <w:tcW w:w="1275" w:type="dxa"/>
          </w:tcPr>
          <w:p w:rsidR="004136F1" w:rsidRPr="00EC2A99" w:rsidRDefault="004136F1" w:rsidP="0001767E">
            <w:pPr>
              <w:pStyle w:val="BCSTabletext"/>
            </w:pPr>
            <w:r w:rsidRPr="00EC2A99">
              <w:sym w:font="Wingdings" w:char="F0FC"/>
            </w:r>
          </w:p>
        </w:tc>
        <w:tc>
          <w:tcPr>
            <w:tcW w:w="834" w:type="dxa"/>
          </w:tcPr>
          <w:p w:rsidR="004136F1" w:rsidRPr="00EC2A99" w:rsidRDefault="004136F1" w:rsidP="0001767E">
            <w:pPr>
              <w:pStyle w:val="BCSTabletext"/>
            </w:pPr>
          </w:p>
        </w:tc>
        <w:tc>
          <w:tcPr>
            <w:tcW w:w="1009" w:type="dxa"/>
            <w:gridSpan w:val="2"/>
          </w:tcPr>
          <w:p w:rsidR="004136F1" w:rsidRPr="00EC2A99" w:rsidRDefault="004136F1" w:rsidP="0001767E">
            <w:pPr>
              <w:pStyle w:val="BCSTabletext"/>
            </w:pPr>
            <w:r w:rsidRPr="00EC2A99">
              <w:sym w:font="Wingdings" w:char="F0FC"/>
            </w:r>
            <w:r w:rsidRPr="00EC2A99">
              <w:sym w:font="Wingdings" w:char="F0FC"/>
            </w:r>
            <w:r w:rsidRPr="00EC2A99">
              <w:sym w:font="Wingdings" w:char="F0FC"/>
            </w:r>
          </w:p>
        </w:tc>
        <w:tc>
          <w:tcPr>
            <w:tcW w:w="2693" w:type="dxa"/>
          </w:tcPr>
          <w:p w:rsidR="004136F1" w:rsidRPr="00EC2A99" w:rsidRDefault="004136F1" w:rsidP="0001767E">
            <w:pPr>
              <w:pStyle w:val="BCSTabletext"/>
            </w:pPr>
            <w:r w:rsidRPr="00EC2A99">
              <w:rPr>
                <w:szCs w:val="20"/>
              </w:rPr>
              <w:t>Relevance to own experience captures u</w:t>
            </w:r>
            <w:r w:rsidR="002437F3">
              <w:rPr>
                <w:szCs w:val="20"/>
              </w:rPr>
              <w:t xml:space="preserve">nderstanding and engagement; useful for all students </w:t>
            </w:r>
            <w:r w:rsidRPr="00EC2A99">
              <w:rPr>
                <w:szCs w:val="20"/>
              </w:rPr>
              <w:t>but essential for the distracted and disaffected. This is the underpinning pr</w:t>
            </w:r>
            <w:r w:rsidR="002437F3">
              <w:rPr>
                <w:szCs w:val="20"/>
              </w:rPr>
              <w:t>inciple of n</w:t>
            </w:r>
            <w:r w:rsidRPr="00EC2A99">
              <w:rPr>
                <w:szCs w:val="20"/>
              </w:rPr>
              <w:t>urture rooms.</w:t>
            </w:r>
          </w:p>
        </w:tc>
      </w:tr>
      <w:tr w:rsidR="004136F1" w:rsidRPr="00EC2A99">
        <w:tc>
          <w:tcPr>
            <w:tcW w:w="1671" w:type="dxa"/>
            <w:vMerge/>
          </w:tcPr>
          <w:p w:rsidR="004136F1" w:rsidRPr="00EC2A99" w:rsidRDefault="004136F1" w:rsidP="0001767E">
            <w:pPr>
              <w:pStyle w:val="BCSTabletext"/>
            </w:pPr>
          </w:p>
        </w:tc>
        <w:tc>
          <w:tcPr>
            <w:tcW w:w="1698" w:type="dxa"/>
          </w:tcPr>
          <w:p w:rsidR="004136F1" w:rsidRPr="00EC2A99" w:rsidRDefault="002437F3" w:rsidP="0001767E">
            <w:pPr>
              <w:pStyle w:val="BCSTabletext"/>
              <w:rPr>
                <w:lang w:val="en-US"/>
              </w:rPr>
            </w:pPr>
            <w:r>
              <w:rPr>
                <w:lang w:val="en-US"/>
              </w:rPr>
              <w:t>Offer c</w:t>
            </w:r>
            <w:r w:rsidR="004136F1" w:rsidRPr="00EC2A99">
              <w:rPr>
                <w:lang w:val="en-US"/>
              </w:rPr>
              <w:t>ollege schemes/</w:t>
            </w:r>
            <w:r>
              <w:rPr>
                <w:lang w:val="en-US"/>
              </w:rPr>
              <w:t xml:space="preserve"> courses a couple of days per </w:t>
            </w:r>
            <w:r w:rsidR="004136F1" w:rsidRPr="00EC2A99">
              <w:rPr>
                <w:lang w:val="en-US"/>
              </w:rPr>
              <w:t>week</w:t>
            </w:r>
          </w:p>
        </w:tc>
        <w:tc>
          <w:tcPr>
            <w:tcW w:w="1275" w:type="dxa"/>
          </w:tcPr>
          <w:p w:rsidR="004136F1" w:rsidRPr="00EC2A99" w:rsidRDefault="004136F1" w:rsidP="0001767E">
            <w:pPr>
              <w:pStyle w:val="BCSTabletext"/>
              <w:rPr>
                <w:i/>
              </w:rPr>
            </w:pPr>
          </w:p>
        </w:tc>
        <w:tc>
          <w:tcPr>
            <w:tcW w:w="834" w:type="dxa"/>
          </w:tcPr>
          <w:p w:rsidR="004136F1" w:rsidRPr="00EC2A99" w:rsidRDefault="004136F1" w:rsidP="0001767E">
            <w:pPr>
              <w:pStyle w:val="BCSTabletext"/>
              <w:rPr>
                <w:iCs/>
              </w:rPr>
            </w:pPr>
            <w:r w:rsidRPr="00EC2A99">
              <w:sym w:font="Wingdings" w:char="F0FC"/>
            </w:r>
          </w:p>
        </w:tc>
        <w:tc>
          <w:tcPr>
            <w:tcW w:w="1009" w:type="dxa"/>
            <w:gridSpan w:val="2"/>
          </w:tcPr>
          <w:p w:rsidR="004136F1" w:rsidRPr="00EC2A99" w:rsidRDefault="004136F1" w:rsidP="0001767E">
            <w:pPr>
              <w:pStyle w:val="BCSTabletext"/>
              <w:rPr>
                <w:i/>
              </w:rPr>
            </w:pPr>
            <w:r w:rsidRPr="00EC2A99">
              <w:sym w:font="Wingdings" w:char="F0FC"/>
            </w:r>
            <w:r w:rsidRPr="00EC2A99">
              <w:sym w:font="Wingdings" w:char="F0FC"/>
            </w:r>
          </w:p>
        </w:tc>
        <w:tc>
          <w:tcPr>
            <w:tcW w:w="2693" w:type="dxa"/>
          </w:tcPr>
          <w:p w:rsidR="004136F1" w:rsidRPr="00EC2A99" w:rsidRDefault="002437F3" w:rsidP="0001767E">
            <w:pPr>
              <w:pStyle w:val="BCSTabletext"/>
            </w:pPr>
            <w:r>
              <w:t>Work-r</w:t>
            </w:r>
            <w:r w:rsidR="004136F1" w:rsidRPr="00EC2A99">
              <w:t>elated learning is key to many disaffected learners.</w:t>
            </w:r>
          </w:p>
        </w:tc>
      </w:tr>
    </w:tbl>
    <w:p w:rsidR="00BB711A" w:rsidRDefault="00BB711A"/>
    <w:p w:rsidR="003C1D27" w:rsidRDefault="003C1D27"/>
    <w:p w:rsidR="009F3830" w:rsidRDefault="009F3830" w:rsidP="00D248A3">
      <w:pPr>
        <w:pStyle w:val="BCSTableheadings"/>
      </w:pPr>
    </w:p>
    <w:p w:rsidR="009F3830" w:rsidRDefault="009F3830" w:rsidP="00D248A3">
      <w:pPr>
        <w:pStyle w:val="BCSTableheadings"/>
      </w:pPr>
    </w:p>
    <w:p w:rsidR="009F3830" w:rsidRDefault="009F3830" w:rsidP="00D248A3">
      <w:pPr>
        <w:pStyle w:val="BCSTableheadings"/>
      </w:pPr>
    </w:p>
    <w:p w:rsidR="009F3830" w:rsidRDefault="009F3830" w:rsidP="00D248A3">
      <w:pPr>
        <w:pStyle w:val="BCSTableheadings"/>
      </w:pPr>
    </w:p>
    <w:p w:rsidR="009F3830" w:rsidRDefault="009F3830" w:rsidP="00D248A3">
      <w:pPr>
        <w:pStyle w:val="BCSTableheadings"/>
      </w:pPr>
    </w:p>
    <w:p w:rsidR="009F3830" w:rsidRDefault="009F3830" w:rsidP="00D248A3">
      <w:pPr>
        <w:pStyle w:val="BCSTableheadings"/>
      </w:pPr>
    </w:p>
    <w:p w:rsidR="009F3830" w:rsidRDefault="009F3830" w:rsidP="00D248A3">
      <w:pPr>
        <w:pStyle w:val="BCSTableheadings"/>
      </w:pPr>
    </w:p>
    <w:p w:rsidR="009F3830" w:rsidRDefault="009F3830" w:rsidP="00D248A3">
      <w:pPr>
        <w:pStyle w:val="BCSTableheadings"/>
      </w:pPr>
    </w:p>
    <w:p w:rsidR="009F3830" w:rsidRDefault="009F3830" w:rsidP="00D248A3">
      <w:pPr>
        <w:pStyle w:val="BCSTableheadings"/>
      </w:pPr>
    </w:p>
    <w:p w:rsidR="009F3830" w:rsidRDefault="009F3830" w:rsidP="00D248A3">
      <w:pPr>
        <w:pStyle w:val="BCSTableheadings"/>
      </w:pPr>
    </w:p>
    <w:p w:rsidR="009F3830" w:rsidRDefault="009F3830" w:rsidP="00D248A3">
      <w:pPr>
        <w:pStyle w:val="BCSTableheadings"/>
      </w:pPr>
    </w:p>
    <w:p w:rsidR="009F3830" w:rsidRDefault="009F3830" w:rsidP="00D248A3">
      <w:pPr>
        <w:pStyle w:val="BCSTableheadings"/>
      </w:pPr>
    </w:p>
    <w:p w:rsidR="009F3830" w:rsidRDefault="009F3830" w:rsidP="00D248A3">
      <w:pPr>
        <w:pStyle w:val="BCSTableheadings"/>
      </w:pPr>
    </w:p>
    <w:p w:rsidR="009F3830" w:rsidRDefault="009F3830" w:rsidP="00D248A3">
      <w:pPr>
        <w:pStyle w:val="BCSTableheadings"/>
      </w:pPr>
    </w:p>
    <w:p w:rsidR="009F3830" w:rsidRDefault="009F3830" w:rsidP="00D248A3">
      <w:pPr>
        <w:pStyle w:val="BCSTableheadings"/>
      </w:pPr>
    </w:p>
    <w:p w:rsidR="009F3830" w:rsidRDefault="009F3830" w:rsidP="00D248A3">
      <w:pPr>
        <w:pStyle w:val="BCSTableheadings"/>
      </w:pPr>
    </w:p>
    <w:p w:rsidR="003C1D27" w:rsidRDefault="00D248A3" w:rsidP="00D248A3">
      <w:pPr>
        <w:pStyle w:val="BCSTableheadings"/>
      </w:pPr>
      <w:r>
        <w:t>Table 1 (continued)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908"/>
        <w:gridCol w:w="1710"/>
        <w:gridCol w:w="1260"/>
        <w:gridCol w:w="810"/>
        <w:gridCol w:w="900"/>
        <w:gridCol w:w="2592"/>
      </w:tblGrid>
      <w:tr w:rsidR="003C1D27" w:rsidRPr="00EC2A99">
        <w:tc>
          <w:tcPr>
            <w:tcW w:w="1908" w:type="dxa"/>
          </w:tcPr>
          <w:p w:rsidR="003C1D27" w:rsidRPr="0050660B" w:rsidRDefault="003C1D27" w:rsidP="00FE5A1D">
            <w:pPr>
              <w:spacing w:before="120" w:after="120"/>
              <w:jc w:val="center"/>
              <w:rPr>
                <w:b/>
                <w:sz w:val="18"/>
              </w:rPr>
            </w:pPr>
          </w:p>
        </w:tc>
        <w:tc>
          <w:tcPr>
            <w:tcW w:w="1710" w:type="dxa"/>
          </w:tcPr>
          <w:p w:rsidR="003C1D27" w:rsidRPr="00EC2A99" w:rsidRDefault="003C1D27" w:rsidP="00FE5A1D">
            <w:pPr>
              <w:pStyle w:val="BCSTablesubheadings"/>
            </w:pPr>
            <w:r w:rsidRPr="00EC2A99">
              <w:t>Strategy</w:t>
            </w:r>
          </w:p>
        </w:tc>
        <w:tc>
          <w:tcPr>
            <w:tcW w:w="1260" w:type="dxa"/>
          </w:tcPr>
          <w:p w:rsidR="003C1D27" w:rsidRPr="00EC2A99" w:rsidRDefault="003C1D27" w:rsidP="00FE5A1D">
            <w:pPr>
              <w:pStyle w:val="BCSTablesubheadings"/>
            </w:pPr>
            <w:r w:rsidRPr="00EC2A99">
              <w:t>Standard practice</w:t>
            </w:r>
          </w:p>
        </w:tc>
        <w:tc>
          <w:tcPr>
            <w:tcW w:w="810" w:type="dxa"/>
          </w:tcPr>
          <w:p w:rsidR="003C1D27" w:rsidRPr="00EC2A99" w:rsidRDefault="007F2C7D" w:rsidP="00FE5A1D">
            <w:pPr>
              <w:pStyle w:val="BCSTablesubheadings"/>
            </w:pPr>
            <w:r>
              <w:t>With l</w:t>
            </w:r>
            <w:r w:rsidR="003C1D27">
              <w:t>ow</w:t>
            </w:r>
          </w:p>
        </w:tc>
        <w:tc>
          <w:tcPr>
            <w:tcW w:w="900" w:type="dxa"/>
          </w:tcPr>
          <w:p w:rsidR="003C1D27" w:rsidRPr="00EC2A99" w:rsidRDefault="007F2C7D" w:rsidP="00FE5A1D">
            <w:pPr>
              <w:pStyle w:val="BCSTablesubheadings"/>
            </w:pPr>
            <w:r>
              <w:t>With u</w:t>
            </w:r>
            <w:r w:rsidR="003C1D27">
              <w:t>nder</w:t>
            </w:r>
          </w:p>
        </w:tc>
        <w:tc>
          <w:tcPr>
            <w:tcW w:w="2592" w:type="dxa"/>
          </w:tcPr>
          <w:p w:rsidR="003C1D27" w:rsidRPr="00EC2A99" w:rsidRDefault="003C1D27" w:rsidP="00FE5A1D">
            <w:pPr>
              <w:pStyle w:val="BCSTablesubheadings"/>
            </w:pPr>
            <w:r w:rsidRPr="00EC2A99">
              <w:t>Comments</w:t>
            </w:r>
          </w:p>
        </w:tc>
      </w:tr>
      <w:tr w:rsidR="007406F1" w:rsidRPr="00EC2A99">
        <w:tc>
          <w:tcPr>
            <w:tcW w:w="1908" w:type="dxa"/>
            <w:vMerge w:val="restart"/>
          </w:tcPr>
          <w:p w:rsidR="004136F1" w:rsidRPr="00FC0DED" w:rsidRDefault="004136F1" w:rsidP="0001767E">
            <w:pPr>
              <w:pStyle w:val="BCSTabletext"/>
              <w:rPr>
                <w:szCs w:val="24"/>
              </w:rPr>
            </w:pPr>
            <w:r w:rsidRPr="00FC0DED">
              <w:rPr>
                <w:szCs w:val="24"/>
              </w:rPr>
              <w:t>Personalisation</w:t>
            </w:r>
          </w:p>
          <w:p w:rsidR="004136F1" w:rsidRPr="00EC2A99" w:rsidRDefault="004136F1" w:rsidP="0001767E">
            <w:pPr>
              <w:pStyle w:val="BCSTabletext"/>
            </w:pPr>
          </w:p>
        </w:tc>
        <w:tc>
          <w:tcPr>
            <w:tcW w:w="1710" w:type="dxa"/>
          </w:tcPr>
          <w:p w:rsidR="004136F1" w:rsidRPr="00EC2A99" w:rsidRDefault="004136F1" w:rsidP="0001767E">
            <w:pPr>
              <w:pStyle w:val="BCSTabletext"/>
            </w:pPr>
            <w:r w:rsidRPr="00EC2A99">
              <w:t>SENCO</w:t>
            </w:r>
          </w:p>
        </w:tc>
        <w:tc>
          <w:tcPr>
            <w:tcW w:w="1260" w:type="dxa"/>
          </w:tcPr>
          <w:p w:rsidR="004136F1" w:rsidRPr="00EC2A99" w:rsidRDefault="004136F1" w:rsidP="0001767E">
            <w:pPr>
              <w:pStyle w:val="BCSTabletext"/>
              <w:rPr>
                <w:i/>
              </w:rPr>
            </w:pPr>
          </w:p>
        </w:tc>
        <w:tc>
          <w:tcPr>
            <w:tcW w:w="810" w:type="dxa"/>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900" w:type="dxa"/>
          </w:tcPr>
          <w:p w:rsidR="004136F1" w:rsidRPr="00EC2A99" w:rsidRDefault="004136F1" w:rsidP="0001767E">
            <w:pPr>
              <w:pStyle w:val="BCSTabletext"/>
              <w:rPr>
                <w:iCs/>
              </w:rPr>
            </w:pPr>
            <w:r w:rsidRPr="00EC2A99">
              <w:sym w:font="Wingdings" w:char="F0FC"/>
            </w:r>
          </w:p>
        </w:tc>
        <w:tc>
          <w:tcPr>
            <w:tcW w:w="2592" w:type="dxa"/>
          </w:tcPr>
          <w:p w:rsidR="004136F1" w:rsidRPr="00EC2A99" w:rsidRDefault="00DB5BA5" w:rsidP="0001767E">
            <w:pPr>
              <w:pStyle w:val="BCSTabletext"/>
              <w:rPr>
                <w:iCs/>
              </w:rPr>
            </w:pPr>
            <w:r>
              <w:rPr>
                <w:iCs/>
              </w:rPr>
              <w:t>For</w:t>
            </w:r>
            <w:r w:rsidR="004136F1" w:rsidRPr="00EC2A99">
              <w:rPr>
                <w:iCs/>
              </w:rPr>
              <w:t xml:space="preserve"> curriculum support</w:t>
            </w:r>
            <w:r>
              <w:rPr>
                <w:iCs/>
              </w:rPr>
              <w:t xml:space="preserve">, </w:t>
            </w:r>
            <w:r w:rsidR="004136F1" w:rsidRPr="00EC2A99">
              <w:rPr>
                <w:iCs/>
              </w:rPr>
              <w:t>students</w:t>
            </w:r>
            <w:r>
              <w:rPr>
                <w:iCs/>
              </w:rPr>
              <w:t xml:space="preserve"> tend to be taken out of lessons and brought up to main</w:t>
            </w:r>
            <w:r w:rsidR="004136F1" w:rsidRPr="00EC2A99">
              <w:rPr>
                <w:iCs/>
              </w:rPr>
              <w:t xml:space="preserve">stream standard with additional support.  </w:t>
            </w:r>
          </w:p>
          <w:p w:rsidR="004136F1" w:rsidRPr="00EC2A99" w:rsidRDefault="004136F1" w:rsidP="0001767E">
            <w:pPr>
              <w:pStyle w:val="BCSTabletext"/>
              <w:rPr>
                <w:iCs/>
              </w:rPr>
            </w:pPr>
            <w:r w:rsidRPr="00EC2A99">
              <w:rPr>
                <w:iCs/>
              </w:rPr>
              <w:t>Educational support is also regarded as fundamental to re-engagement with curriculum by underachievers.</w:t>
            </w:r>
          </w:p>
        </w:tc>
      </w:tr>
      <w:tr w:rsidR="007406F1" w:rsidRPr="00EC2A99">
        <w:tc>
          <w:tcPr>
            <w:tcW w:w="1908" w:type="dxa"/>
            <w:vMerge/>
          </w:tcPr>
          <w:p w:rsidR="004136F1" w:rsidRPr="00EC2A99" w:rsidRDefault="004136F1" w:rsidP="0001767E">
            <w:pPr>
              <w:pStyle w:val="BCSTabletext"/>
            </w:pPr>
          </w:p>
        </w:tc>
        <w:tc>
          <w:tcPr>
            <w:tcW w:w="1710" w:type="dxa"/>
          </w:tcPr>
          <w:p w:rsidR="004136F1" w:rsidRPr="00EC2A99" w:rsidRDefault="004136F1" w:rsidP="0001767E">
            <w:pPr>
              <w:pStyle w:val="BCSTabletext"/>
            </w:pPr>
            <w:r w:rsidRPr="00EC2A99">
              <w:rPr>
                <w:lang w:val="en-US"/>
              </w:rPr>
              <w:t xml:space="preserve">Alternative curriculum / qualifications, for example, </w:t>
            </w:r>
            <w:r w:rsidRPr="00EC2A99">
              <w:t>BTEC rather than traditional syllabus</w:t>
            </w:r>
          </w:p>
        </w:tc>
        <w:tc>
          <w:tcPr>
            <w:tcW w:w="1260" w:type="dxa"/>
          </w:tcPr>
          <w:p w:rsidR="004136F1" w:rsidRPr="00EC2A99" w:rsidRDefault="004136F1" w:rsidP="0001767E">
            <w:pPr>
              <w:pStyle w:val="BCSTabletext"/>
              <w:rPr>
                <w:i/>
              </w:rPr>
            </w:pPr>
          </w:p>
        </w:tc>
        <w:tc>
          <w:tcPr>
            <w:tcW w:w="810" w:type="dxa"/>
          </w:tcPr>
          <w:p w:rsidR="004136F1" w:rsidRPr="00EC2A99" w:rsidRDefault="004136F1" w:rsidP="0001767E">
            <w:pPr>
              <w:pStyle w:val="BCSTabletext"/>
              <w:rPr>
                <w:i/>
              </w:rPr>
            </w:pPr>
            <w:r w:rsidRPr="00EC2A99">
              <w:sym w:font="Wingdings" w:char="F0FC"/>
            </w:r>
            <w:r w:rsidRPr="00EC2A99">
              <w:sym w:font="Wingdings" w:char="F0FC"/>
            </w:r>
          </w:p>
        </w:tc>
        <w:tc>
          <w:tcPr>
            <w:tcW w:w="900" w:type="dxa"/>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2592" w:type="dxa"/>
          </w:tcPr>
          <w:p w:rsidR="004136F1" w:rsidRPr="00EC2A99" w:rsidRDefault="004136F1" w:rsidP="0001767E">
            <w:pPr>
              <w:pStyle w:val="BCSTabletext"/>
            </w:pPr>
            <w:r w:rsidRPr="00EC2A99">
              <w:rPr>
                <w:iCs/>
              </w:rPr>
              <w:t>Ta</w:t>
            </w:r>
            <w:r w:rsidR="00DB5BA5">
              <w:rPr>
                <w:iCs/>
              </w:rPr>
              <w:t xml:space="preserve">rgeted at low achievers struggling with traditional curriculum and underachievers not </w:t>
            </w:r>
            <w:r w:rsidRPr="00EC2A99">
              <w:rPr>
                <w:iCs/>
              </w:rPr>
              <w:t>intere</w:t>
            </w:r>
            <w:r w:rsidR="00DB5BA5">
              <w:rPr>
                <w:iCs/>
              </w:rPr>
              <w:t>sted in academic learning. R</w:t>
            </w:r>
            <w:r w:rsidRPr="00EC2A99">
              <w:rPr>
                <w:iCs/>
              </w:rPr>
              <w:t>elevance to everyd</w:t>
            </w:r>
            <w:r w:rsidR="00DB5BA5">
              <w:rPr>
                <w:iCs/>
              </w:rPr>
              <w:t>ay practice and topics with</w:t>
            </w:r>
            <w:r w:rsidRPr="00EC2A99">
              <w:rPr>
                <w:iCs/>
              </w:rPr>
              <w:t xml:space="preserve"> real-world relevance, e.g., diploma students</w:t>
            </w:r>
            <w:r w:rsidR="00DB5BA5">
              <w:rPr>
                <w:iCs/>
              </w:rPr>
              <w:t>.</w:t>
            </w:r>
          </w:p>
        </w:tc>
      </w:tr>
      <w:tr w:rsidR="007406F1" w:rsidRPr="00EC2A99">
        <w:tc>
          <w:tcPr>
            <w:tcW w:w="1908" w:type="dxa"/>
            <w:vMerge/>
          </w:tcPr>
          <w:p w:rsidR="004136F1" w:rsidRPr="00EC2A99" w:rsidRDefault="004136F1" w:rsidP="0001767E">
            <w:pPr>
              <w:pStyle w:val="BCSTabletext"/>
            </w:pPr>
          </w:p>
        </w:tc>
        <w:tc>
          <w:tcPr>
            <w:tcW w:w="1710" w:type="dxa"/>
            <w:shd w:val="clear" w:color="auto" w:fill="CCFFFF"/>
          </w:tcPr>
          <w:p w:rsidR="004136F1" w:rsidRPr="00EC2A99" w:rsidRDefault="004136F1" w:rsidP="0001767E">
            <w:pPr>
              <w:pStyle w:val="BCSTabletext"/>
            </w:pPr>
            <w:r w:rsidRPr="00EC2A99">
              <w:t>Writing frames with start of sentence given</w:t>
            </w:r>
          </w:p>
        </w:tc>
        <w:tc>
          <w:tcPr>
            <w:tcW w:w="1260" w:type="dxa"/>
            <w:shd w:val="clear" w:color="auto" w:fill="CCFFFF"/>
          </w:tcPr>
          <w:p w:rsidR="004136F1" w:rsidRPr="00EC2A99" w:rsidRDefault="004136F1" w:rsidP="0001767E">
            <w:pPr>
              <w:pStyle w:val="BCSTabletext"/>
              <w:rPr>
                <w:i/>
              </w:rPr>
            </w:pPr>
          </w:p>
        </w:tc>
        <w:tc>
          <w:tcPr>
            <w:tcW w:w="810"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900" w:type="dxa"/>
            <w:shd w:val="clear" w:color="auto" w:fill="CCFFFF"/>
          </w:tcPr>
          <w:p w:rsidR="004136F1" w:rsidRPr="00EC2A99" w:rsidRDefault="004136F1" w:rsidP="0001767E">
            <w:pPr>
              <w:pStyle w:val="BCSTabletext"/>
              <w:rPr>
                <w:i/>
              </w:rPr>
            </w:pPr>
          </w:p>
        </w:tc>
        <w:tc>
          <w:tcPr>
            <w:tcW w:w="2592" w:type="dxa"/>
            <w:shd w:val="clear" w:color="auto" w:fill="CCFFFF"/>
          </w:tcPr>
          <w:p w:rsidR="004136F1" w:rsidRPr="00EC2A99" w:rsidRDefault="004136F1" w:rsidP="0001767E">
            <w:pPr>
              <w:pStyle w:val="BCSTabletext"/>
              <w:rPr>
                <w:i/>
              </w:rPr>
            </w:pPr>
            <w:r w:rsidRPr="00EC2A99">
              <w:rPr>
                <w:iCs/>
              </w:rPr>
              <w:t>Tend to be useful with the extreme low achievers or those who face difficulties starting curriculum tasks in time frame. This could be seen as more of a primary school strategy</w:t>
            </w:r>
            <w:r w:rsidR="00DB5BA5">
              <w:rPr>
                <w:iCs/>
              </w:rPr>
              <w:t>.</w:t>
            </w:r>
          </w:p>
        </w:tc>
      </w:tr>
    </w:tbl>
    <w:p w:rsidR="007C4DD7" w:rsidRDefault="007C4DD7"/>
    <w:p w:rsidR="007C4DD7" w:rsidRDefault="007C4DD7"/>
    <w:p w:rsidR="007C4DD7" w:rsidRDefault="007C4DD7"/>
    <w:p w:rsidR="007C4DD7" w:rsidRDefault="007C4DD7"/>
    <w:p w:rsidR="007C4DD7" w:rsidRDefault="007C4DD7" w:rsidP="007C4DD7">
      <w:pPr>
        <w:pStyle w:val="BCSTableheadings"/>
      </w:pPr>
      <w:r>
        <w:t>Table 1 (continued)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908"/>
        <w:gridCol w:w="1710"/>
        <w:gridCol w:w="1260"/>
        <w:gridCol w:w="810"/>
        <w:gridCol w:w="900"/>
        <w:gridCol w:w="2592"/>
      </w:tblGrid>
      <w:tr w:rsidR="007C4DD7" w:rsidRPr="00EC2A99">
        <w:tc>
          <w:tcPr>
            <w:tcW w:w="1908" w:type="dxa"/>
          </w:tcPr>
          <w:p w:rsidR="007C4DD7" w:rsidRPr="0050660B" w:rsidRDefault="007C4DD7" w:rsidP="00705DC6">
            <w:pPr>
              <w:spacing w:before="120" w:after="120"/>
              <w:jc w:val="center"/>
              <w:rPr>
                <w:b/>
                <w:sz w:val="18"/>
              </w:rPr>
            </w:pPr>
          </w:p>
        </w:tc>
        <w:tc>
          <w:tcPr>
            <w:tcW w:w="1710" w:type="dxa"/>
          </w:tcPr>
          <w:p w:rsidR="007C4DD7" w:rsidRPr="00EC2A99" w:rsidRDefault="007C4DD7" w:rsidP="00705DC6">
            <w:pPr>
              <w:pStyle w:val="BCSTablesubheadings"/>
            </w:pPr>
            <w:r w:rsidRPr="00EC2A99">
              <w:t>Strategy</w:t>
            </w:r>
          </w:p>
        </w:tc>
        <w:tc>
          <w:tcPr>
            <w:tcW w:w="1260" w:type="dxa"/>
          </w:tcPr>
          <w:p w:rsidR="007C4DD7" w:rsidRPr="00EC2A99" w:rsidRDefault="007C4DD7" w:rsidP="00705DC6">
            <w:pPr>
              <w:pStyle w:val="BCSTablesubheadings"/>
            </w:pPr>
            <w:r w:rsidRPr="00EC2A99">
              <w:t>Standard practice</w:t>
            </w:r>
          </w:p>
        </w:tc>
        <w:tc>
          <w:tcPr>
            <w:tcW w:w="810" w:type="dxa"/>
          </w:tcPr>
          <w:p w:rsidR="007C4DD7" w:rsidRPr="00EC2A99" w:rsidRDefault="007C4DD7" w:rsidP="00705DC6">
            <w:pPr>
              <w:pStyle w:val="BCSTablesubheadings"/>
            </w:pPr>
            <w:r>
              <w:t>With low</w:t>
            </w:r>
          </w:p>
        </w:tc>
        <w:tc>
          <w:tcPr>
            <w:tcW w:w="900" w:type="dxa"/>
          </w:tcPr>
          <w:p w:rsidR="007C4DD7" w:rsidRPr="00EC2A99" w:rsidRDefault="007C4DD7" w:rsidP="00705DC6">
            <w:pPr>
              <w:pStyle w:val="BCSTablesubheadings"/>
            </w:pPr>
            <w:r>
              <w:t>With under</w:t>
            </w:r>
          </w:p>
        </w:tc>
        <w:tc>
          <w:tcPr>
            <w:tcW w:w="2592" w:type="dxa"/>
          </w:tcPr>
          <w:p w:rsidR="007C4DD7" w:rsidRPr="00EC2A99" w:rsidRDefault="007C4DD7" w:rsidP="00705DC6">
            <w:pPr>
              <w:pStyle w:val="BCSTablesubheadings"/>
            </w:pPr>
            <w:r w:rsidRPr="00EC2A99">
              <w:t>Comments</w:t>
            </w:r>
          </w:p>
        </w:tc>
      </w:tr>
      <w:tr w:rsidR="007406F1" w:rsidRPr="00EC2A99">
        <w:tc>
          <w:tcPr>
            <w:tcW w:w="1908" w:type="dxa"/>
            <w:vMerge w:val="restart"/>
          </w:tcPr>
          <w:p w:rsidR="004136F1" w:rsidRDefault="00EF5FDA" w:rsidP="0001767E">
            <w:pPr>
              <w:pStyle w:val="BCSTabletext"/>
            </w:pPr>
            <w:r>
              <w:t>Personalisation</w:t>
            </w:r>
          </w:p>
          <w:p w:rsidR="00EF5FDA" w:rsidRPr="00EC2A99" w:rsidRDefault="00EF5FDA" w:rsidP="0001767E">
            <w:pPr>
              <w:pStyle w:val="BCSTabletext"/>
            </w:pPr>
            <w:r>
              <w:t>(continued)</w:t>
            </w:r>
          </w:p>
        </w:tc>
        <w:tc>
          <w:tcPr>
            <w:tcW w:w="1710" w:type="dxa"/>
            <w:shd w:val="clear" w:color="auto" w:fill="CCFFFF"/>
          </w:tcPr>
          <w:p w:rsidR="004136F1" w:rsidRPr="00EC2A99" w:rsidRDefault="004136F1" w:rsidP="0001767E">
            <w:pPr>
              <w:pStyle w:val="BCSTabletext"/>
              <w:rPr>
                <w:lang w:val="en-US"/>
              </w:rPr>
            </w:pPr>
            <w:r w:rsidRPr="00EC2A99">
              <w:rPr>
                <w:lang w:val="en-US"/>
              </w:rPr>
              <w:t>Develop autonomy over developing appropriate learning styles</w:t>
            </w:r>
          </w:p>
        </w:tc>
        <w:tc>
          <w:tcPr>
            <w:tcW w:w="1260"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810"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900"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2592" w:type="dxa"/>
            <w:shd w:val="clear" w:color="auto" w:fill="CCFFFF"/>
          </w:tcPr>
          <w:p w:rsidR="004136F1" w:rsidRPr="00EC2A99" w:rsidRDefault="004136F1" w:rsidP="0001767E">
            <w:pPr>
              <w:pStyle w:val="BCSTabletext"/>
            </w:pPr>
            <w:r w:rsidRPr="00EC2A99">
              <w:rPr>
                <w:iCs/>
              </w:rPr>
              <w:t>Enable</w:t>
            </w:r>
            <w:r w:rsidR="00D248A3">
              <w:rPr>
                <w:iCs/>
              </w:rPr>
              <w:t>s</w:t>
            </w:r>
            <w:r w:rsidRPr="00EC2A99">
              <w:rPr>
                <w:iCs/>
              </w:rPr>
              <w:t xml:space="preserve"> learners to choose the</w:t>
            </w:r>
            <w:r w:rsidR="00D248A3">
              <w:rPr>
                <w:iCs/>
              </w:rPr>
              <w:t xml:space="preserve">ir own style of learning; </w:t>
            </w:r>
            <w:r w:rsidRPr="00EC2A99">
              <w:rPr>
                <w:iCs/>
              </w:rPr>
              <w:t>diff</w:t>
            </w:r>
            <w:r w:rsidR="00D248A3">
              <w:rPr>
                <w:iCs/>
              </w:rPr>
              <w:t xml:space="preserve">erent ways of working or using </w:t>
            </w:r>
            <w:r w:rsidRPr="00EC2A99">
              <w:rPr>
                <w:iCs/>
              </w:rPr>
              <w:t>tools may allow low achievers t</w:t>
            </w:r>
            <w:r w:rsidR="00D248A3">
              <w:rPr>
                <w:iCs/>
              </w:rPr>
              <w:t xml:space="preserve">o meet objectives without </w:t>
            </w:r>
            <w:r w:rsidR="0091566D">
              <w:rPr>
                <w:iCs/>
              </w:rPr>
              <w:t>the standard methods, eg</w:t>
            </w:r>
            <w:r w:rsidRPr="00EC2A99">
              <w:rPr>
                <w:iCs/>
              </w:rPr>
              <w:t>, A-Level art sessions and digital technologies</w:t>
            </w:r>
            <w:r w:rsidR="00D248A3">
              <w:rPr>
                <w:iCs/>
              </w:rPr>
              <w:t>.</w:t>
            </w:r>
          </w:p>
        </w:tc>
      </w:tr>
      <w:tr w:rsidR="007406F1" w:rsidRPr="00EC2A99">
        <w:tc>
          <w:tcPr>
            <w:tcW w:w="1908" w:type="dxa"/>
            <w:vMerge/>
          </w:tcPr>
          <w:p w:rsidR="004136F1" w:rsidRPr="00EC2A99" w:rsidRDefault="004136F1" w:rsidP="0001767E">
            <w:pPr>
              <w:pStyle w:val="BCSTabletext"/>
            </w:pPr>
          </w:p>
        </w:tc>
        <w:tc>
          <w:tcPr>
            <w:tcW w:w="1710" w:type="dxa"/>
            <w:shd w:val="clear" w:color="auto" w:fill="CCFFFF"/>
          </w:tcPr>
          <w:p w:rsidR="004136F1" w:rsidRPr="00EC2A99" w:rsidRDefault="004136F1" w:rsidP="0001767E">
            <w:pPr>
              <w:pStyle w:val="BCSTabletext"/>
              <w:rPr>
                <w:lang w:val="en-US"/>
              </w:rPr>
            </w:pPr>
            <w:r w:rsidRPr="00EC2A99">
              <w:rPr>
                <w:lang w:val="en-US"/>
              </w:rPr>
              <w:t>Behavio</w:t>
            </w:r>
            <w:r w:rsidR="00D248A3">
              <w:rPr>
                <w:lang w:val="en-US"/>
              </w:rPr>
              <w:t>u</w:t>
            </w:r>
            <w:r w:rsidRPr="00EC2A99">
              <w:rPr>
                <w:lang w:val="en-US"/>
              </w:rPr>
              <w:t>ral techniques to maintain learning within classroom activities</w:t>
            </w:r>
          </w:p>
        </w:tc>
        <w:tc>
          <w:tcPr>
            <w:tcW w:w="1260" w:type="dxa"/>
            <w:shd w:val="clear" w:color="auto" w:fill="CCFFFF"/>
          </w:tcPr>
          <w:p w:rsidR="004136F1" w:rsidRPr="00EC2A99" w:rsidRDefault="004136F1" w:rsidP="0001767E">
            <w:pPr>
              <w:pStyle w:val="BCSTabletext"/>
              <w:rPr>
                <w:i/>
              </w:rPr>
            </w:pPr>
          </w:p>
        </w:tc>
        <w:tc>
          <w:tcPr>
            <w:tcW w:w="810"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900"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2592" w:type="dxa"/>
            <w:shd w:val="clear" w:color="auto" w:fill="CCFFFF"/>
          </w:tcPr>
          <w:p w:rsidR="004136F1" w:rsidRPr="00EC2A99" w:rsidRDefault="004136F1" w:rsidP="0001767E">
            <w:pPr>
              <w:pStyle w:val="BCSTabletext"/>
              <w:rPr>
                <w:i/>
              </w:rPr>
            </w:pPr>
            <w:r w:rsidRPr="00EC2A99">
              <w:rPr>
                <w:iCs/>
              </w:rPr>
              <w:t>Techniques to help the individual develop positive behaviours a</w:t>
            </w:r>
            <w:r w:rsidR="00D248A3">
              <w:rPr>
                <w:iCs/>
              </w:rPr>
              <w:t xml:space="preserve">re targeted at children with </w:t>
            </w:r>
            <w:r w:rsidRPr="00EC2A99">
              <w:rPr>
                <w:iCs/>
              </w:rPr>
              <w:t>ADHD.</w:t>
            </w:r>
          </w:p>
        </w:tc>
      </w:tr>
      <w:tr w:rsidR="007406F1" w:rsidRPr="00EC2A99">
        <w:tc>
          <w:tcPr>
            <w:tcW w:w="1908" w:type="dxa"/>
            <w:vMerge/>
          </w:tcPr>
          <w:p w:rsidR="004136F1" w:rsidRPr="00EC2A99" w:rsidRDefault="004136F1" w:rsidP="0001767E">
            <w:pPr>
              <w:pStyle w:val="BCSTabletext"/>
            </w:pPr>
          </w:p>
        </w:tc>
        <w:tc>
          <w:tcPr>
            <w:tcW w:w="1710" w:type="dxa"/>
            <w:shd w:val="clear" w:color="auto" w:fill="CCFFFF"/>
          </w:tcPr>
          <w:p w:rsidR="004136F1" w:rsidRPr="00EC2A99" w:rsidRDefault="004136F1" w:rsidP="0001767E">
            <w:pPr>
              <w:pStyle w:val="BCSTabletext"/>
              <w:rPr>
                <w:lang w:val="en-US"/>
              </w:rPr>
            </w:pPr>
            <w:r w:rsidRPr="00EC2A99">
              <w:rPr>
                <w:lang w:val="en-US"/>
              </w:rPr>
              <w:t>Appropriate target setting at different curriculum levels</w:t>
            </w:r>
          </w:p>
        </w:tc>
        <w:tc>
          <w:tcPr>
            <w:tcW w:w="1260" w:type="dxa"/>
            <w:shd w:val="clear" w:color="auto" w:fill="CCFFFF"/>
          </w:tcPr>
          <w:p w:rsidR="004136F1" w:rsidRPr="00EC2A99" w:rsidRDefault="004136F1" w:rsidP="0001767E">
            <w:pPr>
              <w:pStyle w:val="BCSTabletext"/>
              <w:rPr>
                <w:i/>
              </w:rPr>
            </w:pPr>
          </w:p>
        </w:tc>
        <w:tc>
          <w:tcPr>
            <w:tcW w:w="810"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900"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r w:rsidRPr="00EC2A99">
              <w:sym w:font="Wingdings" w:char="F0FC"/>
            </w:r>
          </w:p>
        </w:tc>
        <w:tc>
          <w:tcPr>
            <w:tcW w:w="2592" w:type="dxa"/>
            <w:shd w:val="clear" w:color="auto" w:fill="CCFFFF"/>
          </w:tcPr>
          <w:p w:rsidR="004136F1" w:rsidRPr="00EC2A99" w:rsidRDefault="004136F1" w:rsidP="0001767E">
            <w:pPr>
              <w:pStyle w:val="BCSTabletext"/>
            </w:pPr>
            <w:r w:rsidRPr="00EC2A99">
              <w:rPr>
                <w:iCs/>
              </w:rPr>
              <w:t xml:space="preserve">For both groups, set targets against their own abilities rather than norm referencing. </w:t>
            </w:r>
            <w:r>
              <w:rPr>
                <w:iCs/>
              </w:rPr>
              <w:t>Low achievers</w:t>
            </w:r>
            <w:r w:rsidRPr="00EC2A99">
              <w:rPr>
                <w:iCs/>
              </w:rPr>
              <w:t xml:space="preserve"> </w:t>
            </w:r>
            <w:r w:rsidR="00240F62">
              <w:rPr>
                <w:iCs/>
              </w:rPr>
              <w:t xml:space="preserve">may never meet the norm </w:t>
            </w:r>
            <w:r w:rsidRPr="00EC2A99">
              <w:rPr>
                <w:iCs/>
              </w:rPr>
              <w:t>but can improve and show development/</w:t>
            </w:r>
            <w:r w:rsidR="00240F62">
              <w:rPr>
                <w:iCs/>
              </w:rPr>
              <w:t xml:space="preserve"> </w:t>
            </w:r>
            <w:r w:rsidRPr="00EC2A99">
              <w:rPr>
                <w:iCs/>
              </w:rPr>
              <w:t>achievement if targets appropriate to them</w:t>
            </w:r>
            <w:r w:rsidR="00240F62">
              <w:rPr>
                <w:iCs/>
              </w:rPr>
              <w:t>.</w:t>
            </w:r>
          </w:p>
        </w:tc>
      </w:tr>
    </w:tbl>
    <w:p w:rsidR="00240F62" w:rsidRDefault="00240F62"/>
    <w:p w:rsidR="003C1D27" w:rsidRDefault="00240F62" w:rsidP="00240F62">
      <w:pPr>
        <w:pStyle w:val="BCSTableheadings"/>
      </w:pPr>
      <w:r>
        <w:br w:type="page"/>
        <w:t>Table 1 (continued)</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668"/>
        <w:gridCol w:w="1699"/>
        <w:gridCol w:w="1275"/>
        <w:gridCol w:w="17"/>
        <w:gridCol w:w="835"/>
        <w:gridCol w:w="992"/>
        <w:gridCol w:w="2712"/>
      </w:tblGrid>
      <w:tr w:rsidR="007406F1" w:rsidRPr="00EC2A99">
        <w:tc>
          <w:tcPr>
            <w:tcW w:w="1668" w:type="dxa"/>
          </w:tcPr>
          <w:p w:rsidR="007406F1" w:rsidRPr="0050660B" w:rsidRDefault="007406F1" w:rsidP="00FE5A1D">
            <w:pPr>
              <w:spacing w:before="120" w:after="120"/>
              <w:jc w:val="center"/>
              <w:rPr>
                <w:b/>
                <w:sz w:val="18"/>
              </w:rPr>
            </w:pPr>
          </w:p>
        </w:tc>
        <w:tc>
          <w:tcPr>
            <w:tcW w:w="1699" w:type="dxa"/>
          </w:tcPr>
          <w:p w:rsidR="007406F1" w:rsidRPr="00EC2A99" w:rsidRDefault="007406F1" w:rsidP="00FE5A1D">
            <w:pPr>
              <w:pStyle w:val="BCSTablesubheadings"/>
            </w:pPr>
            <w:r w:rsidRPr="00EC2A99">
              <w:t>Strategy</w:t>
            </w:r>
          </w:p>
        </w:tc>
        <w:tc>
          <w:tcPr>
            <w:tcW w:w="1275" w:type="dxa"/>
          </w:tcPr>
          <w:p w:rsidR="007406F1" w:rsidRPr="00EC2A99" w:rsidRDefault="007406F1" w:rsidP="00FE5A1D">
            <w:pPr>
              <w:pStyle w:val="BCSTablesubheadings"/>
            </w:pPr>
            <w:r w:rsidRPr="00EC2A99">
              <w:t>Standard practice</w:t>
            </w:r>
          </w:p>
        </w:tc>
        <w:tc>
          <w:tcPr>
            <w:tcW w:w="852" w:type="dxa"/>
            <w:gridSpan w:val="2"/>
          </w:tcPr>
          <w:p w:rsidR="007406F1" w:rsidRPr="00EC2A99" w:rsidRDefault="00E426B9" w:rsidP="00FE5A1D">
            <w:pPr>
              <w:pStyle w:val="BCSTablesubheadings"/>
            </w:pPr>
            <w:r>
              <w:t>With l</w:t>
            </w:r>
            <w:r w:rsidR="007406F1">
              <w:t>ow</w:t>
            </w:r>
          </w:p>
        </w:tc>
        <w:tc>
          <w:tcPr>
            <w:tcW w:w="992" w:type="dxa"/>
          </w:tcPr>
          <w:p w:rsidR="007406F1" w:rsidRPr="00EC2A99" w:rsidRDefault="00E426B9" w:rsidP="00FE5A1D">
            <w:pPr>
              <w:pStyle w:val="BCSTablesubheadings"/>
            </w:pPr>
            <w:r>
              <w:t>With u</w:t>
            </w:r>
            <w:r w:rsidR="007406F1">
              <w:t>nder</w:t>
            </w:r>
          </w:p>
        </w:tc>
        <w:tc>
          <w:tcPr>
            <w:tcW w:w="2712" w:type="dxa"/>
          </w:tcPr>
          <w:p w:rsidR="007406F1" w:rsidRPr="00EC2A99" w:rsidRDefault="007406F1" w:rsidP="00FE5A1D">
            <w:pPr>
              <w:pStyle w:val="BCSTablesubheadings"/>
            </w:pPr>
            <w:r w:rsidRPr="00EC2A99">
              <w:t>Comments</w:t>
            </w:r>
          </w:p>
        </w:tc>
      </w:tr>
      <w:tr w:rsidR="004136F1" w:rsidRPr="00EC2A99">
        <w:tc>
          <w:tcPr>
            <w:tcW w:w="1668" w:type="dxa"/>
            <w:vMerge w:val="restart"/>
          </w:tcPr>
          <w:p w:rsidR="004136F1" w:rsidRPr="00EC2A99" w:rsidRDefault="004136F1" w:rsidP="0001767E">
            <w:pPr>
              <w:pStyle w:val="BCSTabletext"/>
            </w:pPr>
            <w:r w:rsidRPr="00EC2A99">
              <w:t>Flexible working</w:t>
            </w:r>
          </w:p>
          <w:p w:rsidR="004136F1" w:rsidRPr="00EC2A99" w:rsidRDefault="004136F1" w:rsidP="0001767E">
            <w:pPr>
              <w:pStyle w:val="BCSTabletext"/>
            </w:pPr>
          </w:p>
        </w:tc>
        <w:tc>
          <w:tcPr>
            <w:tcW w:w="1699" w:type="dxa"/>
            <w:shd w:val="clear" w:color="auto" w:fill="CCFFFF"/>
          </w:tcPr>
          <w:p w:rsidR="004136F1" w:rsidRPr="00EC2A99" w:rsidRDefault="004136F1" w:rsidP="0001767E">
            <w:pPr>
              <w:pStyle w:val="BCSTabletext"/>
              <w:rPr>
                <w:lang w:val="en-US"/>
              </w:rPr>
            </w:pPr>
            <w:r w:rsidRPr="00EC2A99">
              <w:rPr>
                <w:lang w:val="en-US"/>
              </w:rPr>
              <w:t>Option to complete modules of ICT out of the classroom</w:t>
            </w:r>
          </w:p>
        </w:tc>
        <w:tc>
          <w:tcPr>
            <w:tcW w:w="1292" w:type="dxa"/>
            <w:gridSpan w:val="2"/>
            <w:shd w:val="clear" w:color="auto" w:fill="CCFFFF"/>
          </w:tcPr>
          <w:p w:rsidR="004136F1" w:rsidRPr="00EC2A99" w:rsidRDefault="004136F1" w:rsidP="0001767E">
            <w:pPr>
              <w:pStyle w:val="BCSTabletext"/>
              <w:rPr>
                <w:i/>
              </w:rPr>
            </w:pPr>
            <w:r w:rsidRPr="00EC2A99">
              <w:sym w:font="Wingdings" w:char="F0FC"/>
            </w:r>
            <w:r w:rsidRPr="00EC2A99">
              <w:sym w:font="Wingdings" w:char="F0FC"/>
            </w:r>
          </w:p>
        </w:tc>
        <w:tc>
          <w:tcPr>
            <w:tcW w:w="835"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p>
        </w:tc>
        <w:tc>
          <w:tcPr>
            <w:tcW w:w="992" w:type="dxa"/>
            <w:shd w:val="clear" w:color="auto" w:fill="CCFFFF"/>
          </w:tcPr>
          <w:p w:rsidR="004136F1" w:rsidRPr="00EC2A99" w:rsidRDefault="004136F1" w:rsidP="0001767E">
            <w:pPr>
              <w:pStyle w:val="BCSTabletext"/>
              <w:rPr>
                <w:i/>
              </w:rPr>
            </w:pPr>
            <w:r w:rsidRPr="00EC2A99">
              <w:sym w:font="Wingdings" w:char="F0FC"/>
            </w:r>
            <w:r w:rsidRPr="00EC2A99">
              <w:sym w:font="Wingdings" w:char="F0FC"/>
            </w:r>
          </w:p>
        </w:tc>
        <w:tc>
          <w:tcPr>
            <w:tcW w:w="2712" w:type="dxa"/>
            <w:shd w:val="clear" w:color="auto" w:fill="CCFFFF"/>
          </w:tcPr>
          <w:p w:rsidR="004136F1" w:rsidRPr="00EC2A99" w:rsidRDefault="004136F1" w:rsidP="0001767E">
            <w:pPr>
              <w:pStyle w:val="BCSTabletext"/>
              <w:rPr>
                <w:i/>
              </w:rPr>
            </w:pPr>
            <w:r w:rsidRPr="00EC2A99">
              <w:rPr>
                <w:iCs/>
              </w:rPr>
              <w:t>Standard practice acros</w:t>
            </w:r>
            <w:r w:rsidR="00240F62">
              <w:rPr>
                <w:iCs/>
              </w:rPr>
              <w:t xml:space="preserve">s school and curriculum topics; </w:t>
            </w:r>
            <w:r w:rsidRPr="00EC2A99">
              <w:rPr>
                <w:iCs/>
              </w:rPr>
              <w:t>stren</w:t>
            </w:r>
            <w:r w:rsidR="00240F62">
              <w:rPr>
                <w:iCs/>
              </w:rPr>
              <w:t>gthens school-home links, but LP</w:t>
            </w:r>
            <w:r w:rsidRPr="00EC2A99">
              <w:rPr>
                <w:iCs/>
              </w:rPr>
              <w:t xml:space="preserve">s </w:t>
            </w:r>
            <w:r>
              <w:rPr>
                <w:iCs/>
              </w:rPr>
              <w:t xml:space="preserve">are seen as </w:t>
            </w:r>
            <w:r w:rsidRPr="00EC2A99">
              <w:rPr>
                <w:iCs/>
              </w:rPr>
              <w:t xml:space="preserve">vital in this role.  </w:t>
            </w:r>
          </w:p>
        </w:tc>
      </w:tr>
      <w:tr w:rsidR="004136F1" w:rsidRPr="00125C8E">
        <w:tc>
          <w:tcPr>
            <w:tcW w:w="1668" w:type="dxa"/>
            <w:vMerge/>
          </w:tcPr>
          <w:p w:rsidR="004136F1" w:rsidRPr="00EC2A99" w:rsidRDefault="004136F1" w:rsidP="0001767E">
            <w:pPr>
              <w:pStyle w:val="BCSTabletext"/>
            </w:pPr>
          </w:p>
        </w:tc>
        <w:tc>
          <w:tcPr>
            <w:tcW w:w="1699" w:type="dxa"/>
            <w:shd w:val="clear" w:color="auto" w:fill="CCFFFF"/>
          </w:tcPr>
          <w:p w:rsidR="004136F1" w:rsidRPr="00EC2A99" w:rsidRDefault="004136F1" w:rsidP="0001767E">
            <w:pPr>
              <w:pStyle w:val="BCSTabletext"/>
              <w:rPr>
                <w:lang w:val="en-US"/>
              </w:rPr>
            </w:pPr>
            <w:r w:rsidRPr="00EC2A99">
              <w:rPr>
                <w:lang w:val="en-US"/>
              </w:rPr>
              <w:t>Providing laptops into the home</w:t>
            </w:r>
          </w:p>
        </w:tc>
        <w:tc>
          <w:tcPr>
            <w:tcW w:w="1292" w:type="dxa"/>
            <w:gridSpan w:val="2"/>
            <w:shd w:val="clear" w:color="auto" w:fill="CCFFFF"/>
          </w:tcPr>
          <w:p w:rsidR="004136F1" w:rsidRPr="00EC2A99" w:rsidRDefault="004136F1" w:rsidP="0001767E">
            <w:pPr>
              <w:pStyle w:val="BCSTabletext"/>
              <w:rPr>
                <w:i/>
              </w:rPr>
            </w:pPr>
            <w:r w:rsidRPr="00EC2A99">
              <w:sym w:font="Wingdings" w:char="F0FC"/>
            </w:r>
          </w:p>
        </w:tc>
        <w:tc>
          <w:tcPr>
            <w:tcW w:w="835" w:type="dxa"/>
            <w:shd w:val="clear" w:color="auto" w:fill="CCFFFF"/>
          </w:tcPr>
          <w:p w:rsidR="004136F1" w:rsidRPr="00EC2A99" w:rsidRDefault="004136F1" w:rsidP="0001767E">
            <w:pPr>
              <w:pStyle w:val="BCSTabletext"/>
              <w:rPr>
                <w:i/>
              </w:rPr>
            </w:pPr>
            <w:r w:rsidRPr="00EC2A99">
              <w:t xml:space="preserve">  </w:t>
            </w:r>
            <w:r w:rsidRPr="00EC2A99">
              <w:sym w:font="Wingdings" w:char="F0FC"/>
            </w:r>
          </w:p>
        </w:tc>
        <w:tc>
          <w:tcPr>
            <w:tcW w:w="992" w:type="dxa"/>
            <w:shd w:val="clear" w:color="auto" w:fill="CCFFFF"/>
          </w:tcPr>
          <w:p w:rsidR="004136F1" w:rsidRPr="00EC2A99" w:rsidRDefault="004136F1" w:rsidP="0001767E">
            <w:pPr>
              <w:pStyle w:val="BCSTabletext"/>
              <w:rPr>
                <w:i/>
              </w:rPr>
            </w:pPr>
            <w:r w:rsidRPr="00EC2A99">
              <w:sym w:font="Wingdings" w:char="F0FC"/>
            </w:r>
          </w:p>
        </w:tc>
        <w:tc>
          <w:tcPr>
            <w:tcW w:w="2712" w:type="dxa"/>
            <w:shd w:val="clear" w:color="auto" w:fill="CCFFFF"/>
          </w:tcPr>
          <w:p w:rsidR="004136F1" w:rsidRPr="00EC2A99" w:rsidRDefault="004136F1" w:rsidP="0001767E">
            <w:pPr>
              <w:pStyle w:val="BCSTabletext"/>
            </w:pPr>
            <w:r w:rsidRPr="00EC2A99">
              <w:t>Distribution of equipment often</w:t>
            </w:r>
            <w:r w:rsidR="00240F62">
              <w:t xml:space="preserve"> focuses on needs related to </w:t>
            </w:r>
            <w:r w:rsidRPr="00EC2A99">
              <w:t>disabilities and deprivation</w:t>
            </w:r>
            <w:r w:rsidR="00240F62">
              <w:t>.</w:t>
            </w:r>
            <w:r w:rsidRPr="00EC2A99">
              <w:t xml:space="preserve"> This is an equity issue for many schools.</w:t>
            </w:r>
          </w:p>
          <w:p w:rsidR="004136F1" w:rsidRPr="00EC2A99" w:rsidRDefault="00240F62" w:rsidP="0001767E">
            <w:pPr>
              <w:pStyle w:val="BCSTabletext"/>
            </w:pPr>
            <w:r>
              <w:t>Example: Ten</w:t>
            </w:r>
            <w:r w:rsidR="004136F1" w:rsidRPr="00EC2A99">
              <w:t xml:space="preserve"> Ye</w:t>
            </w:r>
            <w:r w:rsidR="004136F1">
              <w:t xml:space="preserve">ar 7 students have been given </w:t>
            </w:r>
            <w:r w:rsidR="004136F1" w:rsidRPr="00EC2A99">
              <w:t>netbooks to use at home to see if this</w:t>
            </w:r>
            <w:r>
              <w:t xml:space="preserve"> has an impact</w:t>
            </w:r>
            <w:r w:rsidR="004136F1" w:rsidRPr="00EC2A99">
              <w:t xml:space="preserve"> on their learning.  These students were sel</w:t>
            </w:r>
            <w:r>
              <w:t>ected on the basis of not having</w:t>
            </w:r>
            <w:r w:rsidR="004136F1" w:rsidRPr="00EC2A99">
              <w:t xml:space="preserve"> access to computers at home.  </w:t>
            </w:r>
          </w:p>
        </w:tc>
      </w:tr>
    </w:tbl>
    <w:p w:rsidR="004136F1" w:rsidRPr="00125C8E" w:rsidRDefault="004136F1" w:rsidP="004136F1">
      <w:pPr>
        <w:jc w:val="both"/>
        <w:rPr>
          <w:sz w:val="18"/>
        </w:rPr>
      </w:pPr>
    </w:p>
    <w:p w:rsidR="004136F1" w:rsidRDefault="004136F1" w:rsidP="004136F1">
      <w:pPr>
        <w:spacing w:after="120"/>
        <w:jc w:val="both"/>
      </w:pPr>
    </w:p>
    <w:p w:rsidR="003959E2" w:rsidRDefault="003959E2" w:rsidP="009146A3">
      <w:pPr>
        <w:pStyle w:val="BCSBulletlast"/>
        <w:numPr>
          <w:ilvl w:val="0"/>
          <w:numId w:val="0"/>
        </w:numPr>
        <w:ind w:left="1077"/>
      </w:pPr>
    </w:p>
    <w:p w:rsidR="00F81118" w:rsidRDefault="0001767E" w:rsidP="0001767E">
      <w:pPr>
        <w:pStyle w:val="BCSHeadingA"/>
      </w:pPr>
      <w:r>
        <w:br w:type="page"/>
      </w:r>
      <w:bookmarkStart w:id="167" w:name="_Toc248651154"/>
      <w:bookmarkStart w:id="168" w:name="_Toc248651435"/>
      <w:bookmarkStart w:id="169" w:name="_Toc248651478"/>
      <w:bookmarkStart w:id="170" w:name="_Toc248651626"/>
      <w:bookmarkStart w:id="171" w:name="_Toc248652483"/>
      <w:r w:rsidR="00F81118">
        <w:t>List of associated materials</w:t>
      </w:r>
      <w:bookmarkEnd w:id="167"/>
      <w:bookmarkEnd w:id="168"/>
      <w:bookmarkEnd w:id="169"/>
      <w:bookmarkEnd w:id="170"/>
      <w:bookmarkEnd w:id="171"/>
    </w:p>
    <w:p w:rsidR="00F81118" w:rsidRPr="002E6EE5" w:rsidRDefault="00F81118" w:rsidP="00B1214A">
      <w:pPr>
        <w:pStyle w:val="BCSParagraph"/>
        <w:rPr>
          <w:b/>
          <w:bCs/>
          <w:sz w:val="26"/>
          <w:szCs w:val="26"/>
        </w:rPr>
      </w:pPr>
      <w:r w:rsidRPr="002E6EE5">
        <w:rPr>
          <w:b/>
          <w:bCs/>
          <w:sz w:val="26"/>
          <w:szCs w:val="26"/>
        </w:rPr>
        <w:t>Associated materials include:</w:t>
      </w:r>
    </w:p>
    <w:p w:rsidR="00F81118" w:rsidRDefault="00F81118" w:rsidP="00B1214A">
      <w:pPr>
        <w:pStyle w:val="BCSBulletparagraph"/>
      </w:pPr>
      <w:r w:rsidRPr="00B1214A">
        <w:rPr>
          <w:b/>
          <w:bCs/>
        </w:rPr>
        <w:t xml:space="preserve">The </w:t>
      </w:r>
      <w:hyperlink r:id="rId26" w:history="1">
        <w:r w:rsidRPr="00E914A2">
          <w:rPr>
            <w:rStyle w:val="Hyperlink"/>
            <w:bCs/>
          </w:rPr>
          <w:t>Narrowing the Gap Literature review 2009</w:t>
        </w:r>
      </w:hyperlink>
    </w:p>
    <w:p w:rsidR="00DE54C3" w:rsidRDefault="00776E81" w:rsidP="00DE54C3">
      <w:pPr>
        <w:pStyle w:val="BCSBulletparagraph"/>
        <w:numPr>
          <w:ilvl w:val="0"/>
          <w:numId w:val="0"/>
        </w:numPr>
        <w:ind w:left="1077"/>
      </w:pPr>
      <w:r>
        <w:t>[</w:t>
      </w:r>
      <w:r w:rsidRPr="00776E81">
        <w:t>http://partners.becta.org.uk/index.php?section=rh&amp;catcode=_re_rp_02&amp;rid=17003</w:t>
      </w:r>
      <w:r>
        <w:t>]</w:t>
      </w:r>
    </w:p>
    <w:p w:rsidR="00B1214A" w:rsidRPr="00B1214A" w:rsidRDefault="00B1214A" w:rsidP="00B1214A">
      <w:pPr>
        <w:pStyle w:val="BCSBulletparagraph"/>
        <w:numPr>
          <w:ilvl w:val="0"/>
          <w:numId w:val="0"/>
        </w:numPr>
        <w:rPr>
          <w:b/>
          <w:bCs/>
        </w:rPr>
      </w:pPr>
    </w:p>
    <w:p w:rsidR="00F81118" w:rsidRPr="00B1214A" w:rsidRDefault="00F81118" w:rsidP="00B1214A">
      <w:pPr>
        <w:pStyle w:val="BCSBulletparagraph"/>
        <w:rPr>
          <w:b/>
          <w:bCs/>
        </w:rPr>
      </w:pPr>
      <w:r w:rsidRPr="00B1214A">
        <w:rPr>
          <w:b/>
          <w:bCs/>
        </w:rPr>
        <w:t>6 x</w:t>
      </w:r>
      <w:r w:rsidR="002E6EE5">
        <w:rPr>
          <w:b/>
          <w:bCs/>
        </w:rPr>
        <w:t xml:space="preserve"> </w:t>
      </w:r>
      <w:r w:rsidR="00BD180C">
        <w:rPr>
          <w:b/>
          <w:bCs/>
        </w:rPr>
        <w:t>two</w:t>
      </w:r>
      <w:r w:rsidRPr="00B1214A">
        <w:rPr>
          <w:b/>
          <w:bCs/>
        </w:rPr>
        <w:t xml:space="preserve"> min</w:t>
      </w:r>
      <w:r w:rsidR="002E6EE5">
        <w:rPr>
          <w:b/>
          <w:bCs/>
        </w:rPr>
        <w:t>ute teacher/learner videos</w:t>
      </w:r>
    </w:p>
    <w:p w:rsidR="00776E81" w:rsidRDefault="00F81118" w:rsidP="00776E81">
      <w:pPr>
        <w:pStyle w:val="BCSBulletlevel2"/>
      </w:pPr>
      <w:r>
        <w:tab/>
      </w:r>
      <w:hyperlink r:id="rId27" w:history="1">
        <w:r w:rsidRPr="00FC5984">
          <w:rPr>
            <w:rStyle w:val="Hyperlink"/>
          </w:rPr>
          <w:t>Ben Maddison</w:t>
        </w:r>
        <w:r w:rsidR="000D5E21" w:rsidRPr="00FC5984">
          <w:rPr>
            <w:rStyle w:val="Hyperlink"/>
          </w:rPr>
          <w:t>, R</w:t>
        </w:r>
        <w:r w:rsidRPr="00FC5984">
          <w:rPr>
            <w:rStyle w:val="Hyperlink"/>
          </w:rPr>
          <w:t xml:space="preserve">eligious </w:t>
        </w:r>
        <w:r w:rsidR="000D5E21" w:rsidRPr="00FC5984">
          <w:rPr>
            <w:rStyle w:val="Hyperlink"/>
          </w:rPr>
          <w:t>E</w:t>
        </w:r>
        <w:r w:rsidRPr="00FC5984">
          <w:rPr>
            <w:rStyle w:val="Hyperlink"/>
          </w:rPr>
          <w:t>ducation</w:t>
        </w:r>
      </w:hyperlink>
      <w:r w:rsidR="00776E81">
        <w:t xml:space="preserve"> </w:t>
      </w:r>
      <w:r w:rsidR="00BA0618">
        <w:t>[</w:t>
      </w:r>
      <w:r w:rsidR="00776E81" w:rsidRPr="00776E81">
        <w:t>http://partners.becta.org.uk/index.php?section=r</w:t>
      </w:r>
      <w:r w:rsidR="00776E81">
        <w:t>h&amp;catcode=_re_vi_ng_03&amp;rid=17422</w:t>
      </w:r>
      <w:r w:rsidR="00BA0618">
        <w:t>]</w:t>
      </w:r>
    </w:p>
    <w:p w:rsidR="00F81118" w:rsidRDefault="00F81118" w:rsidP="00B1214A">
      <w:pPr>
        <w:pStyle w:val="BCSBulletlevel2"/>
      </w:pPr>
      <w:r>
        <w:tab/>
      </w:r>
      <w:hyperlink r:id="rId28" w:history="1">
        <w:r w:rsidRPr="00FC5984">
          <w:rPr>
            <w:rStyle w:val="Hyperlink"/>
          </w:rPr>
          <w:t>Rima Hashim, Mathematics</w:t>
        </w:r>
      </w:hyperlink>
    </w:p>
    <w:p w:rsidR="00FC5984" w:rsidRDefault="00776E81" w:rsidP="00776E81">
      <w:pPr>
        <w:pStyle w:val="BCSBulletlevel2"/>
        <w:numPr>
          <w:ilvl w:val="0"/>
          <w:numId w:val="0"/>
        </w:numPr>
        <w:ind w:left="1440"/>
      </w:pPr>
      <w:r>
        <w:t>[</w:t>
      </w:r>
      <w:r w:rsidRPr="00776E81">
        <w:t>http://partners.becta.org.uk/index.php?section=rh&amp;catcode=_re_vi_ng_03&amp;rid=17419</w:t>
      </w:r>
      <w:r>
        <w:t>]</w:t>
      </w:r>
    </w:p>
    <w:p w:rsidR="00F81118" w:rsidRPr="00775CDB" w:rsidRDefault="000B2850" w:rsidP="00775CDB">
      <w:pPr>
        <w:pStyle w:val="BCSBulletlevel2"/>
      </w:pPr>
      <w:hyperlink r:id="rId29" w:history="1">
        <w:r w:rsidR="00BA0618" w:rsidRPr="000B2850">
          <w:rPr>
            <w:rStyle w:val="Hyperlink"/>
          </w:rPr>
          <w:t>Zoe Enser, English</w:t>
        </w:r>
      </w:hyperlink>
    </w:p>
    <w:p w:rsidR="00BA0618" w:rsidRPr="00775CDB" w:rsidRDefault="00BA0618" w:rsidP="00775CDB">
      <w:pPr>
        <w:pStyle w:val="BCSBulletlevel2"/>
        <w:numPr>
          <w:ilvl w:val="0"/>
          <w:numId w:val="0"/>
        </w:numPr>
        <w:ind w:left="1440"/>
      </w:pPr>
      <w:r w:rsidRPr="00775CDB">
        <w:t>[http://partners.becta.org.uk/index.php?section=rh&amp;catcode=_re_vi_ng_03&amp;rid=17417]</w:t>
      </w:r>
    </w:p>
    <w:p w:rsidR="00F81118" w:rsidRDefault="003F5E49" w:rsidP="00B1214A">
      <w:pPr>
        <w:pStyle w:val="BCSBulletlevel2"/>
      </w:pPr>
      <w:hyperlink r:id="rId30" w:history="1">
        <w:r w:rsidR="00F81118" w:rsidRPr="003F5E49">
          <w:rPr>
            <w:rStyle w:val="Hyperlink"/>
          </w:rPr>
          <w:t xml:space="preserve">Celine </w:t>
        </w:r>
        <w:r w:rsidR="002E6EE5" w:rsidRPr="003F5E49">
          <w:rPr>
            <w:rStyle w:val="Hyperlink"/>
          </w:rPr>
          <w:t xml:space="preserve">Jamet, </w:t>
        </w:r>
        <w:r w:rsidR="00F81118" w:rsidRPr="003F5E49">
          <w:rPr>
            <w:rStyle w:val="Hyperlink"/>
          </w:rPr>
          <w:t>French</w:t>
        </w:r>
      </w:hyperlink>
    </w:p>
    <w:p w:rsidR="00BA0618" w:rsidRDefault="00BA0618" w:rsidP="00BA0618">
      <w:pPr>
        <w:pStyle w:val="BCSBulletlevel2"/>
        <w:numPr>
          <w:ilvl w:val="0"/>
          <w:numId w:val="0"/>
        </w:numPr>
        <w:ind w:left="1440"/>
      </w:pPr>
      <w:r>
        <w:t>[</w:t>
      </w:r>
      <w:r w:rsidRPr="00BA0618">
        <w:t>http://partners.becta.org.uk/index.php?section=r</w:t>
      </w:r>
      <w:r>
        <w:t>h&amp;catcode=_re_vi_ng_03&amp;rid=17415]</w:t>
      </w:r>
    </w:p>
    <w:p w:rsidR="00F81118" w:rsidRDefault="00F81118" w:rsidP="00B1214A">
      <w:pPr>
        <w:pStyle w:val="BCSBulletlevel2"/>
      </w:pPr>
      <w:r>
        <w:tab/>
      </w:r>
      <w:hyperlink r:id="rId31" w:history="1">
        <w:r w:rsidRPr="003F5E49">
          <w:rPr>
            <w:rStyle w:val="Hyperlink"/>
          </w:rPr>
          <w:t>Rob Taplin, Art</w:t>
        </w:r>
      </w:hyperlink>
      <w:r>
        <w:t xml:space="preserve"> </w:t>
      </w:r>
    </w:p>
    <w:p w:rsidR="00863611" w:rsidRDefault="00863611" w:rsidP="00863611">
      <w:pPr>
        <w:pStyle w:val="BCSBulletlevel2"/>
        <w:numPr>
          <w:ilvl w:val="0"/>
          <w:numId w:val="0"/>
        </w:numPr>
        <w:ind w:left="1440"/>
      </w:pPr>
      <w:r>
        <w:t>[</w:t>
      </w:r>
      <w:r w:rsidRPr="00863611">
        <w:t>http://partners.becta.org.uk/index.php?section=r</w:t>
      </w:r>
      <w:r>
        <w:t>h&amp;catcode=_re_vi_ng_03&amp;rid=17421]</w:t>
      </w:r>
    </w:p>
    <w:p w:rsidR="000D5E21" w:rsidRDefault="00C80857" w:rsidP="00B1214A">
      <w:pPr>
        <w:pStyle w:val="BCSBulletlevel2"/>
      </w:pPr>
      <w:hyperlink r:id="rId32" w:history="1">
        <w:r w:rsidR="000D5E21" w:rsidRPr="00C80857">
          <w:rPr>
            <w:rStyle w:val="Hyperlink"/>
          </w:rPr>
          <w:t>Adam Martin, Physical Education</w:t>
        </w:r>
      </w:hyperlink>
    </w:p>
    <w:p w:rsidR="00863611" w:rsidRDefault="00863611" w:rsidP="00863611">
      <w:pPr>
        <w:pStyle w:val="BCSBulletlevel2"/>
        <w:numPr>
          <w:ilvl w:val="0"/>
          <w:numId w:val="0"/>
        </w:numPr>
        <w:ind w:left="1440"/>
      </w:pPr>
      <w:r>
        <w:t>[</w:t>
      </w:r>
      <w:r w:rsidRPr="00863611">
        <w:t>http://partners.becta.org.uk/index.php?section=r</w:t>
      </w:r>
      <w:r>
        <w:t>h&amp;catcode=_re_vi_ng_03&amp;rid=17414]</w:t>
      </w:r>
    </w:p>
    <w:p w:rsidR="00B1214A" w:rsidRDefault="00B1214A" w:rsidP="00B1214A">
      <w:pPr>
        <w:pStyle w:val="BCSBulletlevel2"/>
        <w:numPr>
          <w:ilvl w:val="0"/>
          <w:numId w:val="0"/>
        </w:numPr>
        <w:ind w:left="1440" w:hanging="360"/>
      </w:pPr>
    </w:p>
    <w:p w:rsidR="00F81118" w:rsidRPr="00B1214A" w:rsidRDefault="00F81118" w:rsidP="001B4F77">
      <w:pPr>
        <w:pStyle w:val="BCSBulletparagraph"/>
        <w:rPr>
          <w:b/>
          <w:bCs/>
        </w:rPr>
      </w:pPr>
      <w:r>
        <w:tab/>
      </w:r>
      <w:r w:rsidR="002E6EE5">
        <w:rPr>
          <w:b/>
          <w:bCs/>
        </w:rPr>
        <w:t xml:space="preserve">3 x 1 minute </w:t>
      </w:r>
      <w:r w:rsidR="001B4F77">
        <w:rPr>
          <w:b/>
          <w:bCs/>
        </w:rPr>
        <w:t xml:space="preserve">learner </w:t>
      </w:r>
      <w:r w:rsidRPr="00B1214A">
        <w:rPr>
          <w:b/>
          <w:bCs/>
        </w:rPr>
        <w:t>videos</w:t>
      </w:r>
    </w:p>
    <w:p w:rsidR="00F81118" w:rsidRDefault="00CA630C" w:rsidP="00B1214A">
      <w:pPr>
        <w:pStyle w:val="BCSBulletlevel2"/>
      </w:pPr>
      <w:hyperlink r:id="rId33" w:history="1">
        <w:r w:rsidR="002E6EE5" w:rsidRPr="00CA630C">
          <w:rPr>
            <w:rStyle w:val="Hyperlink"/>
          </w:rPr>
          <w:t>Text book:</w:t>
        </w:r>
        <w:r w:rsidR="001B4F77" w:rsidRPr="00CA630C">
          <w:rPr>
            <w:rStyle w:val="Hyperlink"/>
          </w:rPr>
          <w:t xml:space="preserve"> Learners</w:t>
        </w:r>
        <w:r w:rsidR="00F81118" w:rsidRPr="00CA630C">
          <w:rPr>
            <w:rStyle w:val="Hyperlink"/>
          </w:rPr>
          <w:t xml:space="preserve"> use video cameras on their mobile phones to explore the concept of dynamic equilibrium</w:t>
        </w:r>
      </w:hyperlink>
      <w:r w:rsidR="002E6EE5">
        <w:t>.</w:t>
      </w:r>
    </w:p>
    <w:p w:rsidR="008443BA" w:rsidRDefault="008443BA" w:rsidP="008443BA">
      <w:pPr>
        <w:pStyle w:val="BCSBulletlevel2"/>
        <w:numPr>
          <w:ilvl w:val="0"/>
          <w:numId w:val="0"/>
        </w:numPr>
        <w:ind w:left="1440"/>
      </w:pPr>
      <w:r>
        <w:t>[</w:t>
      </w:r>
      <w:r w:rsidRPr="008443BA">
        <w:t>http://partners.becta.org.uk/index.php?section=r</w:t>
      </w:r>
      <w:r>
        <w:t>h&amp;catcode=_re_vi_ng_03&amp;rid=17424]</w:t>
      </w:r>
    </w:p>
    <w:p w:rsidR="00F81118" w:rsidRDefault="00CA630C" w:rsidP="00B1214A">
      <w:pPr>
        <w:pStyle w:val="BCSBulletlevel2"/>
      </w:pPr>
      <w:hyperlink r:id="rId34" w:history="1">
        <w:r w:rsidR="008443BA" w:rsidRPr="00CA630C">
          <w:rPr>
            <w:rStyle w:val="Hyperlink"/>
          </w:rPr>
          <w:t>A</w:t>
        </w:r>
        <w:r w:rsidR="00F81118" w:rsidRPr="00CA630C">
          <w:rPr>
            <w:rStyle w:val="Hyperlink"/>
          </w:rPr>
          <w:t>rt</w:t>
        </w:r>
        <w:r w:rsidR="002E6EE5" w:rsidRPr="00CA630C">
          <w:rPr>
            <w:rStyle w:val="Hyperlink"/>
          </w:rPr>
          <w:t>:</w:t>
        </w:r>
        <w:r w:rsidR="001B4F77" w:rsidRPr="00CA630C">
          <w:rPr>
            <w:rStyle w:val="Hyperlink"/>
          </w:rPr>
          <w:t xml:space="preserve"> Learners</w:t>
        </w:r>
        <w:r w:rsidR="00F81118" w:rsidRPr="00CA630C">
          <w:rPr>
            <w:rStyle w:val="Hyperlink"/>
          </w:rPr>
          <w:t xml:space="preserve"> explain how technologies used in art support their confidence and learning</w:t>
        </w:r>
      </w:hyperlink>
      <w:r w:rsidR="00F81118">
        <w:t>.</w:t>
      </w:r>
    </w:p>
    <w:p w:rsidR="008443BA" w:rsidRDefault="008443BA" w:rsidP="008443BA">
      <w:pPr>
        <w:pStyle w:val="BCSBulletlevel2"/>
        <w:numPr>
          <w:ilvl w:val="0"/>
          <w:numId w:val="0"/>
        </w:numPr>
        <w:ind w:left="1440"/>
      </w:pPr>
      <w:r>
        <w:t>[</w:t>
      </w:r>
      <w:r w:rsidRPr="008443BA">
        <w:t>http://partners.becta.org.uk/index.php?section=rh&amp;cat</w:t>
      </w:r>
      <w:r>
        <w:t>code=_re_vi_ng_03&amp;rid=17425]</w:t>
      </w:r>
    </w:p>
    <w:p w:rsidR="00F81118" w:rsidRDefault="00235487" w:rsidP="00B1214A">
      <w:pPr>
        <w:pStyle w:val="BCSBulletlevel2"/>
      </w:pPr>
      <w:hyperlink r:id="rId35" w:history="1">
        <w:r w:rsidR="008443BA" w:rsidRPr="00235487">
          <w:rPr>
            <w:rStyle w:val="Hyperlink"/>
          </w:rPr>
          <w:t>T</w:t>
        </w:r>
        <w:r w:rsidR="001B4F77" w:rsidRPr="00235487">
          <w:rPr>
            <w:rStyle w:val="Hyperlink"/>
          </w:rPr>
          <w:t>echnology: Learners</w:t>
        </w:r>
        <w:r w:rsidR="002E6EE5" w:rsidRPr="00235487">
          <w:rPr>
            <w:rStyle w:val="Hyperlink"/>
          </w:rPr>
          <w:t xml:space="preserve"> discuss</w:t>
        </w:r>
        <w:r w:rsidR="00F81118" w:rsidRPr="00235487">
          <w:rPr>
            <w:rStyle w:val="Hyperlink"/>
          </w:rPr>
          <w:t xml:space="preserve"> how relevance </w:t>
        </w:r>
        <w:r w:rsidR="002E6EE5" w:rsidRPr="00235487">
          <w:rPr>
            <w:rStyle w:val="Hyperlink"/>
          </w:rPr>
          <w:t>and purpose in the real world are</w:t>
        </w:r>
        <w:r w:rsidR="00F81118" w:rsidRPr="00235487">
          <w:rPr>
            <w:rStyle w:val="Hyperlink"/>
          </w:rPr>
          <w:t xml:space="preserve"> important to them</w:t>
        </w:r>
        <w:r w:rsidR="002E6EE5" w:rsidRPr="00235487">
          <w:rPr>
            <w:rStyle w:val="Hyperlink"/>
          </w:rPr>
          <w:t xml:space="preserve">, and they address </w:t>
        </w:r>
        <w:r w:rsidR="00F81118" w:rsidRPr="00235487">
          <w:rPr>
            <w:rStyle w:val="Hyperlink"/>
          </w:rPr>
          <w:t>the ways in which they can use technology to bring their ideas to life</w:t>
        </w:r>
      </w:hyperlink>
      <w:r w:rsidR="00F81118">
        <w:t xml:space="preserve">. </w:t>
      </w:r>
    </w:p>
    <w:p w:rsidR="008443BA" w:rsidRDefault="008443BA" w:rsidP="008443BA">
      <w:pPr>
        <w:pStyle w:val="BCSBulletlevel2"/>
        <w:numPr>
          <w:ilvl w:val="0"/>
          <w:numId w:val="0"/>
        </w:numPr>
        <w:ind w:left="1440"/>
      </w:pPr>
      <w:r>
        <w:t>[</w:t>
      </w:r>
      <w:r w:rsidRPr="008443BA">
        <w:t>http://partners.becta.org.uk/index.php?section=r</w:t>
      </w:r>
      <w:r>
        <w:t>h&amp;catcode=_re_vi_ng_03&amp;rid=17426]</w:t>
      </w:r>
    </w:p>
    <w:p w:rsidR="00B1214A" w:rsidRDefault="00B1214A" w:rsidP="00B1214A">
      <w:pPr>
        <w:pStyle w:val="BCSBulletlevel2"/>
        <w:numPr>
          <w:ilvl w:val="0"/>
          <w:numId w:val="0"/>
        </w:numPr>
        <w:ind w:left="1440" w:hanging="360"/>
      </w:pPr>
    </w:p>
    <w:p w:rsidR="00F81118" w:rsidRPr="00B1214A" w:rsidRDefault="00B1214A" w:rsidP="00B1214A">
      <w:pPr>
        <w:pStyle w:val="BCSBulletparagraph"/>
        <w:rPr>
          <w:b/>
          <w:bCs/>
        </w:rPr>
      </w:pPr>
      <w:r>
        <w:rPr>
          <w:b/>
          <w:bCs/>
        </w:rPr>
        <w:t>Four stand-</w:t>
      </w:r>
      <w:r w:rsidR="00BD180C">
        <w:rPr>
          <w:b/>
          <w:bCs/>
        </w:rPr>
        <w:t>alone podcasts</w:t>
      </w:r>
    </w:p>
    <w:p w:rsidR="00F81118" w:rsidRDefault="00CC0EBA" w:rsidP="00B1214A">
      <w:pPr>
        <w:pStyle w:val="BCSBulletlevel2"/>
      </w:pPr>
      <w:hyperlink r:id="rId36" w:history="1">
        <w:r w:rsidR="00F81118" w:rsidRPr="00CC0EBA">
          <w:rPr>
            <w:rStyle w:val="Hyperlink"/>
          </w:rPr>
          <w:t>Jim Fanning</w:t>
        </w:r>
        <w:r w:rsidR="002E6EE5" w:rsidRPr="00CC0EBA">
          <w:rPr>
            <w:rStyle w:val="Hyperlink"/>
          </w:rPr>
          <w:t>,</w:t>
        </w:r>
        <w:r w:rsidR="00F81118" w:rsidRPr="00CC0EBA">
          <w:rPr>
            <w:rStyle w:val="Hyperlink"/>
          </w:rPr>
          <w:t xml:space="preserve"> Assistant Head</w:t>
        </w:r>
      </w:hyperlink>
      <w:r w:rsidR="00F81118">
        <w:t xml:space="preserve"> </w:t>
      </w:r>
      <w:r w:rsidR="002E6EE5">
        <w:t>(</w:t>
      </w:r>
      <w:r w:rsidR="00F81118">
        <w:t>10 minutes</w:t>
      </w:r>
      <w:r w:rsidR="002E6EE5">
        <w:t>)</w:t>
      </w:r>
      <w:r w:rsidR="00F81118">
        <w:t xml:space="preserve"> </w:t>
      </w:r>
    </w:p>
    <w:p w:rsidR="00BD180C" w:rsidRDefault="00BD180C" w:rsidP="00BD180C">
      <w:pPr>
        <w:pStyle w:val="BCSBulletlevel2"/>
        <w:numPr>
          <w:ilvl w:val="0"/>
          <w:numId w:val="0"/>
        </w:numPr>
        <w:ind w:left="1440"/>
      </w:pPr>
      <w:r>
        <w:t>[</w:t>
      </w:r>
      <w:r w:rsidRPr="00BD180C">
        <w:t>http://partners.becta.org.uk/index.php?section=r</w:t>
      </w:r>
      <w:r>
        <w:t>h&amp;catcode=_re_vi_ng_03&amp;rid=17430]</w:t>
      </w:r>
    </w:p>
    <w:p w:rsidR="00F81118" w:rsidRDefault="00F81118" w:rsidP="00B1214A">
      <w:pPr>
        <w:pStyle w:val="BCSBulletlevel2"/>
      </w:pPr>
      <w:r>
        <w:tab/>
      </w:r>
      <w:hyperlink r:id="rId37" w:history="1">
        <w:r w:rsidRPr="00CC0EBA">
          <w:rPr>
            <w:rStyle w:val="Hyperlink"/>
          </w:rPr>
          <w:t>Helen Burns</w:t>
        </w:r>
        <w:r w:rsidR="002E6EE5" w:rsidRPr="00CC0EBA">
          <w:rPr>
            <w:rStyle w:val="Hyperlink"/>
          </w:rPr>
          <w:t>,</w:t>
        </w:r>
        <w:r w:rsidRPr="00CC0EBA">
          <w:rPr>
            <w:rStyle w:val="Hyperlink"/>
          </w:rPr>
          <w:t xml:space="preserve"> History Teacher</w:t>
        </w:r>
      </w:hyperlink>
      <w:r>
        <w:t xml:space="preserve"> </w:t>
      </w:r>
      <w:r w:rsidR="002E6EE5">
        <w:t>(</w:t>
      </w:r>
      <w:r>
        <w:t>10 minutes</w:t>
      </w:r>
      <w:r w:rsidR="002E6EE5">
        <w:t>)</w:t>
      </w:r>
    </w:p>
    <w:p w:rsidR="00BD180C" w:rsidRDefault="00BD180C" w:rsidP="00BD180C">
      <w:pPr>
        <w:pStyle w:val="BCSBulletlevel2"/>
        <w:numPr>
          <w:ilvl w:val="0"/>
          <w:numId w:val="0"/>
        </w:numPr>
        <w:ind w:left="1440"/>
      </w:pPr>
      <w:r>
        <w:t>[</w:t>
      </w:r>
      <w:r w:rsidRPr="00BD180C">
        <w:t>http://partners.becta.org.uk/index.php?section=rh&amp;catcode=_re_vi_ng_0</w:t>
      </w:r>
      <w:r>
        <w:t>3&amp;rid=17431]</w:t>
      </w:r>
    </w:p>
    <w:p w:rsidR="00F81118" w:rsidRDefault="00CC0EBA" w:rsidP="00B1214A">
      <w:pPr>
        <w:pStyle w:val="BCSBulletlevel2"/>
      </w:pPr>
      <w:hyperlink r:id="rId38" w:history="1">
        <w:r w:rsidR="00F81118" w:rsidRPr="00CC0EBA">
          <w:rPr>
            <w:rStyle w:val="Hyperlink"/>
          </w:rPr>
          <w:t>Gareth March</w:t>
        </w:r>
        <w:r w:rsidR="002E6EE5" w:rsidRPr="00CC0EBA">
          <w:rPr>
            <w:rStyle w:val="Hyperlink"/>
          </w:rPr>
          <w:t>,</w:t>
        </w:r>
        <w:r w:rsidR="00F81118" w:rsidRPr="00CC0EBA">
          <w:rPr>
            <w:rStyle w:val="Hyperlink"/>
          </w:rPr>
          <w:t xml:space="preserve"> Science Teacher</w:t>
        </w:r>
      </w:hyperlink>
      <w:r w:rsidR="00F81118">
        <w:t xml:space="preserve"> </w:t>
      </w:r>
      <w:r w:rsidR="002E6EE5">
        <w:t>(</w:t>
      </w:r>
      <w:r w:rsidR="00F81118">
        <w:t>10 minutes</w:t>
      </w:r>
      <w:r w:rsidR="002E6EE5">
        <w:t>)</w:t>
      </w:r>
    </w:p>
    <w:p w:rsidR="00BD180C" w:rsidRDefault="00BD180C" w:rsidP="00BD180C">
      <w:pPr>
        <w:pStyle w:val="BCSBulletlevel2"/>
        <w:numPr>
          <w:ilvl w:val="0"/>
          <w:numId w:val="0"/>
        </w:numPr>
        <w:ind w:left="1440"/>
      </w:pPr>
      <w:r>
        <w:t>[</w:t>
      </w:r>
      <w:r w:rsidRPr="00BD180C">
        <w:t>http://partners.becta.org.uk/index.php?section=r</w:t>
      </w:r>
      <w:r>
        <w:t>h&amp;catcode=_re_vi_ng_03&amp;rid=17428]</w:t>
      </w:r>
    </w:p>
    <w:p w:rsidR="003959E2" w:rsidRDefault="00F81118" w:rsidP="00B1214A">
      <w:pPr>
        <w:pStyle w:val="BCSBulletlevel2"/>
      </w:pPr>
      <w:r>
        <w:tab/>
      </w:r>
      <w:hyperlink r:id="rId39" w:history="1">
        <w:r w:rsidRPr="00CC0EBA">
          <w:rPr>
            <w:rStyle w:val="Hyperlink"/>
          </w:rPr>
          <w:t>Dr Bevan</w:t>
        </w:r>
        <w:r w:rsidR="002E6EE5" w:rsidRPr="00CC0EBA">
          <w:rPr>
            <w:rStyle w:val="Hyperlink"/>
          </w:rPr>
          <w:t>,</w:t>
        </w:r>
        <w:r w:rsidR="0006048F" w:rsidRPr="00CC0EBA">
          <w:rPr>
            <w:rStyle w:val="Hyperlink"/>
          </w:rPr>
          <w:t xml:space="preserve"> Headt</w:t>
        </w:r>
        <w:r w:rsidRPr="00CC0EBA">
          <w:rPr>
            <w:rStyle w:val="Hyperlink"/>
          </w:rPr>
          <w:t>eacher</w:t>
        </w:r>
      </w:hyperlink>
      <w:r w:rsidR="002E6EE5">
        <w:t>,</w:t>
      </w:r>
      <w:r>
        <w:t xml:space="preserve"> Southend High School for Boys </w:t>
      </w:r>
      <w:r w:rsidR="002E6EE5">
        <w:t xml:space="preserve">(20 minutes, </w:t>
      </w:r>
      <w:r>
        <w:t>separated into chapters</w:t>
      </w:r>
      <w:r w:rsidR="002E6EE5">
        <w:t>)</w:t>
      </w:r>
    </w:p>
    <w:p w:rsidR="00BD180C" w:rsidRDefault="00BD180C" w:rsidP="00BD180C">
      <w:pPr>
        <w:pStyle w:val="BCSBulletlevel2"/>
        <w:numPr>
          <w:ilvl w:val="0"/>
          <w:numId w:val="0"/>
        </w:numPr>
        <w:ind w:left="1440"/>
      </w:pPr>
      <w:r>
        <w:t>[</w:t>
      </w:r>
      <w:r w:rsidRPr="00BD180C">
        <w:t>http://partners.becta.org.uk/index.php?section=rh&amp;catcode=_re_vi_ng_03&amp;rid=17432</w:t>
      </w:r>
      <w:r>
        <w:t>]</w:t>
      </w:r>
    </w:p>
    <w:p w:rsidR="003959E2" w:rsidRDefault="003959E2" w:rsidP="00B1214A">
      <w:pPr>
        <w:pStyle w:val="BCSBulletlevel2"/>
        <w:numPr>
          <w:ilvl w:val="0"/>
          <w:numId w:val="0"/>
        </w:numPr>
      </w:pPr>
    </w:p>
    <w:p w:rsidR="003959E2" w:rsidRDefault="003959E2" w:rsidP="002E6EE5">
      <w:pPr>
        <w:pStyle w:val="BCSBulletlast"/>
        <w:numPr>
          <w:ilvl w:val="0"/>
          <w:numId w:val="0"/>
        </w:numPr>
      </w:pPr>
    </w:p>
    <w:sectPr w:rsidR="003959E2" w:rsidSect="00677FFC">
      <w:headerReference w:type="default" r:id="rId40"/>
      <w:footerReference w:type="even" r:id="rId41"/>
      <w:footerReference w:type="default" r:id="rId42"/>
      <w:headerReference w:type="first" r:id="rId43"/>
      <w:footerReference w:type="first" r:id="rId44"/>
      <w:pgSz w:w="11906" w:h="16838" w:code="9"/>
      <w:pgMar w:top="1440" w:right="1440" w:bottom="1559"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8A6" w:rsidRDefault="005478A6">
      <w:r>
        <w:separator/>
      </w:r>
    </w:p>
    <w:p w:rsidR="005478A6" w:rsidRDefault="005478A6"/>
  </w:endnote>
  <w:endnote w:type="continuationSeparator" w:id="0">
    <w:p w:rsidR="005478A6" w:rsidRDefault="005478A6">
      <w:r>
        <w:continuationSeparator/>
      </w:r>
    </w:p>
    <w:p w:rsidR="005478A6" w:rsidRDefault="005478A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altName w:val="Arial"/>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ndalus">
    <w:charset w:val="B2"/>
    <w:family w:val="auto"/>
    <w:pitch w:val="variable"/>
    <w:sig w:usb0="00006001" w:usb1="00000000" w:usb2="00000000" w:usb3="00000000" w:csb0="00000040"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BoldMT">
    <w:altName w:val="Arial"/>
    <w:panose1 w:val="00000000000000000000"/>
    <w:charset w:val="4D"/>
    <w:family w:val="swiss"/>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F2" w:rsidRDefault="00793BF2">
    <w:pPr>
      <w:pStyle w:val="Footer"/>
    </w:pPr>
  </w:p>
  <w:p w:rsidR="00793BF2" w:rsidRDefault="00793BF2"/>
  <w:p w:rsidR="00793BF2" w:rsidRDefault="00793BF2"/>
  <w:p w:rsidR="00793BF2" w:rsidRDefault="00793BF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F2" w:rsidRDefault="00793BF2" w:rsidP="003959E2">
    <w:pPr>
      <w:pBdr>
        <w:top w:val="single" w:sz="6" w:space="1" w:color="000080"/>
      </w:pBdr>
      <w:tabs>
        <w:tab w:val="center" w:pos="4536"/>
        <w:tab w:val="right" w:pos="9072"/>
        <w:tab w:val="right" w:pos="9214"/>
      </w:tabs>
      <w:spacing w:before="120"/>
      <w:ind w:right="-45"/>
      <w:rPr>
        <w:sz w:val="16"/>
      </w:rPr>
    </w:pPr>
  </w:p>
  <w:p w:rsidR="00793BF2" w:rsidRDefault="00793BF2" w:rsidP="003959E2">
    <w:pPr>
      <w:pStyle w:val="BCSFooter"/>
    </w:pPr>
    <w:r>
      <w:t>December 2009</w:t>
    </w:r>
    <w:r>
      <w:tab/>
    </w:r>
    <w:r w:rsidRPr="00CE4D0D">
      <w:t>http://www.becta.org.uk</w:t>
    </w:r>
    <w:r>
      <w:tab/>
    </w:r>
    <w:r w:rsidRPr="00CE4D0D">
      <w:t xml:space="preserve">page </w:t>
    </w:r>
    <w:fldSimple w:instr=" PAGE ">
      <w:r w:rsidR="000025DD">
        <w:rPr>
          <w:noProof/>
        </w:rPr>
        <w:t>5</w:t>
      </w:r>
    </w:fldSimple>
    <w:r w:rsidRPr="00CE4D0D">
      <w:t xml:space="preserve"> of </w:t>
    </w:r>
    <w:fldSimple w:instr=" NUMPAGES ">
      <w:r w:rsidR="000025DD">
        <w:rPr>
          <w:noProof/>
        </w:rPr>
        <w:t>5</w:t>
      </w:r>
    </w:fldSimple>
  </w:p>
  <w:p w:rsidR="00793BF2" w:rsidRPr="003959E2" w:rsidRDefault="00793BF2" w:rsidP="003959E2">
    <w:pPr>
      <w:pStyle w:val="BCSFooter"/>
      <w:rPr>
        <w:sz w:val="24"/>
        <w:szCs w:val="24"/>
      </w:rPr>
    </w:pPr>
    <w:r>
      <w:t>© Becta 2009</w:t>
    </w:r>
    <w:r>
      <w:tab/>
    </w:r>
    <w:r>
      <w:rPr>
        <w:sz w:val="24"/>
        <w:szCs w:val="24"/>
      </w:rPr>
      <w:t>NOT PROTECTIVELY MARKED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F2" w:rsidRDefault="00793BF2" w:rsidP="003959E2">
    <w:pPr>
      <w:pBdr>
        <w:top w:val="single" w:sz="6" w:space="1" w:color="000080"/>
      </w:pBdr>
      <w:tabs>
        <w:tab w:val="center" w:pos="4536"/>
        <w:tab w:val="right" w:pos="9072"/>
        <w:tab w:val="right" w:pos="9214"/>
      </w:tabs>
      <w:spacing w:before="120"/>
      <w:ind w:right="-45"/>
      <w:rPr>
        <w:sz w:val="16"/>
      </w:rPr>
    </w:pPr>
  </w:p>
  <w:p w:rsidR="00793BF2" w:rsidRDefault="00793BF2" w:rsidP="003959E2">
    <w:pPr>
      <w:pStyle w:val="BCSFooter"/>
    </w:pPr>
    <w:r>
      <w:t>December 2009</w:t>
    </w:r>
    <w:r>
      <w:tab/>
    </w:r>
    <w:r w:rsidRPr="00CE4D0D">
      <w:t>http://www.becta.org.uk</w:t>
    </w:r>
    <w:r>
      <w:tab/>
    </w:r>
    <w:r w:rsidRPr="00CE4D0D">
      <w:t xml:space="preserve">page </w:t>
    </w:r>
    <w:fldSimple w:instr=" PAGE ">
      <w:r w:rsidR="000025DD">
        <w:rPr>
          <w:noProof/>
        </w:rPr>
        <w:t>1</w:t>
      </w:r>
    </w:fldSimple>
    <w:r w:rsidRPr="00CE4D0D">
      <w:t xml:space="preserve"> of </w:t>
    </w:r>
    <w:fldSimple w:instr=" NUMPAGES ">
      <w:r w:rsidR="000025DD">
        <w:rPr>
          <w:noProof/>
        </w:rPr>
        <w:t>1</w:t>
      </w:r>
    </w:fldSimple>
  </w:p>
  <w:p w:rsidR="00793BF2" w:rsidRPr="00E214D5" w:rsidRDefault="00793BF2" w:rsidP="003959E2">
    <w:pPr>
      <w:pStyle w:val="BCSFooter"/>
      <w:rPr>
        <w:sz w:val="24"/>
        <w:szCs w:val="24"/>
      </w:rPr>
    </w:pPr>
    <w:r>
      <w:t>© Becta 2009</w:t>
    </w:r>
    <w:r>
      <w:tab/>
    </w:r>
    <w:r>
      <w:rPr>
        <w:sz w:val="24"/>
        <w:szCs w:val="24"/>
      </w:rPr>
      <w:t>NOT PROTECTIVELY MARKED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8A6" w:rsidRDefault="005478A6">
      <w:r>
        <w:separator/>
      </w:r>
    </w:p>
    <w:p w:rsidR="005478A6" w:rsidRDefault="005478A6"/>
  </w:footnote>
  <w:footnote w:type="continuationSeparator" w:id="0">
    <w:p w:rsidR="005478A6" w:rsidRDefault="005478A6">
      <w:r>
        <w:continuationSeparator/>
      </w:r>
    </w:p>
    <w:p w:rsidR="005478A6" w:rsidRDefault="005478A6"/>
  </w:footnote>
  <w:footnote w:id="1">
    <w:p w:rsidR="00793BF2" w:rsidRPr="006D17CC" w:rsidRDefault="00793BF2" w:rsidP="006D17CC">
      <w:pPr>
        <w:pStyle w:val="FootnoteText"/>
      </w:pPr>
      <w:r w:rsidRPr="006D17CC">
        <w:rPr>
          <w:rStyle w:val="FootnoteReference"/>
          <w:rFonts w:eastAsia="Calibri"/>
        </w:rPr>
        <w:footnoteRef/>
      </w:r>
      <w:r w:rsidRPr="006D17CC">
        <w:t xml:space="preserve"> Becta</w:t>
      </w:r>
      <w:r>
        <w:t>,</w:t>
      </w:r>
      <w:r w:rsidRPr="006D17CC">
        <w:t xml:space="preserve"> 2008</w:t>
      </w:r>
    </w:p>
  </w:footnote>
  <w:footnote w:id="2">
    <w:p w:rsidR="00793BF2" w:rsidRPr="006D17CC" w:rsidRDefault="00793BF2" w:rsidP="006D17CC">
      <w:pPr>
        <w:pStyle w:val="FootnoteText"/>
      </w:pPr>
      <w:r w:rsidRPr="00D35C7F">
        <w:rPr>
          <w:rStyle w:val="FootnoteReference"/>
          <w:rFonts w:eastAsia="Calibri"/>
        </w:rPr>
        <w:footnoteRef/>
      </w:r>
      <w:r w:rsidRPr="006D17CC">
        <w:t xml:space="preserve"> Anderson et al</w:t>
      </w:r>
      <w:r>
        <w:t>,</w:t>
      </w:r>
      <w:r w:rsidRPr="006D17CC">
        <w:t xml:space="preserve"> 2000</w:t>
      </w:r>
    </w:p>
  </w:footnote>
  <w:footnote w:id="3">
    <w:p w:rsidR="00793BF2" w:rsidRPr="006D17CC" w:rsidRDefault="00793BF2" w:rsidP="006D17CC">
      <w:pPr>
        <w:pStyle w:val="FootnoteText"/>
      </w:pPr>
      <w:r w:rsidRPr="00D35C7F">
        <w:rPr>
          <w:rStyle w:val="FootnoteReference"/>
          <w:rFonts w:eastAsia="Calibri"/>
        </w:rPr>
        <w:footnoteRef/>
      </w:r>
      <w:r w:rsidRPr="006D17CC">
        <w:t xml:space="preserve"> Lucey and Reay</w:t>
      </w:r>
      <w:r>
        <w:t>,</w:t>
      </w:r>
      <w:r w:rsidRPr="006D17CC">
        <w:t xml:space="preserve"> 2000 </w:t>
      </w:r>
    </w:p>
  </w:footnote>
  <w:footnote w:id="4">
    <w:p w:rsidR="00793BF2" w:rsidRPr="00B55D7E" w:rsidRDefault="00793BF2" w:rsidP="006D17CC">
      <w:pPr>
        <w:pStyle w:val="FootnoteText"/>
      </w:pPr>
      <w:r w:rsidRPr="00D35C7F">
        <w:rPr>
          <w:rStyle w:val="FootnoteReference"/>
          <w:rFonts w:eastAsia="Calibri"/>
        </w:rPr>
        <w:footnoteRef/>
      </w:r>
      <w:r w:rsidRPr="006D17CC">
        <w:t xml:space="preserve"> Dockett and Perry</w:t>
      </w:r>
      <w:r>
        <w:t>,</w:t>
      </w:r>
      <w:r w:rsidRPr="006D17CC">
        <w:t xml:space="preserve"> 2004</w:t>
      </w:r>
    </w:p>
  </w:footnote>
  <w:footnote w:id="5">
    <w:p w:rsidR="00793BF2" w:rsidRPr="00357BE6" w:rsidRDefault="00793BF2" w:rsidP="009D03A7">
      <w:pPr>
        <w:pStyle w:val="FootnoteText"/>
      </w:pPr>
      <w:r>
        <w:rPr>
          <w:rStyle w:val="FootnoteReference"/>
        </w:rPr>
        <w:footnoteRef/>
      </w:r>
      <w:r>
        <w:t xml:space="preserve"> See Borgatti et al, 2002 for a fuller description of the method of analysis. </w:t>
      </w:r>
    </w:p>
  </w:footnote>
  <w:footnote w:id="6">
    <w:p w:rsidR="00793BF2" w:rsidRPr="005070C6" w:rsidRDefault="00793BF2" w:rsidP="00477373">
      <w:pPr>
        <w:pStyle w:val="FootnoteText"/>
        <w:ind w:left="284" w:hanging="284"/>
        <w:rPr>
          <w:sz w:val="18"/>
        </w:rPr>
      </w:pPr>
      <w:r w:rsidRPr="00D96FC6">
        <w:rPr>
          <w:rStyle w:val="FootnoteReference"/>
          <w:rFonts w:eastAsia="Calibri"/>
          <w:sz w:val="18"/>
        </w:rPr>
        <w:footnoteRef/>
      </w:r>
      <w:r w:rsidRPr="00D96FC6">
        <w:rPr>
          <w:sz w:val="18"/>
        </w:rPr>
        <w:t xml:space="preserve"> </w:t>
      </w:r>
      <w:r w:rsidRPr="00D96FC6">
        <w:rPr>
          <w:sz w:val="18"/>
        </w:rPr>
        <w:tab/>
      </w:r>
      <w:r>
        <w:rPr>
          <w:rFonts w:cs="Helvetica"/>
          <w:sz w:val="18"/>
          <w:szCs w:val="26"/>
          <w:lang w:val="en-US" w:bidi="en-US"/>
        </w:rPr>
        <w:t>Katz 1989</w:t>
      </w:r>
    </w:p>
  </w:footnote>
  <w:footnote w:id="7">
    <w:p w:rsidR="00793BF2" w:rsidRPr="005070C6" w:rsidRDefault="00793BF2" w:rsidP="000256E7">
      <w:pPr>
        <w:tabs>
          <w:tab w:val="left" w:pos="360"/>
        </w:tabs>
        <w:ind w:left="284" w:hanging="284"/>
        <w:rPr>
          <w:sz w:val="18"/>
        </w:rPr>
      </w:pPr>
      <w:r w:rsidRPr="005070C6">
        <w:rPr>
          <w:rStyle w:val="FootnoteReference"/>
          <w:rFonts w:eastAsia="Calibri"/>
          <w:sz w:val="18"/>
        </w:rPr>
        <w:footnoteRef/>
      </w:r>
      <w:r>
        <w:rPr>
          <w:sz w:val="18"/>
        </w:rPr>
        <w:tab/>
        <w:t>Underwood et al 2007</w:t>
      </w:r>
    </w:p>
  </w:footnote>
  <w:footnote w:id="8">
    <w:p w:rsidR="00793BF2" w:rsidRDefault="00793BF2" w:rsidP="000256E7">
      <w:pPr>
        <w:tabs>
          <w:tab w:val="left" w:pos="709"/>
        </w:tabs>
        <w:ind w:left="284" w:hanging="284"/>
      </w:pPr>
      <w:r w:rsidRPr="005070C6">
        <w:rPr>
          <w:rStyle w:val="FootnoteReference"/>
          <w:rFonts w:eastAsia="Calibri"/>
          <w:sz w:val="18"/>
        </w:rPr>
        <w:footnoteRef/>
      </w:r>
      <w:r>
        <w:rPr>
          <w:sz w:val="18"/>
        </w:rPr>
        <w:t xml:space="preserve"> </w:t>
      </w:r>
      <w:r>
        <w:rPr>
          <w:sz w:val="18"/>
        </w:rPr>
        <w:tab/>
      </w:r>
      <w:r>
        <w:rPr>
          <w:webHidden/>
          <w:sz w:val="18"/>
          <w:szCs w:val="18"/>
        </w:rPr>
        <w:t>Underwood and</w:t>
      </w:r>
      <w:r w:rsidRPr="005070C6">
        <w:rPr>
          <w:webHidden/>
          <w:sz w:val="18"/>
          <w:szCs w:val="18"/>
        </w:rPr>
        <w:t xml:space="preserve"> Banya</w:t>
      </w:r>
      <w:r>
        <w:rPr>
          <w:webHidden/>
          <w:sz w:val="18"/>
          <w:szCs w:val="18"/>
        </w:rPr>
        <w:t>rd 2008</w:t>
      </w:r>
    </w:p>
  </w:footnote>
  <w:footnote w:id="9">
    <w:p w:rsidR="00793BF2" w:rsidRPr="005D211C" w:rsidRDefault="00793BF2" w:rsidP="00847610">
      <w:pPr>
        <w:ind w:left="7" w:firstLine="1"/>
      </w:pPr>
      <w:r w:rsidRPr="005D211C">
        <w:rPr>
          <w:rStyle w:val="FootnoteReference"/>
          <w:rFonts w:eastAsia="Calibri"/>
          <w:sz w:val="18"/>
          <w:szCs w:val="18"/>
        </w:rPr>
        <w:footnoteRef/>
      </w:r>
      <w:r w:rsidRPr="00847610">
        <w:t>Kendall et al, 2008</w:t>
      </w:r>
    </w:p>
  </w:footnote>
  <w:footnote w:id="10">
    <w:p w:rsidR="00793BF2" w:rsidRPr="004C5ECE" w:rsidRDefault="00793BF2" w:rsidP="002C5611">
      <w:pPr>
        <w:pStyle w:val="FootnoteText"/>
        <w:rPr>
          <w:sz w:val="18"/>
        </w:rPr>
      </w:pPr>
      <w:r w:rsidRPr="004C5ECE">
        <w:rPr>
          <w:rStyle w:val="FootnoteReference"/>
          <w:rFonts w:eastAsia="Calibri"/>
          <w:sz w:val="18"/>
        </w:rPr>
        <w:footnoteRef/>
      </w:r>
      <w:r w:rsidRPr="004C5ECE">
        <w:rPr>
          <w:sz w:val="18"/>
        </w:rPr>
        <w:t xml:space="preserve"> Underwood </w:t>
      </w:r>
      <w:r>
        <w:rPr>
          <w:iCs/>
          <w:sz w:val="18"/>
        </w:rPr>
        <w:t>et al,</w:t>
      </w:r>
      <w:r w:rsidRPr="004C5ECE">
        <w:rPr>
          <w:sz w:val="18"/>
        </w:rPr>
        <w:t xml:space="preserve"> 2008</w:t>
      </w:r>
    </w:p>
  </w:footnote>
  <w:footnote w:id="11">
    <w:p w:rsidR="00793BF2" w:rsidRPr="004646F2" w:rsidRDefault="00793BF2" w:rsidP="004646F2">
      <w:pPr>
        <w:pStyle w:val="BCSParagraph"/>
        <w:tabs>
          <w:tab w:val="left" w:pos="567"/>
        </w:tabs>
        <w:spacing w:after="120" w:line="240" w:lineRule="auto"/>
        <w:rPr>
          <w:rFonts w:ascii="Verdana" w:hAnsi="Verdana"/>
          <w:sz w:val="18"/>
        </w:rPr>
      </w:pPr>
      <w:r w:rsidRPr="004C5ECE">
        <w:rPr>
          <w:rStyle w:val="FootnoteReference"/>
          <w:rFonts w:eastAsia="Calibri"/>
          <w:sz w:val="18"/>
        </w:rPr>
        <w:footnoteRef/>
      </w:r>
      <w:r w:rsidRPr="004C5ECE">
        <w:rPr>
          <w:rFonts w:ascii="Verdana" w:hAnsi="Verdana"/>
          <w:sz w:val="18"/>
        </w:rPr>
        <w:t xml:space="preserve"> </w:t>
      </w:r>
      <w:r w:rsidRPr="004646F2">
        <w:rPr>
          <w:rStyle w:val="FootnoteTextChar"/>
          <w:sz w:val="18"/>
          <w:szCs w:val="18"/>
        </w:rPr>
        <w:t>Hollingworth et al, 2008</w:t>
      </w:r>
    </w:p>
  </w:footnote>
  <w:footnote w:id="12">
    <w:p w:rsidR="00793BF2" w:rsidRPr="00467355" w:rsidRDefault="00793BF2" w:rsidP="002C5611">
      <w:pPr>
        <w:pStyle w:val="FootnoteText"/>
        <w:rPr>
          <w:sz w:val="18"/>
          <w:szCs w:val="18"/>
        </w:rPr>
      </w:pPr>
      <w:r w:rsidRPr="00467355">
        <w:rPr>
          <w:rStyle w:val="FootnoteReference"/>
          <w:rFonts w:eastAsia="Calibri"/>
          <w:sz w:val="18"/>
          <w:szCs w:val="18"/>
        </w:rPr>
        <w:footnoteRef/>
      </w:r>
      <w:r>
        <w:rPr>
          <w:sz w:val="18"/>
          <w:szCs w:val="18"/>
        </w:rPr>
        <w:t xml:space="preserve"> DCSF, 2009</w:t>
      </w:r>
    </w:p>
  </w:footnote>
  <w:footnote w:id="13">
    <w:p w:rsidR="00793BF2" w:rsidRPr="00F71862" w:rsidRDefault="00793BF2" w:rsidP="00D12FCD">
      <w:pPr>
        <w:pStyle w:val="FootnoteText"/>
        <w:rPr>
          <w:rFonts w:ascii="Courier New" w:eastAsia="SimSun" w:hAnsi="Courier New" w:cs="Courier New"/>
          <w:sz w:val="18"/>
          <w:szCs w:val="18"/>
          <w:lang w:eastAsia="zh-CN"/>
        </w:rPr>
      </w:pPr>
      <w:r>
        <w:rPr>
          <w:rStyle w:val="FootnoteReference"/>
          <w:rFonts w:eastAsia="Calibri"/>
        </w:rPr>
        <w:footnoteRef/>
      </w:r>
      <w:r>
        <w:t xml:space="preserve"> </w:t>
      </w:r>
      <w:r w:rsidRPr="00D12FCD">
        <w:rPr>
          <w:rFonts w:eastAsia="SimSun"/>
          <w:sz w:val="18"/>
          <w:szCs w:val="18"/>
        </w:rPr>
        <w:t>Diamond, 2001</w:t>
      </w:r>
    </w:p>
  </w:footnote>
  <w:footnote w:id="14">
    <w:p w:rsidR="00793BF2" w:rsidRDefault="00793BF2">
      <w:pPr>
        <w:pStyle w:val="FootnoteText"/>
      </w:pPr>
      <w:r>
        <w:rPr>
          <w:rStyle w:val="FootnoteReference"/>
        </w:rPr>
        <w:footnoteRef/>
      </w:r>
      <w:r>
        <w:t xml:space="preserve"> SAM Learning</w:t>
      </w:r>
    </w:p>
    <w:p w:rsidR="00793BF2" w:rsidRDefault="00793BF2">
      <w:pPr>
        <w:pStyle w:val="FootnoteText"/>
      </w:pPr>
      <w:r>
        <w:t>www.samlearning.com</w:t>
      </w:r>
    </w:p>
  </w:footnote>
  <w:footnote w:id="15">
    <w:p w:rsidR="00793BF2" w:rsidRDefault="00793BF2">
      <w:pPr>
        <w:pStyle w:val="FootnoteText"/>
      </w:pPr>
      <w:r>
        <w:rPr>
          <w:rStyle w:val="FootnoteReference"/>
        </w:rPr>
        <w:footnoteRef/>
      </w:r>
      <w:r>
        <w:t xml:space="preserve"> MyMaths</w:t>
      </w:r>
    </w:p>
    <w:p w:rsidR="00793BF2" w:rsidRPr="0064287B" w:rsidRDefault="00793BF2">
      <w:pPr>
        <w:pStyle w:val="FootnoteText"/>
      </w:pPr>
      <w:r w:rsidRPr="0064287B">
        <w:t>www.mymaths.co.uk/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F2" w:rsidRDefault="00793BF2" w:rsidP="00671BA5">
    <w:pPr>
      <w:pBdr>
        <w:top w:val="single" w:sz="6" w:space="6" w:color="000080"/>
        <w:bottom w:val="single" w:sz="6" w:space="6" w:color="000080"/>
      </w:pBdr>
      <w:spacing w:after="480"/>
      <w:rPr>
        <w:sz w:val="16"/>
        <w:szCs w:val="16"/>
      </w:rPr>
    </w:pPr>
    <w:r w:rsidRPr="00D40994">
      <w:rPr>
        <w:rStyle w:val="BCSHeadertitleChar"/>
      </w:rPr>
      <w:t>Becta |</w:t>
    </w:r>
    <w:r>
      <w:rPr>
        <w:sz w:val="16"/>
        <w:szCs w:val="16"/>
      </w:rPr>
      <w:t xml:space="preserve"> </w:t>
    </w:r>
    <w:r>
      <w:rPr>
        <w:rStyle w:val="BCSHeadertitleChar"/>
      </w:rPr>
      <w:t>Narrowing the gap: An exploration of the ways technology can support approaches to narrowing the gap for underachieving and low-achieving learners in secondary schools</w:t>
    </w:r>
  </w:p>
  <w:p w:rsidR="00793BF2" w:rsidRDefault="00793BF2"/>
  <w:p w:rsidR="00793BF2" w:rsidRDefault="00793BF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000080"/>
      </w:tblBorders>
      <w:tblLayout w:type="fixed"/>
      <w:tblLook w:val="0000"/>
    </w:tblPr>
    <w:tblGrid>
      <w:gridCol w:w="3686"/>
      <w:gridCol w:w="5386"/>
    </w:tblGrid>
    <w:tr w:rsidR="00793BF2">
      <w:trPr>
        <w:trHeight w:hRule="exact" w:val="57"/>
      </w:trPr>
      <w:tc>
        <w:tcPr>
          <w:tcW w:w="3686" w:type="dxa"/>
          <w:tcBorders>
            <w:top w:val="single" w:sz="6" w:space="0" w:color="000080"/>
            <w:left w:val="nil"/>
            <w:bottom w:val="nil"/>
            <w:right w:val="nil"/>
          </w:tcBorders>
        </w:tcPr>
        <w:p w:rsidR="00793BF2" w:rsidRDefault="00793BF2" w:rsidP="00677FFC"/>
      </w:tc>
      <w:tc>
        <w:tcPr>
          <w:tcW w:w="5386" w:type="dxa"/>
          <w:tcBorders>
            <w:top w:val="single" w:sz="6" w:space="0" w:color="000080"/>
            <w:left w:val="nil"/>
            <w:bottom w:val="nil"/>
            <w:right w:val="nil"/>
          </w:tcBorders>
        </w:tcPr>
        <w:p w:rsidR="00793BF2" w:rsidRDefault="00793BF2" w:rsidP="00677FFC">
          <w:pPr>
            <w:spacing w:before="20"/>
          </w:pPr>
        </w:p>
      </w:tc>
    </w:tr>
    <w:tr w:rsidR="00793BF2">
      <w:trPr>
        <w:trHeight w:val="888"/>
      </w:trPr>
      <w:tc>
        <w:tcPr>
          <w:tcW w:w="3686" w:type="dxa"/>
          <w:tcBorders>
            <w:top w:val="nil"/>
            <w:left w:val="nil"/>
            <w:bottom w:val="nil"/>
            <w:right w:val="nil"/>
          </w:tcBorders>
        </w:tcPr>
        <w:p w:rsidR="00793BF2" w:rsidRDefault="00793BF2" w:rsidP="00677FFC">
          <w:pPr>
            <w:spacing w:before="120" w:after="60"/>
            <w:ind w:right="27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36pt">
                <v:imagedata r:id="rId1" o:title="logo_for_word_template"/>
              </v:shape>
            </w:pict>
          </w:r>
        </w:p>
      </w:tc>
      <w:tc>
        <w:tcPr>
          <w:tcW w:w="5386" w:type="dxa"/>
          <w:tcBorders>
            <w:top w:val="nil"/>
            <w:left w:val="nil"/>
            <w:bottom w:val="nil"/>
            <w:right w:val="nil"/>
          </w:tcBorders>
          <w:tcMar>
            <w:left w:w="0" w:type="dxa"/>
            <w:right w:w="0" w:type="dxa"/>
          </w:tcMar>
        </w:tcPr>
        <w:p w:rsidR="00793BF2" w:rsidRPr="00725A96" w:rsidRDefault="00793BF2" w:rsidP="00671BA5">
          <w:pPr>
            <w:pStyle w:val="BCSHeaderdocumenttitle"/>
            <w:rPr>
              <w:sz w:val="18"/>
              <w:szCs w:val="18"/>
            </w:rPr>
          </w:pPr>
          <w:r>
            <w:t>Narrowing the gap:  An exploration of the ways technology can support approaches to narrowing the gap for underachieving and low-achieving learners in secondary schools</w:t>
          </w:r>
        </w:p>
      </w:tc>
    </w:tr>
  </w:tbl>
  <w:p w:rsidR="00793BF2" w:rsidRDefault="00793BF2"/>
  <w:p w:rsidR="00793BF2" w:rsidRDefault="00793BF2"/>
  <w:p w:rsidR="00793BF2" w:rsidRDefault="00793B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52014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CAE1B0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B56F5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3052017A"/>
    <w:lvl w:ilvl="0">
      <w:start w:val="1"/>
      <w:numFmt w:val="decimal"/>
      <w:pStyle w:val="ListNumber2"/>
      <w:lvlText w:val="%1."/>
      <w:lvlJc w:val="left"/>
      <w:pPr>
        <w:tabs>
          <w:tab w:val="num" w:pos="643"/>
        </w:tabs>
        <w:ind w:left="643" w:hanging="360"/>
      </w:pPr>
    </w:lvl>
  </w:abstractNum>
  <w:abstractNum w:abstractNumId="4">
    <w:nsid w:val="FFFFFF80"/>
    <w:multiLevelType w:val="singleLevel"/>
    <w:tmpl w:val="0076F8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186626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146AC1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D4E83F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3584F78"/>
    <w:lvl w:ilvl="0">
      <w:start w:val="1"/>
      <w:numFmt w:val="decimal"/>
      <w:pStyle w:val="ListNumber"/>
      <w:lvlText w:val="%1."/>
      <w:lvlJc w:val="left"/>
      <w:pPr>
        <w:tabs>
          <w:tab w:val="num" w:pos="360"/>
        </w:tabs>
        <w:ind w:left="360" w:hanging="360"/>
      </w:pPr>
    </w:lvl>
  </w:abstractNum>
  <w:abstractNum w:abstractNumId="9">
    <w:nsid w:val="FFFFFF89"/>
    <w:multiLevelType w:val="singleLevel"/>
    <w:tmpl w:val="432EA6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9AFC6090"/>
    <w:lvl w:ilvl="0">
      <w:start w:val="1"/>
      <w:numFmt w:val="upperLetter"/>
      <w:pStyle w:val="Heading4"/>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FFFFFFFE"/>
    <w:multiLevelType w:val="singleLevel"/>
    <w:tmpl w:val="3F589C22"/>
    <w:lvl w:ilvl="0">
      <w:numFmt w:val="bullet"/>
      <w:pStyle w:val="BCSBulletparagraph"/>
      <w:lvlText w:val="*"/>
      <w:lvlJc w:val="left"/>
    </w:lvl>
  </w:abstractNum>
  <w:abstractNum w:abstractNumId="12">
    <w:nsid w:val="0DFD596F"/>
    <w:multiLevelType w:val="hybridMultilevel"/>
    <w:tmpl w:val="9326AB4A"/>
    <w:lvl w:ilvl="0" w:tplc="C3648A1E">
      <w:start w:val="1"/>
      <w:numFmt w:val="bullet"/>
      <w:pStyle w:val="Style1"/>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13D61F7"/>
    <w:multiLevelType w:val="multilevel"/>
    <w:tmpl w:val="00867D14"/>
    <w:lvl w:ilvl="0">
      <w:start w:val="1"/>
      <w:numFmt w:val="decimal"/>
      <w:lvlText w:val="%1"/>
      <w:lvlJc w:val="left"/>
      <w:pPr>
        <w:tabs>
          <w:tab w:val="num" w:pos="1440"/>
        </w:tabs>
        <w:ind w:left="1080" w:hanging="1080"/>
      </w:pPr>
      <w:rPr>
        <w:rFonts w:ascii="Arial" w:hAnsi="Arial"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7AA6625"/>
    <w:multiLevelType w:val="hybridMultilevel"/>
    <w:tmpl w:val="B7E8E244"/>
    <w:lvl w:ilvl="0" w:tplc="000F0409">
      <w:start w:val="1"/>
      <w:numFmt w:val="decimal"/>
      <w:lvlText w:val="%1."/>
      <w:lvlJc w:val="left"/>
      <w:pPr>
        <w:tabs>
          <w:tab w:val="num" w:pos="800"/>
        </w:tabs>
        <w:ind w:left="800" w:hanging="360"/>
      </w:pPr>
    </w:lvl>
    <w:lvl w:ilvl="1" w:tplc="00190409" w:tentative="1">
      <w:start w:val="1"/>
      <w:numFmt w:val="lowerLetter"/>
      <w:lvlText w:val="%2."/>
      <w:lvlJc w:val="left"/>
      <w:pPr>
        <w:tabs>
          <w:tab w:val="num" w:pos="1520"/>
        </w:tabs>
        <w:ind w:left="1520" w:hanging="360"/>
      </w:pPr>
    </w:lvl>
    <w:lvl w:ilvl="2" w:tplc="001B0409" w:tentative="1">
      <w:start w:val="1"/>
      <w:numFmt w:val="lowerRoman"/>
      <w:lvlText w:val="%3."/>
      <w:lvlJc w:val="right"/>
      <w:pPr>
        <w:tabs>
          <w:tab w:val="num" w:pos="2240"/>
        </w:tabs>
        <w:ind w:left="2240" w:hanging="180"/>
      </w:pPr>
    </w:lvl>
    <w:lvl w:ilvl="3" w:tplc="000F0409" w:tentative="1">
      <w:start w:val="1"/>
      <w:numFmt w:val="decimal"/>
      <w:lvlText w:val="%4."/>
      <w:lvlJc w:val="left"/>
      <w:pPr>
        <w:tabs>
          <w:tab w:val="num" w:pos="2960"/>
        </w:tabs>
        <w:ind w:left="2960" w:hanging="360"/>
      </w:pPr>
    </w:lvl>
    <w:lvl w:ilvl="4" w:tplc="00190409" w:tentative="1">
      <w:start w:val="1"/>
      <w:numFmt w:val="lowerLetter"/>
      <w:lvlText w:val="%5."/>
      <w:lvlJc w:val="left"/>
      <w:pPr>
        <w:tabs>
          <w:tab w:val="num" w:pos="3680"/>
        </w:tabs>
        <w:ind w:left="3680" w:hanging="360"/>
      </w:pPr>
    </w:lvl>
    <w:lvl w:ilvl="5" w:tplc="001B0409" w:tentative="1">
      <w:start w:val="1"/>
      <w:numFmt w:val="lowerRoman"/>
      <w:lvlText w:val="%6."/>
      <w:lvlJc w:val="right"/>
      <w:pPr>
        <w:tabs>
          <w:tab w:val="num" w:pos="4400"/>
        </w:tabs>
        <w:ind w:left="4400" w:hanging="180"/>
      </w:pPr>
    </w:lvl>
    <w:lvl w:ilvl="6" w:tplc="000F0409" w:tentative="1">
      <w:start w:val="1"/>
      <w:numFmt w:val="decimal"/>
      <w:lvlText w:val="%7."/>
      <w:lvlJc w:val="left"/>
      <w:pPr>
        <w:tabs>
          <w:tab w:val="num" w:pos="5120"/>
        </w:tabs>
        <w:ind w:left="5120" w:hanging="360"/>
      </w:pPr>
    </w:lvl>
    <w:lvl w:ilvl="7" w:tplc="00190409" w:tentative="1">
      <w:start w:val="1"/>
      <w:numFmt w:val="lowerLetter"/>
      <w:lvlText w:val="%8."/>
      <w:lvlJc w:val="left"/>
      <w:pPr>
        <w:tabs>
          <w:tab w:val="num" w:pos="5840"/>
        </w:tabs>
        <w:ind w:left="5840" w:hanging="360"/>
      </w:pPr>
    </w:lvl>
    <w:lvl w:ilvl="8" w:tplc="001B0409" w:tentative="1">
      <w:start w:val="1"/>
      <w:numFmt w:val="lowerRoman"/>
      <w:lvlText w:val="%9."/>
      <w:lvlJc w:val="right"/>
      <w:pPr>
        <w:tabs>
          <w:tab w:val="num" w:pos="6560"/>
        </w:tabs>
        <w:ind w:left="6560" w:hanging="180"/>
      </w:pPr>
    </w:lvl>
  </w:abstractNum>
  <w:abstractNum w:abstractNumId="15">
    <w:nsid w:val="27D70A19"/>
    <w:multiLevelType w:val="singleLevel"/>
    <w:tmpl w:val="65A02D44"/>
    <w:lvl w:ilvl="0">
      <w:start w:val="1"/>
      <w:numFmt w:val="bullet"/>
      <w:pStyle w:val="BCSBulletlevel2"/>
      <w:lvlText w:val="o"/>
      <w:lvlJc w:val="left"/>
      <w:pPr>
        <w:tabs>
          <w:tab w:val="num" w:pos="1440"/>
        </w:tabs>
        <w:ind w:left="1440" w:hanging="360"/>
      </w:pPr>
      <w:rPr>
        <w:rFonts w:ascii="Courier New" w:hAnsi="Courier New" w:hint="default"/>
        <w:sz w:val="24"/>
      </w:rPr>
    </w:lvl>
  </w:abstractNum>
  <w:abstractNum w:abstractNumId="16">
    <w:nsid w:val="2D751F17"/>
    <w:multiLevelType w:val="hybridMultilevel"/>
    <w:tmpl w:val="5C386AA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3FAF6E02"/>
    <w:multiLevelType w:val="hybridMultilevel"/>
    <w:tmpl w:val="5ACA85AC"/>
    <w:lvl w:ilvl="0" w:tplc="B78647C8">
      <w:start w:val="1"/>
      <w:numFmt w:val="decimal"/>
      <w:pStyle w:val="BCSBulletnumbered"/>
      <w:lvlText w:val="%1"/>
      <w:lvlJc w:val="left"/>
      <w:pPr>
        <w:tabs>
          <w:tab w:val="num" w:pos="1440"/>
        </w:tabs>
        <w:ind w:left="1440" w:hanging="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nsid w:val="54F920B0"/>
    <w:multiLevelType w:val="hybridMultilevel"/>
    <w:tmpl w:val="66DEB750"/>
    <w:lvl w:ilvl="0" w:tplc="31029856">
      <w:start w:val="1"/>
      <w:numFmt w:val="bullet"/>
      <w:pStyle w:val="Style2"/>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E9721E7"/>
    <w:multiLevelType w:val="multilevel"/>
    <w:tmpl w:val="F14A36B4"/>
    <w:lvl w:ilvl="0">
      <w:numFmt w:val="bullet"/>
      <w:lvlText w:val="*"/>
      <w:lvlJc w:val="left"/>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81625EE"/>
    <w:multiLevelType w:val="hybridMultilevel"/>
    <w:tmpl w:val="9372F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7C9C37B0"/>
    <w:multiLevelType w:val="hybridMultilevel"/>
    <w:tmpl w:val="269C7B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7FBA4D13"/>
    <w:multiLevelType w:val="hybridMultilevel"/>
    <w:tmpl w:val="B40266BE"/>
    <w:lvl w:ilvl="0" w:tplc="14A42E1E">
      <w:start w:val="1"/>
      <w:numFmt w:val="decimal"/>
      <w:pStyle w:val="BCSHeadingBnumbered"/>
      <w:lvlText w:val="%1"/>
      <w:lvlJc w:val="left"/>
      <w:pPr>
        <w:tabs>
          <w:tab w:val="num" w:pos="720"/>
        </w:tabs>
        <w:ind w:left="720" w:hanging="720"/>
      </w:pPr>
      <w:rPr>
        <w:rFonts w:hint="default"/>
      </w:rPr>
    </w:lvl>
    <w:lvl w:ilvl="1" w:tplc="8A58C75E">
      <w:start w:val="1"/>
      <w:numFmt w:val="decimal"/>
      <w:lvlText w:val="%2."/>
      <w:lvlJc w:val="left"/>
      <w:pPr>
        <w:tabs>
          <w:tab w:val="num" w:pos="0"/>
        </w:tabs>
        <w:ind w:left="357" w:hanging="357"/>
      </w:pPr>
      <w:rPr>
        <w:rFonts w:hint="default"/>
      </w:rPr>
    </w:lvl>
    <w:lvl w:ilvl="2" w:tplc="0068DDC6">
      <w:numFmt w:val="none"/>
      <w:lvlText w:val=""/>
      <w:lvlJc w:val="left"/>
      <w:pPr>
        <w:tabs>
          <w:tab w:val="num" w:pos="360"/>
        </w:tabs>
      </w:pPr>
    </w:lvl>
    <w:lvl w:ilvl="3" w:tplc="7304F3B2">
      <w:numFmt w:val="none"/>
      <w:lvlText w:val=""/>
      <w:lvlJc w:val="left"/>
      <w:pPr>
        <w:tabs>
          <w:tab w:val="num" w:pos="360"/>
        </w:tabs>
      </w:pPr>
    </w:lvl>
    <w:lvl w:ilvl="4" w:tplc="A6A6B026">
      <w:numFmt w:val="none"/>
      <w:lvlText w:val=""/>
      <w:lvlJc w:val="left"/>
      <w:pPr>
        <w:tabs>
          <w:tab w:val="num" w:pos="360"/>
        </w:tabs>
      </w:pPr>
    </w:lvl>
    <w:lvl w:ilvl="5" w:tplc="249493C0">
      <w:numFmt w:val="none"/>
      <w:lvlText w:val=""/>
      <w:lvlJc w:val="left"/>
      <w:pPr>
        <w:tabs>
          <w:tab w:val="num" w:pos="360"/>
        </w:tabs>
      </w:pPr>
    </w:lvl>
    <w:lvl w:ilvl="6" w:tplc="97FADB92">
      <w:numFmt w:val="none"/>
      <w:lvlText w:val=""/>
      <w:lvlJc w:val="left"/>
      <w:pPr>
        <w:tabs>
          <w:tab w:val="num" w:pos="360"/>
        </w:tabs>
      </w:pPr>
    </w:lvl>
    <w:lvl w:ilvl="7" w:tplc="0CC8B6A2">
      <w:numFmt w:val="none"/>
      <w:lvlText w:val=""/>
      <w:lvlJc w:val="left"/>
      <w:pPr>
        <w:tabs>
          <w:tab w:val="num" w:pos="360"/>
        </w:tabs>
      </w:pPr>
    </w:lvl>
    <w:lvl w:ilvl="8" w:tplc="179C2142">
      <w:numFmt w:val="none"/>
      <w:lvlText w:val=""/>
      <w:lvlJc w:val="left"/>
      <w:pPr>
        <w:tabs>
          <w:tab w:val="num" w:pos="360"/>
        </w:tabs>
      </w:pPr>
    </w:lvl>
  </w:abstractNum>
  <w:num w:numId="1">
    <w:abstractNumId w:val="10"/>
  </w:num>
  <w:num w:numId="2">
    <w:abstractNumId w:val="11"/>
    <w:lvlOverride w:ilvl="0">
      <w:lvl w:ilvl="0">
        <w:start w:val="1"/>
        <w:numFmt w:val="bullet"/>
        <w:pStyle w:val="BCSBulletparagraph"/>
        <w:lvlText w:val=""/>
        <w:lvlJc w:val="left"/>
        <w:pPr>
          <w:tabs>
            <w:tab w:val="num" w:pos="1440"/>
          </w:tabs>
          <w:ind w:left="1440" w:hanging="720"/>
        </w:pPr>
        <w:rPr>
          <w:rFonts w:ascii="Symbol" w:hAnsi="Symbol" w:hint="default"/>
        </w:rPr>
      </w:lvl>
    </w:lvlOverride>
  </w:num>
  <w:num w:numId="3">
    <w:abstractNumId w:val="22"/>
  </w:num>
  <w:num w:numId="4">
    <w:abstractNumId w:val="13"/>
  </w:num>
  <w:num w:numId="5">
    <w:abstractNumId w:val="17"/>
  </w:num>
  <w:num w:numId="6">
    <w:abstractNumId w:val="15"/>
  </w:num>
  <w:num w:numId="7">
    <w:abstractNumId w:val="19"/>
  </w:num>
  <w:num w:numId="8">
    <w:abstractNumId w:val="12"/>
  </w:num>
  <w:num w:numId="9">
    <w:abstractNumId w:val="18"/>
  </w:num>
  <w:num w:numId="10">
    <w:abstractNumId w:val="16"/>
  </w:num>
  <w:num w:numId="11">
    <w:abstractNumId w:val="21"/>
  </w:num>
  <w:num w:numId="12">
    <w:abstractNumId w:val="20"/>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0"/>
  <w:doNotHyphenateCaps/>
  <w:drawingGridHorizontalSpacing w:val="120"/>
  <w:drawingGridVerticalSpacing w:val="120"/>
  <w:displayVerticalDrawingGridEvery w:val="0"/>
  <w:doNotUseMarginsForDrawingGridOrigin/>
  <w:characterSpacingControl w:val="doNotCompress"/>
  <w:hdrShapeDefaults>
    <o:shapedefaults v:ext="edit" spidmax="21506">
      <o:colormenu v:ext="edit" strokecolor="none"/>
    </o:shapedefaults>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59C1"/>
    <w:rsid w:val="000025DD"/>
    <w:rsid w:val="0000385E"/>
    <w:rsid w:val="00003E76"/>
    <w:rsid w:val="00007F46"/>
    <w:rsid w:val="0001767E"/>
    <w:rsid w:val="00020299"/>
    <w:rsid w:val="000256E7"/>
    <w:rsid w:val="0004357F"/>
    <w:rsid w:val="0004440F"/>
    <w:rsid w:val="000447FA"/>
    <w:rsid w:val="0006048F"/>
    <w:rsid w:val="000609DA"/>
    <w:rsid w:val="00091027"/>
    <w:rsid w:val="000A6536"/>
    <w:rsid w:val="000B210F"/>
    <w:rsid w:val="000B2850"/>
    <w:rsid w:val="000C26D9"/>
    <w:rsid w:val="000C4D63"/>
    <w:rsid w:val="000C61E9"/>
    <w:rsid w:val="000C767C"/>
    <w:rsid w:val="000D5E21"/>
    <w:rsid w:val="000F0BAC"/>
    <w:rsid w:val="00104102"/>
    <w:rsid w:val="0010436D"/>
    <w:rsid w:val="00104CAF"/>
    <w:rsid w:val="00112A05"/>
    <w:rsid w:val="001203B3"/>
    <w:rsid w:val="00124B9F"/>
    <w:rsid w:val="001254F6"/>
    <w:rsid w:val="00125653"/>
    <w:rsid w:val="00133B34"/>
    <w:rsid w:val="001365E0"/>
    <w:rsid w:val="00142833"/>
    <w:rsid w:val="00152749"/>
    <w:rsid w:val="00152C76"/>
    <w:rsid w:val="00155143"/>
    <w:rsid w:val="00160FF2"/>
    <w:rsid w:val="00164DCA"/>
    <w:rsid w:val="00166C02"/>
    <w:rsid w:val="00175E21"/>
    <w:rsid w:val="00181FA5"/>
    <w:rsid w:val="00190E4A"/>
    <w:rsid w:val="00192016"/>
    <w:rsid w:val="00196C38"/>
    <w:rsid w:val="001A12AE"/>
    <w:rsid w:val="001A28F1"/>
    <w:rsid w:val="001A4938"/>
    <w:rsid w:val="001B4F77"/>
    <w:rsid w:val="001C133E"/>
    <w:rsid w:val="001C13A5"/>
    <w:rsid w:val="001C5761"/>
    <w:rsid w:val="001D0479"/>
    <w:rsid w:val="001F33CC"/>
    <w:rsid w:val="002027FE"/>
    <w:rsid w:val="0020635C"/>
    <w:rsid w:val="002079E2"/>
    <w:rsid w:val="002157AB"/>
    <w:rsid w:val="002220C7"/>
    <w:rsid w:val="00222A2F"/>
    <w:rsid w:val="00235487"/>
    <w:rsid w:val="002354D7"/>
    <w:rsid w:val="00240F62"/>
    <w:rsid w:val="002437F3"/>
    <w:rsid w:val="00252E1D"/>
    <w:rsid w:val="0025720C"/>
    <w:rsid w:val="002674B3"/>
    <w:rsid w:val="00277A91"/>
    <w:rsid w:val="00284B87"/>
    <w:rsid w:val="00284E2B"/>
    <w:rsid w:val="00291226"/>
    <w:rsid w:val="002A67CB"/>
    <w:rsid w:val="002B7D7E"/>
    <w:rsid w:val="002C04A3"/>
    <w:rsid w:val="002C3BDF"/>
    <w:rsid w:val="002C5611"/>
    <w:rsid w:val="002C6ADF"/>
    <w:rsid w:val="002D1735"/>
    <w:rsid w:val="002D5AA1"/>
    <w:rsid w:val="002E6EE5"/>
    <w:rsid w:val="002E7350"/>
    <w:rsid w:val="002F2FF6"/>
    <w:rsid w:val="00304B1C"/>
    <w:rsid w:val="003242B1"/>
    <w:rsid w:val="00324A28"/>
    <w:rsid w:val="00324FAC"/>
    <w:rsid w:val="003535E3"/>
    <w:rsid w:val="00357BE6"/>
    <w:rsid w:val="00363BCE"/>
    <w:rsid w:val="00371171"/>
    <w:rsid w:val="003750CB"/>
    <w:rsid w:val="00383B98"/>
    <w:rsid w:val="00385876"/>
    <w:rsid w:val="00385A99"/>
    <w:rsid w:val="00391315"/>
    <w:rsid w:val="00391385"/>
    <w:rsid w:val="00391789"/>
    <w:rsid w:val="003959E2"/>
    <w:rsid w:val="003A0CAC"/>
    <w:rsid w:val="003B1EE3"/>
    <w:rsid w:val="003C174B"/>
    <w:rsid w:val="003C1D27"/>
    <w:rsid w:val="003C277E"/>
    <w:rsid w:val="003D16D1"/>
    <w:rsid w:val="003D1A8E"/>
    <w:rsid w:val="003D33E7"/>
    <w:rsid w:val="003D37CE"/>
    <w:rsid w:val="003D7823"/>
    <w:rsid w:val="003E1F06"/>
    <w:rsid w:val="003E5B4B"/>
    <w:rsid w:val="003F5E49"/>
    <w:rsid w:val="00400A28"/>
    <w:rsid w:val="00406E2C"/>
    <w:rsid w:val="004136F1"/>
    <w:rsid w:val="00422533"/>
    <w:rsid w:val="00426149"/>
    <w:rsid w:val="00447103"/>
    <w:rsid w:val="0046214E"/>
    <w:rsid w:val="004646F2"/>
    <w:rsid w:val="00473FF1"/>
    <w:rsid w:val="00477240"/>
    <w:rsid w:val="00477373"/>
    <w:rsid w:val="00477DD0"/>
    <w:rsid w:val="004916E6"/>
    <w:rsid w:val="004A35C7"/>
    <w:rsid w:val="004A6099"/>
    <w:rsid w:val="004A754C"/>
    <w:rsid w:val="004B4639"/>
    <w:rsid w:val="004B6330"/>
    <w:rsid w:val="004B640B"/>
    <w:rsid w:val="004C3360"/>
    <w:rsid w:val="004C7C4B"/>
    <w:rsid w:val="004D06B8"/>
    <w:rsid w:val="004D2F44"/>
    <w:rsid w:val="004E20C0"/>
    <w:rsid w:val="004E4A1B"/>
    <w:rsid w:val="004F54C6"/>
    <w:rsid w:val="004F695F"/>
    <w:rsid w:val="00502D83"/>
    <w:rsid w:val="005059CD"/>
    <w:rsid w:val="00515048"/>
    <w:rsid w:val="0051530B"/>
    <w:rsid w:val="00517935"/>
    <w:rsid w:val="005205E4"/>
    <w:rsid w:val="00530524"/>
    <w:rsid w:val="00530AED"/>
    <w:rsid w:val="005478A6"/>
    <w:rsid w:val="00555EFF"/>
    <w:rsid w:val="00590C9C"/>
    <w:rsid w:val="005B0FA0"/>
    <w:rsid w:val="005B5DE4"/>
    <w:rsid w:val="005C56BB"/>
    <w:rsid w:val="005E0255"/>
    <w:rsid w:val="005E12A1"/>
    <w:rsid w:val="005E7032"/>
    <w:rsid w:val="0062493A"/>
    <w:rsid w:val="006273AA"/>
    <w:rsid w:val="006278B3"/>
    <w:rsid w:val="0064287B"/>
    <w:rsid w:val="006474E9"/>
    <w:rsid w:val="0065505F"/>
    <w:rsid w:val="00656B30"/>
    <w:rsid w:val="00657146"/>
    <w:rsid w:val="006709F6"/>
    <w:rsid w:val="00670A7B"/>
    <w:rsid w:val="00671BA5"/>
    <w:rsid w:val="00672463"/>
    <w:rsid w:val="00677FFC"/>
    <w:rsid w:val="006853EF"/>
    <w:rsid w:val="00690BEA"/>
    <w:rsid w:val="00690C7C"/>
    <w:rsid w:val="00693756"/>
    <w:rsid w:val="006A0700"/>
    <w:rsid w:val="006B5D7D"/>
    <w:rsid w:val="006B60D7"/>
    <w:rsid w:val="006C390A"/>
    <w:rsid w:val="006D17CC"/>
    <w:rsid w:val="006D1C6B"/>
    <w:rsid w:val="006D294C"/>
    <w:rsid w:val="006D47AD"/>
    <w:rsid w:val="006E1A3A"/>
    <w:rsid w:val="006E3F52"/>
    <w:rsid w:val="006F0A00"/>
    <w:rsid w:val="006F164B"/>
    <w:rsid w:val="006F3A5B"/>
    <w:rsid w:val="006F7668"/>
    <w:rsid w:val="00705DC6"/>
    <w:rsid w:val="00725A96"/>
    <w:rsid w:val="00735358"/>
    <w:rsid w:val="00735367"/>
    <w:rsid w:val="007406F1"/>
    <w:rsid w:val="00741850"/>
    <w:rsid w:val="00743B9A"/>
    <w:rsid w:val="00746681"/>
    <w:rsid w:val="007466B1"/>
    <w:rsid w:val="007559C1"/>
    <w:rsid w:val="00762523"/>
    <w:rsid w:val="00775CDB"/>
    <w:rsid w:val="00776E81"/>
    <w:rsid w:val="00793B44"/>
    <w:rsid w:val="00793BF2"/>
    <w:rsid w:val="00797878"/>
    <w:rsid w:val="007B260E"/>
    <w:rsid w:val="007C4704"/>
    <w:rsid w:val="007C4DD7"/>
    <w:rsid w:val="007C7DCD"/>
    <w:rsid w:val="007E2674"/>
    <w:rsid w:val="007F1B26"/>
    <w:rsid w:val="007F2C7D"/>
    <w:rsid w:val="007F5AD8"/>
    <w:rsid w:val="007F691B"/>
    <w:rsid w:val="00813520"/>
    <w:rsid w:val="00822C08"/>
    <w:rsid w:val="0082359E"/>
    <w:rsid w:val="00825159"/>
    <w:rsid w:val="00825AE9"/>
    <w:rsid w:val="00833AD0"/>
    <w:rsid w:val="00840F7C"/>
    <w:rsid w:val="008443BA"/>
    <w:rsid w:val="00847610"/>
    <w:rsid w:val="00850FA7"/>
    <w:rsid w:val="00860248"/>
    <w:rsid w:val="00861001"/>
    <w:rsid w:val="00863611"/>
    <w:rsid w:val="00866852"/>
    <w:rsid w:val="008707D3"/>
    <w:rsid w:val="00887A5F"/>
    <w:rsid w:val="00890E45"/>
    <w:rsid w:val="00892804"/>
    <w:rsid w:val="008967A6"/>
    <w:rsid w:val="008B7475"/>
    <w:rsid w:val="008C039F"/>
    <w:rsid w:val="008C7060"/>
    <w:rsid w:val="008D003D"/>
    <w:rsid w:val="008D16E5"/>
    <w:rsid w:val="008E4D2D"/>
    <w:rsid w:val="008E755F"/>
    <w:rsid w:val="008F1EAD"/>
    <w:rsid w:val="008F355E"/>
    <w:rsid w:val="008F3840"/>
    <w:rsid w:val="009139BD"/>
    <w:rsid w:val="009146A3"/>
    <w:rsid w:val="0091566D"/>
    <w:rsid w:val="009213AB"/>
    <w:rsid w:val="00922ED3"/>
    <w:rsid w:val="00933D77"/>
    <w:rsid w:val="00934AD8"/>
    <w:rsid w:val="00934E48"/>
    <w:rsid w:val="00936908"/>
    <w:rsid w:val="00936C7E"/>
    <w:rsid w:val="00951DB6"/>
    <w:rsid w:val="009663B3"/>
    <w:rsid w:val="009700A1"/>
    <w:rsid w:val="009714BB"/>
    <w:rsid w:val="00977BF9"/>
    <w:rsid w:val="00984C5B"/>
    <w:rsid w:val="00990CF2"/>
    <w:rsid w:val="009A1C6A"/>
    <w:rsid w:val="009A2892"/>
    <w:rsid w:val="009B112C"/>
    <w:rsid w:val="009B3EFC"/>
    <w:rsid w:val="009B525A"/>
    <w:rsid w:val="009C0A40"/>
    <w:rsid w:val="009C7618"/>
    <w:rsid w:val="009D03A7"/>
    <w:rsid w:val="009D6A21"/>
    <w:rsid w:val="009F3830"/>
    <w:rsid w:val="00A128EF"/>
    <w:rsid w:val="00A17945"/>
    <w:rsid w:val="00A4119D"/>
    <w:rsid w:val="00A47E32"/>
    <w:rsid w:val="00A6645B"/>
    <w:rsid w:val="00A76A06"/>
    <w:rsid w:val="00A76FA5"/>
    <w:rsid w:val="00A778FE"/>
    <w:rsid w:val="00A82706"/>
    <w:rsid w:val="00A845F0"/>
    <w:rsid w:val="00A92B8E"/>
    <w:rsid w:val="00AA09D3"/>
    <w:rsid w:val="00AA45E6"/>
    <w:rsid w:val="00AB1760"/>
    <w:rsid w:val="00AB392B"/>
    <w:rsid w:val="00AC798D"/>
    <w:rsid w:val="00AD35CE"/>
    <w:rsid w:val="00AE02B6"/>
    <w:rsid w:val="00AE1C93"/>
    <w:rsid w:val="00AE6EF5"/>
    <w:rsid w:val="00AF3DAE"/>
    <w:rsid w:val="00AF5CBA"/>
    <w:rsid w:val="00AF5FEB"/>
    <w:rsid w:val="00AF64F8"/>
    <w:rsid w:val="00B06D43"/>
    <w:rsid w:val="00B1214A"/>
    <w:rsid w:val="00B313A1"/>
    <w:rsid w:val="00B32CBD"/>
    <w:rsid w:val="00B43F3A"/>
    <w:rsid w:val="00B46EF3"/>
    <w:rsid w:val="00B53C9D"/>
    <w:rsid w:val="00B54344"/>
    <w:rsid w:val="00B801FF"/>
    <w:rsid w:val="00B80F14"/>
    <w:rsid w:val="00B85398"/>
    <w:rsid w:val="00B8572F"/>
    <w:rsid w:val="00B93941"/>
    <w:rsid w:val="00BA0618"/>
    <w:rsid w:val="00BA3663"/>
    <w:rsid w:val="00BB02C8"/>
    <w:rsid w:val="00BB3262"/>
    <w:rsid w:val="00BB66AB"/>
    <w:rsid w:val="00BB6AA0"/>
    <w:rsid w:val="00BB711A"/>
    <w:rsid w:val="00BB78BE"/>
    <w:rsid w:val="00BC16C1"/>
    <w:rsid w:val="00BD180C"/>
    <w:rsid w:val="00BD44AF"/>
    <w:rsid w:val="00BD4C7C"/>
    <w:rsid w:val="00BD5FC4"/>
    <w:rsid w:val="00BF0DB4"/>
    <w:rsid w:val="00BF3DA4"/>
    <w:rsid w:val="00BF4CAF"/>
    <w:rsid w:val="00C046C6"/>
    <w:rsid w:val="00C13FCA"/>
    <w:rsid w:val="00C332B1"/>
    <w:rsid w:val="00C351CD"/>
    <w:rsid w:val="00C37913"/>
    <w:rsid w:val="00C404E7"/>
    <w:rsid w:val="00C4150F"/>
    <w:rsid w:val="00C4275E"/>
    <w:rsid w:val="00C448D1"/>
    <w:rsid w:val="00C647E7"/>
    <w:rsid w:val="00C80857"/>
    <w:rsid w:val="00C84642"/>
    <w:rsid w:val="00CA4B7C"/>
    <w:rsid w:val="00CA4E4D"/>
    <w:rsid w:val="00CA630C"/>
    <w:rsid w:val="00CA6ED8"/>
    <w:rsid w:val="00CB42D2"/>
    <w:rsid w:val="00CC0249"/>
    <w:rsid w:val="00CC0EBA"/>
    <w:rsid w:val="00CC2E69"/>
    <w:rsid w:val="00CC4DCD"/>
    <w:rsid w:val="00CE519A"/>
    <w:rsid w:val="00CF6859"/>
    <w:rsid w:val="00CF6D09"/>
    <w:rsid w:val="00D04AC5"/>
    <w:rsid w:val="00D0779F"/>
    <w:rsid w:val="00D07CE5"/>
    <w:rsid w:val="00D12FCD"/>
    <w:rsid w:val="00D248A3"/>
    <w:rsid w:val="00D35C7F"/>
    <w:rsid w:val="00D373E9"/>
    <w:rsid w:val="00D40994"/>
    <w:rsid w:val="00D4185C"/>
    <w:rsid w:val="00D461DB"/>
    <w:rsid w:val="00D54E8E"/>
    <w:rsid w:val="00D55C1D"/>
    <w:rsid w:val="00D64592"/>
    <w:rsid w:val="00D64DE1"/>
    <w:rsid w:val="00D67A4D"/>
    <w:rsid w:val="00D75BC1"/>
    <w:rsid w:val="00D766DE"/>
    <w:rsid w:val="00D868B4"/>
    <w:rsid w:val="00DB5BA5"/>
    <w:rsid w:val="00DC180F"/>
    <w:rsid w:val="00DC332C"/>
    <w:rsid w:val="00DC74A7"/>
    <w:rsid w:val="00DD35A9"/>
    <w:rsid w:val="00DD3CB4"/>
    <w:rsid w:val="00DD5566"/>
    <w:rsid w:val="00DE54C3"/>
    <w:rsid w:val="00DE765A"/>
    <w:rsid w:val="00DF6373"/>
    <w:rsid w:val="00E136E2"/>
    <w:rsid w:val="00E214D5"/>
    <w:rsid w:val="00E27700"/>
    <w:rsid w:val="00E35408"/>
    <w:rsid w:val="00E35AAF"/>
    <w:rsid w:val="00E426B9"/>
    <w:rsid w:val="00E450F1"/>
    <w:rsid w:val="00E6712F"/>
    <w:rsid w:val="00E705A1"/>
    <w:rsid w:val="00E7490F"/>
    <w:rsid w:val="00E77AC6"/>
    <w:rsid w:val="00E84795"/>
    <w:rsid w:val="00E848FB"/>
    <w:rsid w:val="00E913A5"/>
    <w:rsid w:val="00E914A2"/>
    <w:rsid w:val="00E958E5"/>
    <w:rsid w:val="00EA7FA9"/>
    <w:rsid w:val="00EB18CF"/>
    <w:rsid w:val="00EC0C04"/>
    <w:rsid w:val="00EC1021"/>
    <w:rsid w:val="00EC71CC"/>
    <w:rsid w:val="00ED5DB1"/>
    <w:rsid w:val="00EE4D76"/>
    <w:rsid w:val="00EE610A"/>
    <w:rsid w:val="00EF2F2B"/>
    <w:rsid w:val="00EF34DD"/>
    <w:rsid w:val="00EF5FDA"/>
    <w:rsid w:val="00EF771B"/>
    <w:rsid w:val="00F02541"/>
    <w:rsid w:val="00F06B05"/>
    <w:rsid w:val="00F13871"/>
    <w:rsid w:val="00F15383"/>
    <w:rsid w:val="00F1743E"/>
    <w:rsid w:val="00F21F9E"/>
    <w:rsid w:val="00F37FA0"/>
    <w:rsid w:val="00F5074D"/>
    <w:rsid w:val="00F81118"/>
    <w:rsid w:val="00F83B69"/>
    <w:rsid w:val="00F90EC0"/>
    <w:rsid w:val="00F96AC4"/>
    <w:rsid w:val="00F97199"/>
    <w:rsid w:val="00FA3474"/>
    <w:rsid w:val="00FB4584"/>
    <w:rsid w:val="00FB5F17"/>
    <w:rsid w:val="00FC0DED"/>
    <w:rsid w:val="00FC1B94"/>
    <w:rsid w:val="00FC5984"/>
    <w:rsid w:val="00FE3E36"/>
    <w:rsid w:val="00FE5A1D"/>
    <w:rsid w:val="00FE6B9C"/>
    <w:rsid w:val="00FF027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143"/>
    <w:pPr>
      <w:overflowPunct w:val="0"/>
      <w:autoSpaceDE w:val="0"/>
      <w:autoSpaceDN w:val="0"/>
      <w:adjustRightInd w:val="0"/>
      <w:textAlignment w:val="baseline"/>
    </w:pPr>
    <w:rPr>
      <w:rFonts w:ascii="Arial" w:hAnsi="Arial" w:cs="Arial"/>
    </w:rPr>
  </w:style>
  <w:style w:type="paragraph" w:styleId="Heading1">
    <w:name w:val="heading 1"/>
    <w:basedOn w:val="BCSTableheadings"/>
    <w:next w:val="Normal"/>
    <w:qFormat/>
    <w:rsid w:val="00155143"/>
    <w:pPr>
      <w:outlineLvl w:val="0"/>
    </w:pPr>
  </w:style>
  <w:style w:type="paragraph" w:styleId="Heading2">
    <w:name w:val="heading 2"/>
    <w:aliases w:val=" Char"/>
    <w:basedOn w:val="Normal"/>
    <w:next w:val="Normal"/>
    <w:link w:val="Heading2Char"/>
    <w:qFormat/>
    <w:rsid w:val="00155143"/>
    <w:pPr>
      <w:keepNext/>
      <w:spacing w:after="240"/>
      <w:outlineLvl w:val="1"/>
    </w:pPr>
    <w:rPr>
      <w:b/>
      <w:bCs/>
    </w:rPr>
  </w:style>
  <w:style w:type="paragraph" w:styleId="Heading3">
    <w:name w:val="heading 3"/>
    <w:basedOn w:val="Normal"/>
    <w:next w:val="Normal"/>
    <w:qFormat/>
    <w:rsid w:val="00155143"/>
    <w:pPr>
      <w:keepNext/>
      <w:outlineLvl w:val="2"/>
    </w:pPr>
    <w:rPr>
      <w:b/>
      <w:bCs/>
      <w:u w:val="single"/>
    </w:rPr>
  </w:style>
  <w:style w:type="paragraph" w:styleId="Heading4">
    <w:name w:val="heading 4"/>
    <w:basedOn w:val="Normal"/>
    <w:next w:val="Normal"/>
    <w:qFormat/>
    <w:rsid w:val="00155143"/>
    <w:pPr>
      <w:keepNext/>
      <w:numPr>
        <w:numId w:val="1"/>
      </w:numPr>
      <w:tabs>
        <w:tab w:val="left" w:pos="360"/>
      </w:tabs>
      <w:outlineLvl w:val="3"/>
    </w:pPr>
    <w:rPr>
      <w:b/>
      <w:bCs/>
      <w:u w:val="single"/>
    </w:rPr>
  </w:style>
  <w:style w:type="paragraph" w:styleId="Heading5">
    <w:name w:val="heading 5"/>
    <w:basedOn w:val="Normal"/>
    <w:next w:val="Normal"/>
    <w:qFormat/>
    <w:rsid w:val="00155143"/>
    <w:pPr>
      <w:keepNext/>
      <w:outlineLvl w:val="4"/>
    </w:pPr>
    <w:rPr>
      <w:b/>
      <w:bCs/>
      <w:i/>
      <w:iCs/>
    </w:rPr>
  </w:style>
  <w:style w:type="paragraph" w:styleId="Heading6">
    <w:name w:val="heading 6"/>
    <w:basedOn w:val="BCSDocumenttitle"/>
    <w:next w:val="Normal"/>
    <w:qFormat/>
    <w:rsid w:val="00155143"/>
    <w:pPr>
      <w:outlineLvl w:val="5"/>
    </w:pPr>
  </w:style>
  <w:style w:type="paragraph" w:styleId="Heading7">
    <w:name w:val="heading 7"/>
    <w:basedOn w:val="Normal"/>
    <w:next w:val="Normal"/>
    <w:qFormat/>
    <w:rsid w:val="00155143"/>
    <w:pPr>
      <w:keepNext/>
      <w:jc w:val="both"/>
      <w:outlineLvl w:val="6"/>
    </w:pPr>
    <w:rPr>
      <w:b/>
      <w:bCs/>
    </w:rPr>
  </w:style>
  <w:style w:type="paragraph" w:styleId="Heading8">
    <w:name w:val="heading 8"/>
    <w:basedOn w:val="Normal"/>
    <w:next w:val="Normal"/>
    <w:link w:val="Heading8Char"/>
    <w:semiHidden/>
    <w:unhideWhenUsed/>
    <w:qFormat/>
    <w:rsid w:val="00AE1C93"/>
    <w:pPr>
      <w:spacing w:before="240" w:after="60"/>
      <w:outlineLvl w:val="7"/>
    </w:pPr>
    <w:rPr>
      <w:rFonts w:ascii="Calibri" w:hAnsi="Calibri" w:cs="Times New Roman"/>
      <w:i/>
      <w:iCs/>
      <w:sz w:val="24"/>
      <w:szCs w:val="24"/>
    </w:rPr>
  </w:style>
  <w:style w:type="paragraph" w:styleId="Heading9">
    <w:name w:val="heading 9"/>
    <w:basedOn w:val="Normal"/>
    <w:next w:val="Normal"/>
    <w:link w:val="Heading9Char"/>
    <w:semiHidden/>
    <w:unhideWhenUsed/>
    <w:qFormat/>
    <w:rsid w:val="00AE1C93"/>
    <w:pPr>
      <w:spacing w:before="240" w:after="60"/>
      <w:outlineLvl w:val="8"/>
    </w:pPr>
    <w:rPr>
      <w:rFonts w:ascii="Cambria" w:hAnsi="Cambria"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Tableheadings">
    <w:name w:val="| BCS | Table headings"/>
    <w:basedOn w:val="BCSParagraph"/>
    <w:rsid w:val="0046214E"/>
    <w:pPr>
      <w:spacing w:before="40" w:after="40" w:line="240" w:lineRule="auto"/>
    </w:pPr>
    <w:rPr>
      <w:rFonts w:ascii="Arial Bold" w:hAnsi="Arial Bold"/>
      <w:b/>
      <w:bCs/>
      <w:sz w:val="26"/>
    </w:rPr>
  </w:style>
  <w:style w:type="paragraph" w:customStyle="1" w:styleId="BCSParagraph">
    <w:name w:val="| BCS | Paragraph"/>
    <w:link w:val="BCSParagraphChar"/>
    <w:rsid w:val="00982E0B"/>
    <w:pPr>
      <w:overflowPunct w:val="0"/>
      <w:autoSpaceDE w:val="0"/>
      <w:autoSpaceDN w:val="0"/>
      <w:adjustRightInd w:val="0"/>
      <w:spacing w:after="240" w:line="300" w:lineRule="exact"/>
      <w:textAlignment w:val="baseline"/>
    </w:pPr>
    <w:rPr>
      <w:rFonts w:ascii="Arial" w:hAnsi="Arial" w:cs="Arial"/>
      <w:color w:val="000000"/>
      <w:sz w:val="24"/>
    </w:rPr>
  </w:style>
  <w:style w:type="paragraph" w:customStyle="1" w:styleId="BCSDocumenttitle">
    <w:name w:val="| BCS | Document title"/>
    <w:rsid w:val="00F13FC9"/>
    <w:pPr>
      <w:overflowPunct w:val="0"/>
      <w:autoSpaceDE w:val="0"/>
      <w:autoSpaceDN w:val="0"/>
      <w:adjustRightInd w:val="0"/>
      <w:spacing w:after="200"/>
      <w:textAlignment w:val="baseline"/>
    </w:pPr>
    <w:rPr>
      <w:rFonts w:ascii="Arial" w:hAnsi="Arial" w:cs="Arial"/>
      <w:b/>
      <w:bCs/>
      <w:color w:val="000000"/>
      <w:sz w:val="30"/>
      <w:szCs w:val="26"/>
    </w:rPr>
  </w:style>
  <w:style w:type="paragraph" w:customStyle="1" w:styleId="BCSHeadingA">
    <w:name w:val="| BCS | Heading A"/>
    <w:link w:val="BCSHeadingAChar"/>
    <w:rsid w:val="00DB63EF"/>
    <w:pPr>
      <w:overflowPunct w:val="0"/>
      <w:autoSpaceDE w:val="0"/>
      <w:autoSpaceDN w:val="0"/>
      <w:adjustRightInd w:val="0"/>
      <w:spacing w:after="200"/>
      <w:textAlignment w:val="baseline"/>
    </w:pPr>
    <w:rPr>
      <w:rFonts w:ascii="Arial" w:hAnsi="Arial" w:cs="Arial"/>
      <w:b/>
      <w:bCs/>
      <w:color w:val="000000"/>
      <w:sz w:val="28"/>
      <w:szCs w:val="24"/>
    </w:rPr>
  </w:style>
  <w:style w:type="paragraph" w:styleId="Footer">
    <w:name w:val="footer"/>
    <w:basedOn w:val="Normal"/>
    <w:semiHidden/>
    <w:rsid w:val="00DB63EF"/>
    <w:pPr>
      <w:tabs>
        <w:tab w:val="center" w:pos="4320"/>
        <w:tab w:val="right" w:pos="8640"/>
      </w:tabs>
    </w:pPr>
  </w:style>
  <w:style w:type="paragraph" w:customStyle="1" w:styleId="BCSBulletparagraph">
    <w:name w:val="| BCS | Bullet paragraph"/>
    <w:basedOn w:val="Normal"/>
    <w:link w:val="BCSBulletparagraphChar"/>
    <w:rsid w:val="00825159"/>
    <w:pPr>
      <w:numPr>
        <w:numId w:val="2"/>
      </w:numPr>
      <w:tabs>
        <w:tab w:val="clear" w:pos="1440"/>
        <w:tab w:val="left" w:pos="720"/>
        <w:tab w:val="left" w:pos="1077"/>
      </w:tabs>
      <w:spacing w:after="40" w:line="300" w:lineRule="exact"/>
      <w:ind w:left="1077" w:hanging="357"/>
    </w:pPr>
    <w:rPr>
      <w:sz w:val="24"/>
    </w:rPr>
  </w:style>
  <w:style w:type="paragraph" w:customStyle="1" w:styleId="BCSTabletext">
    <w:name w:val="| BCS | Table text"/>
    <w:basedOn w:val="BCSParagraph"/>
    <w:rsid w:val="00BC16C1"/>
    <w:pPr>
      <w:spacing w:before="40" w:after="40"/>
    </w:pPr>
    <w:rPr>
      <w:szCs w:val="18"/>
    </w:rPr>
  </w:style>
  <w:style w:type="paragraph" w:customStyle="1" w:styleId="BCSTablesubheadings">
    <w:name w:val="| BCS | Table subheadings"/>
    <w:basedOn w:val="BCSTableheadings"/>
    <w:rsid w:val="0046214E"/>
    <w:rPr>
      <w:iCs/>
      <w:sz w:val="24"/>
      <w:szCs w:val="18"/>
    </w:rPr>
  </w:style>
  <w:style w:type="paragraph" w:customStyle="1" w:styleId="BCSFooter">
    <w:name w:val="| BCS | Footer"/>
    <w:basedOn w:val="Normal"/>
    <w:rsid w:val="00155143"/>
    <w:pPr>
      <w:tabs>
        <w:tab w:val="center" w:pos="4536"/>
        <w:tab w:val="right" w:pos="9072"/>
        <w:tab w:val="right" w:pos="9214"/>
      </w:tabs>
      <w:ind w:right="-45"/>
    </w:pPr>
    <w:rPr>
      <w:sz w:val="16"/>
      <w:szCs w:val="16"/>
    </w:rPr>
  </w:style>
  <w:style w:type="paragraph" w:customStyle="1" w:styleId="BCSNumberedsubheading">
    <w:name w:val="| BCS | Numbered subheading"/>
    <w:basedOn w:val="Normal"/>
    <w:rsid w:val="007D4D40"/>
    <w:pPr>
      <w:spacing w:after="200"/>
      <w:ind w:left="720" w:hanging="720"/>
    </w:pPr>
    <w:rPr>
      <w:rFonts w:ascii="Arial Bold" w:hAnsi="Arial Bold"/>
      <w:b/>
      <w:bCs/>
      <w:sz w:val="24"/>
    </w:rPr>
  </w:style>
  <w:style w:type="paragraph" w:customStyle="1" w:styleId="BCSHeaderdocumenttitle">
    <w:name w:val="| BCS | Header document title"/>
    <w:rsid w:val="00A05BF7"/>
    <w:pPr>
      <w:pBdr>
        <w:bottom w:val="single" w:sz="6" w:space="7" w:color="000080"/>
      </w:pBdr>
      <w:spacing w:before="120" w:after="120"/>
    </w:pPr>
    <w:rPr>
      <w:rFonts w:ascii="Arial" w:hAnsi="Arial" w:cs="Arial"/>
      <w:b/>
      <w:bCs/>
      <w:color w:val="808080"/>
    </w:rPr>
  </w:style>
  <w:style w:type="paragraph" w:customStyle="1" w:styleId="BCSHeadertitle">
    <w:name w:val="| BCS | Header title"/>
    <w:basedOn w:val="Normal"/>
    <w:link w:val="BCSHeadertitleChar"/>
    <w:rsid w:val="00155143"/>
    <w:pPr>
      <w:spacing w:after="480"/>
    </w:pPr>
    <w:rPr>
      <w:color w:val="808080"/>
      <w:sz w:val="16"/>
      <w:szCs w:val="16"/>
    </w:rPr>
  </w:style>
  <w:style w:type="paragraph" w:styleId="TOC1">
    <w:name w:val="toc 1"/>
    <w:basedOn w:val="BCSParagraph"/>
    <w:next w:val="Normal"/>
    <w:autoRedefine/>
    <w:semiHidden/>
    <w:rsid w:val="00FB4584"/>
    <w:pPr>
      <w:spacing w:after="40"/>
    </w:pPr>
    <w:rPr>
      <w:b/>
    </w:rPr>
  </w:style>
  <w:style w:type="paragraph" w:customStyle="1" w:styleId="BCSHeadingB">
    <w:name w:val="| BCS | Heading B"/>
    <w:basedOn w:val="BCSHeadingA"/>
    <w:link w:val="BCSHeadingC"/>
    <w:rsid w:val="00DB63EF"/>
    <w:rPr>
      <w:sz w:val="26"/>
      <w:szCs w:val="20"/>
    </w:rPr>
  </w:style>
  <w:style w:type="paragraph" w:customStyle="1" w:styleId="BCSHeadingBnumbered">
    <w:name w:val="| BCS | Heading B numbered"/>
    <w:basedOn w:val="Normal"/>
    <w:rsid w:val="007D4D40"/>
    <w:pPr>
      <w:numPr>
        <w:numId w:val="3"/>
      </w:numPr>
      <w:spacing w:after="200"/>
    </w:pPr>
    <w:rPr>
      <w:b/>
      <w:bCs/>
      <w:color w:val="000000"/>
      <w:sz w:val="26"/>
      <w:szCs w:val="22"/>
    </w:rPr>
  </w:style>
  <w:style w:type="paragraph" w:customStyle="1" w:styleId="BCSTabletextafter">
    <w:name w:val="| BCS | Table text after"/>
    <w:basedOn w:val="BCSParagraph"/>
    <w:rsid w:val="007D4D40"/>
    <w:pPr>
      <w:spacing w:before="240"/>
    </w:pPr>
  </w:style>
  <w:style w:type="paragraph" w:styleId="TOC4">
    <w:name w:val="toc 4"/>
    <w:basedOn w:val="Normal"/>
    <w:next w:val="Normal"/>
    <w:autoRedefine/>
    <w:semiHidden/>
    <w:rsid w:val="00E70A3E"/>
    <w:pPr>
      <w:ind w:left="600"/>
    </w:pPr>
  </w:style>
  <w:style w:type="paragraph" w:customStyle="1" w:styleId="BCSDocumentcovertitle">
    <w:name w:val="| BCS | Document cover title"/>
    <w:rsid w:val="00DB63EF"/>
    <w:pPr>
      <w:spacing w:before="5200"/>
      <w:jc w:val="center"/>
    </w:pPr>
    <w:rPr>
      <w:rFonts w:ascii="Arial" w:hAnsi="Arial" w:cs="Arial"/>
      <w:b/>
      <w:bCs/>
      <w:color w:val="000000"/>
      <w:sz w:val="32"/>
      <w:szCs w:val="28"/>
    </w:rPr>
  </w:style>
  <w:style w:type="paragraph" w:customStyle="1" w:styleId="BCSHeadingC">
    <w:name w:val="| BCS | Heading C"/>
    <w:basedOn w:val="BCSHeadingB"/>
    <w:link w:val="BCSHeadingB"/>
    <w:rsid w:val="007D4D40"/>
    <w:rPr>
      <w:sz w:val="24"/>
    </w:rPr>
  </w:style>
  <w:style w:type="paragraph" w:styleId="TOC2">
    <w:name w:val="toc 2"/>
    <w:basedOn w:val="BCSParagraph"/>
    <w:next w:val="Normal"/>
    <w:autoRedefine/>
    <w:semiHidden/>
    <w:rsid w:val="00FB4584"/>
    <w:pPr>
      <w:tabs>
        <w:tab w:val="right" w:leader="dot" w:pos="9016"/>
      </w:tabs>
      <w:spacing w:after="40"/>
      <w:ind w:left="200"/>
    </w:pPr>
  </w:style>
  <w:style w:type="paragraph" w:styleId="Header">
    <w:name w:val="header"/>
    <w:basedOn w:val="Normal"/>
    <w:rsid w:val="00404FE1"/>
    <w:pPr>
      <w:tabs>
        <w:tab w:val="center" w:pos="4153"/>
        <w:tab w:val="right" w:pos="8306"/>
      </w:tabs>
    </w:pPr>
  </w:style>
  <w:style w:type="paragraph" w:customStyle="1" w:styleId="BCSNumberedparagraph">
    <w:name w:val="| BCS | Numbered paragraph"/>
    <w:basedOn w:val="BCSParagraph"/>
    <w:next w:val="BCSHeadingBnumbered"/>
    <w:rsid w:val="007D4D40"/>
    <w:pPr>
      <w:ind w:left="720" w:hanging="720"/>
    </w:pPr>
  </w:style>
  <w:style w:type="paragraph" w:customStyle="1" w:styleId="BCSTinytext">
    <w:name w:val="| BCS | Tiny text"/>
    <w:rsid w:val="00F13FC9"/>
    <w:pPr>
      <w:spacing w:before="40" w:after="40" w:line="245" w:lineRule="exact"/>
    </w:pPr>
    <w:rPr>
      <w:rFonts w:ascii="Arial" w:hAnsi="Arial" w:cs="Arial"/>
      <w:color w:val="000000"/>
      <w:sz w:val="18"/>
      <w:szCs w:val="16"/>
    </w:rPr>
  </w:style>
  <w:style w:type="character" w:customStyle="1" w:styleId="BCSHeadertitleChar">
    <w:name w:val="| BCS | Header title Char"/>
    <w:basedOn w:val="DefaultParagraphFont"/>
    <w:link w:val="BCSHeadertitle"/>
    <w:rsid w:val="00D40994"/>
    <w:rPr>
      <w:rFonts w:ascii="Arial" w:hAnsi="Arial" w:cs="Arial"/>
      <w:color w:val="808080"/>
      <w:sz w:val="16"/>
      <w:szCs w:val="16"/>
      <w:lang w:val="en-GB" w:eastAsia="en-GB" w:bidi="ar-SA"/>
    </w:rPr>
  </w:style>
  <w:style w:type="paragraph" w:customStyle="1" w:styleId="BCSBulletlast">
    <w:name w:val="| BCS | Bullet last"/>
    <w:basedOn w:val="BCSBulletparagraph"/>
    <w:link w:val="BCSBulletlastChar"/>
    <w:rsid w:val="00104102"/>
    <w:pPr>
      <w:spacing w:after="240"/>
    </w:pPr>
  </w:style>
  <w:style w:type="character" w:styleId="Hyperlink">
    <w:name w:val="Hyperlink"/>
    <w:basedOn w:val="DefaultParagraphFont"/>
    <w:rsid w:val="006B0044"/>
    <w:rPr>
      <w:color w:val="0000FF"/>
      <w:u w:val="single"/>
    </w:rPr>
  </w:style>
  <w:style w:type="paragraph" w:customStyle="1" w:styleId="BCSBulletlevel2">
    <w:name w:val="| BCS | Bullet level 2"/>
    <w:rsid w:val="00D40994"/>
    <w:pPr>
      <w:numPr>
        <w:numId w:val="6"/>
      </w:numPr>
      <w:spacing w:after="40" w:line="300" w:lineRule="exact"/>
    </w:pPr>
    <w:rPr>
      <w:rFonts w:ascii="Arial" w:hAnsi="Arial" w:cs="Arial"/>
      <w:sz w:val="24"/>
    </w:rPr>
  </w:style>
  <w:style w:type="paragraph" w:customStyle="1" w:styleId="BCSBulletnumberedlast">
    <w:name w:val="| BCS | Bullet numbered last"/>
    <w:basedOn w:val="BCSBulletnumbered"/>
    <w:rsid w:val="00104102"/>
    <w:pPr>
      <w:spacing w:after="240"/>
    </w:pPr>
  </w:style>
  <w:style w:type="paragraph" w:customStyle="1" w:styleId="BCSNumberedheading">
    <w:name w:val="| BCS | Numbered heading"/>
    <w:basedOn w:val="Normal"/>
    <w:rsid w:val="005E0255"/>
    <w:pPr>
      <w:tabs>
        <w:tab w:val="num" w:pos="720"/>
      </w:tabs>
      <w:spacing w:after="200"/>
      <w:ind w:left="720" w:hanging="720"/>
    </w:pPr>
    <w:rPr>
      <w:b/>
      <w:bCs/>
      <w:color w:val="000000"/>
      <w:sz w:val="26"/>
      <w:szCs w:val="22"/>
    </w:rPr>
  </w:style>
  <w:style w:type="paragraph" w:customStyle="1" w:styleId="BCSBulletnumbered">
    <w:name w:val="| BCS | Bullet numbered"/>
    <w:basedOn w:val="BCSParagraph"/>
    <w:autoRedefine/>
    <w:rsid w:val="00D40994"/>
    <w:pPr>
      <w:numPr>
        <w:numId w:val="5"/>
      </w:numPr>
      <w:tabs>
        <w:tab w:val="left" w:pos="720"/>
      </w:tabs>
      <w:spacing w:after="40"/>
      <w:outlineLvl w:val="0"/>
    </w:pPr>
  </w:style>
  <w:style w:type="paragraph" w:styleId="TOC3">
    <w:name w:val="toc 3"/>
    <w:basedOn w:val="BCSParagraph"/>
    <w:next w:val="Normal"/>
    <w:autoRedefine/>
    <w:semiHidden/>
    <w:rsid w:val="00FB4584"/>
    <w:pPr>
      <w:spacing w:after="40"/>
      <w:ind w:left="400"/>
    </w:pPr>
  </w:style>
  <w:style w:type="paragraph" w:customStyle="1" w:styleId="Style1">
    <w:name w:val="Style1"/>
    <w:basedOn w:val="BCSBulletparagraph"/>
    <w:rsid w:val="00F15383"/>
    <w:pPr>
      <w:numPr>
        <w:numId w:val="8"/>
      </w:numPr>
    </w:pPr>
  </w:style>
  <w:style w:type="paragraph" w:customStyle="1" w:styleId="Style2">
    <w:name w:val="Style2"/>
    <w:basedOn w:val="BCSBulletparagraph"/>
    <w:rsid w:val="00F15383"/>
    <w:pPr>
      <w:numPr>
        <w:numId w:val="9"/>
      </w:numPr>
    </w:pPr>
  </w:style>
  <w:style w:type="character" w:styleId="CommentReference">
    <w:name w:val="annotation reference"/>
    <w:basedOn w:val="DefaultParagraphFont"/>
    <w:semiHidden/>
    <w:rsid w:val="00797878"/>
    <w:rPr>
      <w:sz w:val="16"/>
      <w:szCs w:val="16"/>
    </w:rPr>
  </w:style>
  <w:style w:type="paragraph" w:styleId="CommentText">
    <w:name w:val="annotation text"/>
    <w:basedOn w:val="Normal"/>
    <w:semiHidden/>
    <w:rsid w:val="00797878"/>
  </w:style>
  <w:style w:type="paragraph" w:styleId="CommentSubject">
    <w:name w:val="annotation subject"/>
    <w:basedOn w:val="CommentText"/>
    <w:next w:val="CommentText"/>
    <w:semiHidden/>
    <w:rsid w:val="00797878"/>
    <w:rPr>
      <w:b/>
      <w:bCs/>
    </w:rPr>
  </w:style>
  <w:style w:type="paragraph" w:styleId="BalloonText">
    <w:name w:val="Balloon Text"/>
    <w:basedOn w:val="Normal"/>
    <w:semiHidden/>
    <w:rsid w:val="00797878"/>
    <w:rPr>
      <w:rFonts w:ascii="Tahoma" w:hAnsi="Tahoma" w:cs="Tahoma"/>
      <w:sz w:val="16"/>
      <w:szCs w:val="16"/>
    </w:rPr>
  </w:style>
  <w:style w:type="character" w:customStyle="1" w:styleId="Heading2Char">
    <w:name w:val="Heading 2 Char"/>
    <w:aliases w:val=" Char Char"/>
    <w:basedOn w:val="DefaultParagraphFont"/>
    <w:link w:val="Heading2"/>
    <w:rsid w:val="008B7475"/>
    <w:rPr>
      <w:rFonts w:ascii="Arial" w:hAnsi="Arial" w:cs="Arial"/>
      <w:b/>
      <w:bCs/>
      <w:lang w:val="en-GB" w:eastAsia="en-GB" w:bidi="ar-SA"/>
    </w:rPr>
  </w:style>
  <w:style w:type="paragraph" w:styleId="FootnoteText">
    <w:name w:val="footnote text"/>
    <w:basedOn w:val="Normal"/>
    <w:link w:val="FootnoteTextChar"/>
    <w:rsid w:val="009A2892"/>
    <w:pPr>
      <w:overflowPunct/>
      <w:autoSpaceDE/>
      <w:autoSpaceDN/>
      <w:adjustRightInd/>
      <w:textAlignment w:val="auto"/>
    </w:pPr>
    <w:rPr>
      <w:rFonts w:cs="Times New Roman"/>
      <w:szCs w:val="24"/>
      <w:lang w:eastAsia="en-US"/>
    </w:rPr>
  </w:style>
  <w:style w:type="character" w:styleId="FootnoteReference">
    <w:name w:val="footnote reference"/>
    <w:basedOn w:val="DefaultParagraphFont"/>
    <w:rsid w:val="009A2892"/>
    <w:rPr>
      <w:rFonts w:ascii="Arial" w:hAnsi="Arial"/>
      <w:sz w:val="20"/>
      <w:vertAlign w:val="superscript"/>
    </w:rPr>
  </w:style>
  <w:style w:type="paragraph" w:styleId="ListParagraph">
    <w:name w:val="List Paragraph"/>
    <w:basedOn w:val="Normal"/>
    <w:qFormat/>
    <w:rsid w:val="002C5611"/>
    <w:pPr>
      <w:overflowPunct/>
      <w:autoSpaceDE/>
      <w:autoSpaceDN/>
      <w:adjustRightInd/>
      <w:spacing w:after="200" w:line="276" w:lineRule="auto"/>
      <w:ind w:left="720"/>
      <w:contextualSpacing/>
      <w:textAlignment w:val="auto"/>
    </w:pPr>
    <w:rPr>
      <w:rFonts w:ascii="Calibri" w:hAnsi="Calibri" w:cs="Times New Roman"/>
      <w:sz w:val="22"/>
      <w:szCs w:val="22"/>
      <w:lang w:eastAsia="en-US" w:bidi="en-US"/>
    </w:rPr>
  </w:style>
  <w:style w:type="character" w:customStyle="1" w:styleId="FootnoteTextChar">
    <w:name w:val="Footnote Text Char"/>
    <w:basedOn w:val="DefaultParagraphFont"/>
    <w:link w:val="FootnoteText"/>
    <w:rsid w:val="004646F2"/>
    <w:rPr>
      <w:rFonts w:ascii="Arial" w:hAnsi="Arial"/>
      <w:szCs w:val="24"/>
      <w:lang w:val="en-GB" w:eastAsia="en-US" w:bidi="ar-SA"/>
    </w:rPr>
  </w:style>
  <w:style w:type="paragraph" w:styleId="Revision">
    <w:name w:val="Revision"/>
    <w:hidden/>
    <w:uiPriority w:val="99"/>
    <w:semiHidden/>
    <w:rsid w:val="00E77AC6"/>
    <w:rPr>
      <w:rFonts w:ascii="Arial" w:hAnsi="Arial" w:cs="Arial"/>
    </w:rPr>
  </w:style>
  <w:style w:type="character" w:customStyle="1" w:styleId="BCSBulletparagraphChar">
    <w:name w:val="| BCS | Bullet paragraph Char"/>
    <w:basedOn w:val="DefaultParagraphFont"/>
    <w:link w:val="BCSBulletparagraph"/>
    <w:rsid w:val="007466B1"/>
    <w:rPr>
      <w:rFonts w:ascii="Arial" w:hAnsi="Arial" w:cs="Arial"/>
      <w:sz w:val="24"/>
      <w:lang w:val="en-GB" w:eastAsia="en-GB" w:bidi="ar-SA"/>
    </w:rPr>
  </w:style>
  <w:style w:type="character" w:customStyle="1" w:styleId="BCSBulletlastChar">
    <w:name w:val="| BCS | Bullet last Char"/>
    <w:basedOn w:val="BCSBulletparagraphChar"/>
    <w:link w:val="BCSBulletlast"/>
    <w:rsid w:val="007466B1"/>
  </w:style>
  <w:style w:type="character" w:customStyle="1" w:styleId="BCSHeadingAChar">
    <w:name w:val="| BCS | Heading A Char"/>
    <w:basedOn w:val="DefaultParagraphFont"/>
    <w:link w:val="BCSHeadingA"/>
    <w:rsid w:val="007466B1"/>
    <w:rPr>
      <w:rFonts w:ascii="Arial" w:hAnsi="Arial" w:cs="Arial"/>
      <w:b/>
      <w:bCs/>
      <w:color w:val="000000"/>
      <w:sz w:val="28"/>
      <w:szCs w:val="24"/>
      <w:lang w:val="en-GB" w:eastAsia="en-GB" w:bidi="ar-SA"/>
    </w:rPr>
  </w:style>
  <w:style w:type="character" w:customStyle="1" w:styleId="BCSParagraphChar">
    <w:name w:val="| BCS | Paragraph Char"/>
    <w:basedOn w:val="DefaultParagraphFont"/>
    <w:link w:val="BCSParagraph"/>
    <w:rsid w:val="00152749"/>
    <w:rPr>
      <w:rFonts w:ascii="Arial" w:hAnsi="Arial" w:cs="Arial"/>
      <w:color w:val="000000"/>
      <w:sz w:val="24"/>
      <w:lang w:val="en-GB" w:eastAsia="en-GB" w:bidi="ar-SA"/>
    </w:rPr>
  </w:style>
  <w:style w:type="character" w:styleId="FollowedHyperlink">
    <w:name w:val="FollowedHyperlink"/>
    <w:basedOn w:val="DefaultParagraphFont"/>
    <w:rsid w:val="001365E0"/>
    <w:rPr>
      <w:color w:val="800080"/>
      <w:u w:val="single"/>
    </w:rPr>
  </w:style>
  <w:style w:type="paragraph" w:styleId="Bibliography">
    <w:name w:val="Bibliography"/>
    <w:basedOn w:val="Normal"/>
    <w:next w:val="Normal"/>
    <w:uiPriority w:val="37"/>
    <w:semiHidden/>
    <w:unhideWhenUsed/>
    <w:rsid w:val="00AE1C93"/>
  </w:style>
  <w:style w:type="paragraph" w:styleId="BlockText">
    <w:name w:val="Block Text"/>
    <w:basedOn w:val="Normal"/>
    <w:rsid w:val="00AE1C93"/>
    <w:pPr>
      <w:spacing w:after="120"/>
      <w:ind w:left="1440" w:right="1440"/>
    </w:pPr>
  </w:style>
  <w:style w:type="paragraph" w:styleId="BodyText">
    <w:name w:val="Body Text"/>
    <w:basedOn w:val="Normal"/>
    <w:link w:val="BodyTextChar"/>
    <w:rsid w:val="00AE1C93"/>
    <w:pPr>
      <w:spacing w:after="120"/>
    </w:pPr>
  </w:style>
  <w:style w:type="character" w:customStyle="1" w:styleId="BodyTextChar">
    <w:name w:val="Body Text Char"/>
    <w:basedOn w:val="DefaultParagraphFont"/>
    <w:link w:val="BodyText"/>
    <w:rsid w:val="00AE1C93"/>
    <w:rPr>
      <w:rFonts w:ascii="Arial" w:hAnsi="Arial" w:cs="Arial"/>
    </w:rPr>
  </w:style>
  <w:style w:type="paragraph" w:styleId="BodyText2">
    <w:name w:val="Body Text 2"/>
    <w:basedOn w:val="Normal"/>
    <w:link w:val="BodyText2Char"/>
    <w:rsid w:val="00AE1C93"/>
    <w:pPr>
      <w:spacing w:after="120" w:line="480" w:lineRule="auto"/>
    </w:pPr>
  </w:style>
  <w:style w:type="character" w:customStyle="1" w:styleId="BodyText2Char">
    <w:name w:val="Body Text 2 Char"/>
    <w:basedOn w:val="DefaultParagraphFont"/>
    <w:link w:val="BodyText2"/>
    <w:rsid w:val="00AE1C93"/>
    <w:rPr>
      <w:rFonts w:ascii="Arial" w:hAnsi="Arial" w:cs="Arial"/>
    </w:rPr>
  </w:style>
  <w:style w:type="paragraph" w:styleId="BodyText3">
    <w:name w:val="Body Text 3"/>
    <w:basedOn w:val="Normal"/>
    <w:link w:val="BodyText3Char"/>
    <w:rsid w:val="00AE1C93"/>
    <w:pPr>
      <w:spacing w:after="120"/>
    </w:pPr>
    <w:rPr>
      <w:sz w:val="16"/>
      <w:szCs w:val="16"/>
    </w:rPr>
  </w:style>
  <w:style w:type="character" w:customStyle="1" w:styleId="BodyText3Char">
    <w:name w:val="Body Text 3 Char"/>
    <w:basedOn w:val="DefaultParagraphFont"/>
    <w:link w:val="BodyText3"/>
    <w:rsid w:val="00AE1C93"/>
    <w:rPr>
      <w:rFonts w:ascii="Arial" w:hAnsi="Arial" w:cs="Arial"/>
      <w:sz w:val="16"/>
      <w:szCs w:val="16"/>
    </w:rPr>
  </w:style>
  <w:style w:type="paragraph" w:styleId="BodyTextFirstIndent">
    <w:name w:val="Body Text First Indent"/>
    <w:basedOn w:val="BodyText"/>
    <w:link w:val="BodyTextFirstIndentChar"/>
    <w:rsid w:val="00AE1C93"/>
    <w:pPr>
      <w:ind w:firstLine="210"/>
    </w:pPr>
  </w:style>
  <w:style w:type="character" w:customStyle="1" w:styleId="BodyTextFirstIndentChar">
    <w:name w:val="Body Text First Indent Char"/>
    <w:basedOn w:val="BodyTextChar"/>
    <w:link w:val="BodyTextFirstIndent"/>
    <w:rsid w:val="00AE1C93"/>
  </w:style>
  <w:style w:type="paragraph" w:styleId="BodyTextIndent">
    <w:name w:val="Body Text Indent"/>
    <w:basedOn w:val="Normal"/>
    <w:link w:val="BodyTextIndentChar"/>
    <w:rsid w:val="00AE1C93"/>
    <w:pPr>
      <w:spacing w:after="120"/>
      <w:ind w:left="283"/>
    </w:pPr>
  </w:style>
  <w:style w:type="character" w:customStyle="1" w:styleId="BodyTextIndentChar">
    <w:name w:val="Body Text Indent Char"/>
    <w:basedOn w:val="DefaultParagraphFont"/>
    <w:link w:val="BodyTextIndent"/>
    <w:rsid w:val="00AE1C93"/>
    <w:rPr>
      <w:rFonts w:ascii="Arial" w:hAnsi="Arial" w:cs="Arial"/>
    </w:rPr>
  </w:style>
  <w:style w:type="paragraph" w:styleId="BodyTextFirstIndent2">
    <w:name w:val="Body Text First Indent 2"/>
    <w:basedOn w:val="BodyTextIndent"/>
    <w:link w:val="BodyTextFirstIndent2Char"/>
    <w:rsid w:val="00AE1C93"/>
    <w:pPr>
      <w:ind w:firstLine="210"/>
    </w:pPr>
  </w:style>
  <w:style w:type="character" w:customStyle="1" w:styleId="BodyTextFirstIndent2Char">
    <w:name w:val="Body Text First Indent 2 Char"/>
    <w:basedOn w:val="BodyTextIndentChar"/>
    <w:link w:val="BodyTextFirstIndent2"/>
    <w:rsid w:val="00AE1C93"/>
  </w:style>
  <w:style w:type="paragraph" w:styleId="BodyTextIndent2">
    <w:name w:val="Body Text Indent 2"/>
    <w:basedOn w:val="Normal"/>
    <w:link w:val="BodyTextIndent2Char"/>
    <w:rsid w:val="00AE1C93"/>
    <w:pPr>
      <w:spacing w:after="120" w:line="480" w:lineRule="auto"/>
      <w:ind w:left="283"/>
    </w:pPr>
  </w:style>
  <w:style w:type="character" w:customStyle="1" w:styleId="BodyTextIndent2Char">
    <w:name w:val="Body Text Indent 2 Char"/>
    <w:basedOn w:val="DefaultParagraphFont"/>
    <w:link w:val="BodyTextIndent2"/>
    <w:rsid w:val="00AE1C93"/>
    <w:rPr>
      <w:rFonts w:ascii="Arial" w:hAnsi="Arial" w:cs="Arial"/>
    </w:rPr>
  </w:style>
  <w:style w:type="paragraph" w:styleId="BodyTextIndent3">
    <w:name w:val="Body Text Indent 3"/>
    <w:basedOn w:val="Normal"/>
    <w:link w:val="BodyTextIndent3Char"/>
    <w:rsid w:val="00AE1C93"/>
    <w:pPr>
      <w:spacing w:after="120"/>
      <w:ind w:left="283"/>
    </w:pPr>
    <w:rPr>
      <w:sz w:val="16"/>
      <w:szCs w:val="16"/>
    </w:rPr>
  </w:style>
  <w:style w:type="character" w:customStyle="1" w:styleId="BodyTextIndent3Char">
    <w:name w:val="Body Text Indent 3 Char"/>
    <w:basedOn w:val="DefaultParagraphFont"/>
    <w:link w:val="BodyTextIndent3"/>
    <w:rsid w:val="00AE1C93"/>
    <w:rPr>
      <w:rFonts w:ascii="Arial" w:hAnsi="Arial" w:cs="Arial"/>
      <w:sz w:val="16"/>
      <w:szCs w:val="16"/>
    </w:rPr>
  </w:style>
  <w:style w:type="paragraph" w:styleId="Caption">
    <w:name w:val="caption"/>
    <w:basedOn w:val="Normal"/>
    <w:next w:val="Normal"/>
    <w:semiHidden/>
    <w:unhideWhenUsed/>
    <w:qFormat/>
    <w:rsid w:val="00AE1C93"/>
    <w:rPr>
      <w:b/>
      <w:bCs/>
    </w:rPr>
  </w:style>
  <w:style w:type="paragraph" w:styleId="Closing">
    <w:name w:val="Closing"/>
    <w:basedOn w:val="Normal"/>
    <w:link w:val="ClosingChar"/>
    <w:rsid w:val="00AE1C93"/>
    <w:pPr>
      <w:ind w:left="4252"/>
    </w:pPr>
  </w:style>
  <w:style w:type="character" w:customStyle="1" w:styleId="ClosingChar">
    <w:name w:val="Closing Char"/>
    <w:basedOn w:val="DefaultParagraphFont"/>
    <w:link w:val="Closing"/>
    <w:rsid w:val="00AE1C93"/>
    <w:rPr>
      <w:rFonts w:ascii="Arial" w:hAnsi="Arial" w:cs="Arial"/>
    </w:rPr>
  </w:style>
  <w:style w:type="paragraph" w:styleId="Date">
    <w:name w:val="Date"/>
    <w:basedOn w:val="Normal"/>
    <w:next w:val="Normal"/>
    <w:link w:val="DateChar"/>
    <w:rsid w:val="00AE1C93"/>
  </w:style>
  <w:style w:type="character" w:customStyle="1" w:styleId="DateChar">
    <w:name w:val="Date Char"/>
    <w:basedOn w:val="DefaultParagraphFont"/>
    <w:link w:val="Date"/>
    <w:rsid w:val="00AE1C93"/>
    <w:rPr>
      <w:rFonts w:ascii="Arial" w:hAnsi="Arial" w:cs="Arial"/>
    </w:rPr>
  </w:style>
  <w:style w:type="paragraph" w:styleId="DocumentMap">
    <w:name w:val="Document Map"/>
    <w:basedOn w:val="Normal"/>
    <w:link w:val="DocumentMapChar"/>
    <w:rsid w:val="00AE1C93"/>
    <w:rPr>
      <w:rFonts w:ascii="Tahoma" w:hAnsi="Tahoma" w:cs="Tahoma"/>
      <w:sz w:val="16"/>
      <w:szCs w:val="16"/>
    </w:rPr>
  </w:style>
  <w:style w:type="character" w:customStyle="1" w:styleId="DocumentMapChar">
    <w:name w:val="Document Map Char"/>
    <w:basedOn w:val="DefaultParagraphFont"/>
    <w:link w:val="DocumentMap"/>
    <w:rsid w:val="00AE1C93"/>
    <w:rPr>
      <w:rFonts w:ascii="Tahoma" w:hAnsi="Tahoma" w:cs="Tahoma"/>
      <w:sz w:val="16"/>
      <w:szCs w:val="16"/>
    </w:rPr>
  </w:style>
  <w:style w:type="paragraph" w:styleId="E-mailSignature">
    <w:name w:val="E-mail Signature"/>
    <w:basedOn w:val="Normal"/>
    <w:link w:val="E-mailSignatureChar"/>
    <w:rsid w:val="00AE1C93"/>
  </w:style>
  <w:style w:type="character" w:customStyle="1" w:styleId="E-mailSignatureChar">
    <w:name w:val="E-mail Signature Char"/>
    <w:basedOn w:val="DefaultParagraphFont"/>
    <w:link w:val="E-mailSignature"/>
    <w:rsid w:val="00AE1C93"/>
    <w:rPr>
      <w:rFonts w:ascii="Arial" w:hAnsi="Arial" w:cs="Arial"/>
    </w:rPr>
  </w:style>
  <w:style w:type="paragraph" w:styleId="EndnoteText">
    <w:name w:val="endnote text"/>
    <w:basedOn w:val="Normal"/>
    <w:link w:val="EndnoteTextChar"/>
    <w:rsid w:val="00AE1C93"/>
  </w:style>
  <w:style w:type="character" w:customStyle="1" w:styleId="EndnoteTextChar">
    <w:name w:val="Endnote Text Char"/>
    <w:basedOn w:val="DefaultParagraphFont"/>
    <w:link w:val="EndnoteText"/>
    <w:rsid w:val="00AE1C93"/>
    <w:rPr>
      <w:rFonts w:ascii="Arial" w:hAnsi="Arial" w:cs="Arial"/>
    </w:rPr>
  </w:style>
  <w:style w:type="paragraph" w:styleId="EnvelopeAddress">
    <w:name w:val="envelope address"/>
    <w:basedOn w:val="Normal"/>
    <w:rsid w:val="00AE1C93"/>
    <w:pPr>
      <w:framePr w:w="7920" w:h="1980" w:hRule="exact" w:hSpace="180" w:wrap="auto" w:hAnchor="page" w:xAlign="center" w:yAlign="bottom"/>
      <w:ind w:left="2880"/>
    </w:pPr>
    <w:rPr>
      <w:rFonts w:ascii="Cambria" w:hAnsi="Cambria" w:cs="Times New Roman"/>
      <w:sz w:val="24"/>
      <w:szCs w:val="24"/>
    </w:rPr>
  </w:style>
  <w:style w:type="paragraph" w:styleId="EnvelopeReturn">
    <w:name w:val="envelope return"/>
    <w:basedOn w:val="Normal"/>
    <w:rsid w:val="00AE1C93"/>
    <w:rPr>
      <w:rFonts w:ascii="Cambria" w:hAnsi="Cambria" w:cs="Times New Roman"/>
    </w:rPr>
  </w:style>
  <w:style w:type="character" w:customStyle="1" w:styleId="Heading8Char">
    <w:name w:val="Heading 8 Char"/>
    <w:basedOn w:val="DefaultParagraphFont"/>
    <w:link w:val="Heading8"/>
    <w:semiHidden/>
    <w:rsid w:val="00AE1C93"/>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AE1C93"/>
    <w:rPr>
      <w:rFonts w:ascii="Cambria" w:eastAsia="Times New Roman" w:hAnsi="Cambria" w:cs="Times New Roman"/>
      <w:sz w:val="22"/>
      <w:szCs w:val="22"/>
    </w:rPr>
  </w:style>
  <w:style w:type="paragraph" w:styleId="HTMLAddress">
    <w:name w:val="HTML Address"/>
    <w:basedOn w:val="Normal"/>
    <w:link w:val="HTMLAddressChar"/>
    <w:rsid w:val="00AE1C93"/>
    <w:rPr>
      <w:i/>
      <w:iCs/>
    </w:rPr>
  </w:style>
  <w:style w:type="character" w:customStyle="1" w:styleId="HTMLAddressChar">
    <w:name w:val="HTML Address Char"/>
    <w:basedOn w:val="DefaultParagraphFont"/>
    <w:link w:val="HTMLAddress"/>
    <w:rsid w:val="00AE1C93"/>
    <w:rPr>
      <w:rFonts w:ascii="Arial" w:hAnsi="Arial" w:cs="Arial"/>
      <w:i/>
      <w:iCs/>
    </w:rPr>
  </w:style>
  <w:style w:type="paragraph" w:styleId="HTMLPreformatted">
    <w:name w:val="HTML Preformatted"/>
    <w:basedOn w:val="Normal"/>
    <w:link w:val="HTMLPreformattedChar"/>
    <w:rsid w:val="00AE1C93"/>
    <w:rPr>
      <w:rFonts w:ascii="Courier New" w:hAnsi="Courier New" w:cs="Courier New"/>
    </w:rPr>
  </w:style>
  <w:style w:type="character" w:customStyle="1" w:styleId="HTMLPreformattedChar">
    <w:name w:val="HTML Preformatted Char"/>
    <w:basedOn w:val="DefaultParagraphFont"/>
    <w:link w:val="HTMLPreformatted"/>
    <w:rsid w:val="00AE1C93"/>
    <w:rPr>
      <w:rFonts w:ascii="Courier New" w:hAnsi="Courier New" w:cs="Courier New"/>
    </w:rPr>
  </w:style>
  <w:style w:type="paragraph" w:styleId="Index1">
    <w:name w:val="index 1"/>
    <w:basedOn w:val="Normal"/>
    <w:next w:val="Normal"/>
    <w:autoRedefine/>
    <w:rsid w:val="00AE1C93"/>
    <w:pPr>
      <w:ind w:left="200" w:hanging="200"/>
    </w:pPr>
  </w:style>
  <w:style w:type="paragraph" w:styleId="Index2">
    <w:name w:val="index 2"/>
    <w:basedOn w:val="Normal"/>
    <w:next w:val="Normal"/>
    <w:autoRedefine/>
    <w:rsid w:val="00AE1C93"/>
    <w:pPr>
      <w:ind w:left="400" w:hanging="200"/>
    </w:pPr>
  </w:style>
  <w:style w:type="paragraph" w:styleId="Index3">
    <w:name w:val="index 3"/>
    <w:basedOn w:val="Normal"/>
    <w:next w:val="Normal"/>
    <w:autoRedefine/>
    <w:rsid w:val="00AE1C93"/>
    <w:pPr>
      <w:ind w:left="600" w:hanging="200"/>
    </w:pPr>
  </w:style>
  <w:style w:type="paragraph" w:styleId="Index4">
    <w:name w:val="index 4"/>
    <w:basedOn w:val="Normal"/>
    <w:next w:val="Normal"/>
    <w:autoRedefine/>
    <w:rsid w:val="00AE1C93"/>
    <w:pPr>
      <w:ind w:left="800" w:hanging="200"/>
    </w:pPr>
  </w:style>
  <w:style w:type="paragraph" w:styleId="Index5">
    <w:name w:val="index 5"/>
    <w:basedOn w:val="Normal"/>
    <w:next w:val="Normal"/>
    <w:autoRedefine/>
    <w:rsid w:val="00AE1C93"/>
    <w:pPr>
      <w:ind w:left="1000" w:hanging="200"/>
    </w:pPr>
  </w:style>
  <w:style w:type="paragraph" w:styleId="Index6">
    <w:name w:val="index 6"/>
    <w:basedOn w:val="Normal"/>
    <w:next w:val="Normal"/>
    <w:autoRedefine/>
    <w:rsid w:val="00AE1C93"/>
    <w:pPr>
      <w:ind w:left="1200" w:hanging="200"/>
    </w:pPr>
  </w:style>
  <w:style w:type="paragraph" w:styleId="Index7">
    <w:name w:val="index 7"/>
    <w:basedOn w:val="Normal"/>
    <w:next w:val="Normal"/>
    <w:autoRedefine/>
    <w:rsid w:val="00AE1C93"/>
    <w:pPr>
      <w:ind w:left="1400" w:hanging="200"/>
    </w:pPr>
  </w:style>
  <w:style w:type="paragraph" w:styleId="Index8">
    <w:name w:val="index 8"/>
    <w:basedOn w:val="Normal"/>
    <w:next w:val="Normal"/>
    <w:autoRedefine/>
    <w:rsid w:val="00AE1C93"/>
    <w:pPr>
      <w:ind w:left="1600" w:hanging="200"/>
    </w:pPr>
  </w:style>
  <w:style w:type="paragraph" w:styleId="Index9">
    <w:name w:val="index 9"/>
    <w:basedOn w:val="Normal"/>
    <w:next w:val="Normal"/>
    <w:autoRedefine/>
    <w:rsid w:val="00AE1C93"/>
    <w:pPr>
      <w:ind w:left="1800" w:hanging="200"/>
    </w:pPr>
  </w:style>
  <w:style w:type="paragraph" w:styleId="IndexHeading">
    <w:name w:val="index heading"/>
    <w:basedOn w:val="Normal"/>
    <w:next w:val="Index1"/>
    <w:rsid w:val="00AE1C93"/>
    <w:rPr>
      <w:rFonts w:ascii="Cambria" w:hAnsi="Cambria" w:cs="Times New Roman"/>
      <w:b/>
      <w:bCs/>
    </w:rPr>
  </w:style>
  <w:style w:type="paragraph" w:styleId="IntenseQuote">
    <w:name w:val="Intense Quote"/>
    <w:basedOn w:val="Normal"/>
    <w:next w:val="Normal"/>
    <w:link w:val="IntenseQuoteChar"/>
    <w:uiPriority w:val="30"/>
    <w:qFormat/>
    <w:rsid w:val="00AE1C9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E1C93"/>
    <w:rPr>
      <w:rFonts w:ascii="Arial" w:hAnsi="Arial" w:cs="Arial"/>
      <w:b/>
      <w:bCs/>
      <w:i/>
      <w:iCs/>
      <w:color w:val="4F81BD"/>
    </w:rPr>
  </w:style>
  <w:style w:type="paragraph" w:styleId="List">
    <w:name w:val="List"/>
    <w:basedOn w:val="Normal"/>
    <w:rsid w:val="00AE1C93"/>
    <w:pPr>
      <w:ind w:left="283" w:hanging="283"/>
      <w:contextualSpacing/>
    </w:pPr>
  </w:style>
  <w:style w:type="paragraph" w:styleId="List2">
    <w:name w:val="List 2"/>
    <w:basedOn w:val="Normal"/>
    <w:rsid w:val="00AE1C93"/>
    <w:pPr>
      <w:ind w:left="566" w:hanging="283"/>
      <w:contextualSpacing/>
    </w:pPr>
  </w:style>
  <w:style w:type="paragraph" w:styleId="List3">
    <w:name w:val="List 3"/>
    <w:basedOn w:val="Normal"/>
    <w:rsid w:val="00AE1C93"/>
    <w:pPr>
      <w:ind w:left="849" w:hanging="283"/>
      <w:contextualSpacing/>
    </w:pPr>
  </w:style>
  <w:style w:type="paragraph" w:styleId="List4">
    <w:name w:val="List 4"/>
    <w:basedOn w:val="Normal"/>
    <w:rsid w:val="00AE1C93"/>
    <w:pPr>
      <w:ind w:left="1132" w:hanging="283"/>
      <w:contextualSpacing/>
    </w:pPr>
  </w:style>
  <w:style w:type="paragraph" w:styleId="List5">
    <w:name w:val="List 5"/>
    <w:basedOn w:val="Normal"/>
    <w:rsid w:val="00AE1C93"/>
    <w:pPr>
      <w:ind w:left="1415" w:hanging="283"/>
      <w:contextualSpacing/>
    </w:pPr>
  </w:style>
  <w:style w:type="paragraph" w:styleId="ListBullet">
    <w:name w:val="List Bullet"/>
    <w:basedOn w:val="Normal"/>
    <w:rsid w:val="00AE1C93"/>
    <w:pPr>
      <w:numPr>
        <w:numId w:val="14"/>
      </w:numPr>
      <w:contextualSpacing/>
    </w:pPr>
  </w:style>
  <w:style w:type="paragraph" w:styleId="ListBullet2">
    <w:name w:val="List Bullet 2"/>
    <w:basedOn w:val="Normal"/>
    <w:rsid w:val="00AE1C93"/>
    <w:pPr>
      <w:numPr>
        <w:numId w:val="15"/>
      </w:numPr>
      <w:contextualSpacing/>
    </w:pPr>
  </w:style>
  <w:style w:type="paragraph" w:styleId="ListBullet3">
    <w:name w:val="List Bullet 3"/>
    <w:basedOn w:val="Normal"/>
    <w:rsid w:val="00AE1C93"/>
    <w:pPr>
      <w:numPr>
        <w:numId w:val="16"/>
      </w:numPr>
      <w:contextualSpacing/>
    </w:pPr>
  </w:style>
  <w:style w:type="paragraph" w:styleId="ListBullet4">
    <w:name w:val="List Bullet 4"/>
    <w:basedOn w:val="Normal"/>
    <w:rsid w:val="00AE1C93"/>
    <w:pPr>
      <w:numPr>
        <w:numId w:val="17"/>
      </w:numPr>
      <w:contextualSpacing/>
    </w:pPr>
  </w:style>
  <w:style w:type="paragraph" w:styleId="ListBullet5">
    <w:name w:val="List Bullet 5"/>
    <w:basedOn w:val="Normal"/>
    <w:rsid w:val="00AE1C93"/>
    <w:pPr>
      <w:numPr>
        <w:numId w:val="18"/>
      </w:numPr>
      <w:contextualSpacing/>
    </w:pPr>
  </w:style>
  <w:style w:type="paragraph" w:styleId="ListContinue">
    <w:name w:val="List Continue"/>
    <w:basedOn w:val="Normal"/>
    <w:rsid w:val="00AE1C93"/>
    <w:pPr>
      <w:spacing w:after="120"/>
      <w:ind w:left="283"/>
      <w:contextualSpacing/>
    </w:pPr>
  </w:style>
  <w:style w:type="paragraph" w:styleId="ListContinue2">
    <w:name w:val="List Continue 2"/>
    <w:basedOn w:val="Normal"/>
    <w:rsid w:val="00AE1C93"/>
    <w:pPr>
      <w:spacing w:after="120"/>
      <w:ind w:left="566"/>
      <w:contextualSpacing/>
    </w:pPr>
  </w:style>
  <w:style w:type="paragraph" w:styleId="ListContinue3">
    <w:name w:val="List Continue 3"/>
    <w:basedOn w:val="Normal"/>
    <w:rsid w:val="00AE1C93"/>
    <w:pPr>
      <w:spacing w:after="120"/>
      <w:ind w:left="849"/>
      <w:contextualSpacing/>
    </w:pPr>
  </w:style>
  <w:style w:type="paragraph" w:styleId="ListContinue4">
    <w:name w:val="List Continue 4"/>
    <w:basedOn w:val="Normal"/>
    <w:rsid w:val="00AE1C93"/>
    <w:pPr>
      <w:spacing w:after="120"/>
      <w:ind w:left="1132"/>
      <w:contextualSpacing/>
    </w:pPr>
  </w:style>
  <w:style w:type="paragraph" w:styleId="ListContinue5">
    <w:name w:val="List Continue 5"/>
    <w:basedOn w:val="Normal"/>
    <w:rsid w:val="00AE1C93"/>
    <w:pPr>
      <w:spacing w:after="120"/>
      <w:ind w:left="1415"/>
      <w:contextualSpacing/>
    </w:pPr>
  </w:style>
  <w:style w:type="paragraph" w:styleId="ListNumber">
    <w:name w:val="List Number"/>
    <w:basedOn w:val="Normal"/>
    <w:rsid w:val="00AE1C93"/>
    <w:pPr>
      <w:numPr>
        <w:numId w:val="19"/>
      </w:numPr>
      <w:contextualSpacing/>
    </w:pPr>
  </w:style>
  <w:style w:type="paragraph" w:styleId="ListNumber2">
    <w:name w:val="List Number 2"/>
    <w:basedOn w:val="Normal"/>
    <w:rsid w:val="00AE1C93"/>
    <w:pPr>
      <w:numPr>
        <w:numId w:val="20"/>
      </w:numPr>
      <w:contextualSpacing/>
    </w:pPr>
  </w:style>
  <w:style w:type="paragraph" w:styleId="ListNumber3">
    <w:name w:val="List Number 3"/>
    <w:basedOn w:val="Normal"/>
    <w:rsid w:val="00AE1C93"/>
    <w:pPr>
      <w:numPr>
        <w:numId w:val="21"/>
      </w:numPr>
      <w:contextualSpacing/>
    </w:pPr>
  </w:style>
  <w:style w:type="paragraph" w:styleId="ListNumber4">
    <w:name w:val="List Number 4"/>
    <w:basedOn w:val="Normal"/>
    <w:rsid w:val="00AE1C93"/>
    <w:pPr>
      <w:numPr>
        <w:numId w:val="22"/>
      </w:numPr>
      <w:contextualSpacing/>
    </w:pPr>
  </w:style>
  <w:style w:type="paragraph" w:styleId="ListNumber5">
    <w:name w:val="List Number 5"/>
    <w:basedOn w:val="Normal"/>
    <w:rsid w:val="00AE1C93"/>
    <w:pPr>
      <w:numPr>
        <w:numId w:val="23"/>
      </w:numPr>
      <w:contextualSpacing/>
    </w:pPr>
  </w:style>
  <w:style w:type="paragraph" w:styleId="MacroText">
    <w:name w:val="macro"/>
    <w:link w:val="MacroTextChar"/>
    <w:rsid w:val="00AE1C9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basedOn w:val="DefaultParagraphFont"/>
    <w:link w:val="MacroText"/>
    <w:rsid w:val="00AE1C93"/>
    <w:rPr>
      <w:rFonts w:ascii="Courier New" w:hAnsi="Courier New" w:cs="Courier New"/>
      <w:lang w:val="en-GB" w:eastAsia="en-GB" w:bidi="ar-SA"/>
    </w:rPr>
  </w:style>
  <w:style w:type="paragraph" w:styleId="MessageHeader">
    <w:name w:val="Message Header"/>
    <w:basedOn w:val="Normal"/>
    <w:link w:val="MessageHeaderChar"/>
    <w:rsid w:val="00AE1C9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basedOn w:val="DefaultParagraphFont"/>
    <w:link w:val="MessageHeader"/>
    <w:rsid w:val="00AE1C93"/>
    <w:rPr>
      <w:rFonts w:ascii="Cambria" w:eastAsia="Times New Roman" w:hAnsi="Cambria" w:cs="Times New Roman"/>
      <w:sz w:val="24"/>
      <w:szCs w:val="24"/>
      <w:shd w:val="pct20" w:color="auto" w:fill="auto"/>
    </w:rPr>
  </w:style>
  <w:style w:type="paragraph" w:styleId="NoSpacing">
    <w:name w:val="No Spacing"/>
    <w:uiPriority w:val="1"/>
    <w:qFormat/>
    <w:rsid w:val="00AE1C93"/>
    <w:pPr>
      <w:overflowPunct w:val="0"/>
      <w:autoSpaceDE w:val="0"/>
      <w:autoSpaceDN w:val="0"/>
      <w:adjustRightInd w:val="0"/>
      <w:textAlignment w:val="baseline"/>
    </w:pPr>
    <w:rPr>
      <w:rFonts w:ascii="Arial" w:hAnsi="Arial" w:cs="Arial"/>
    </w:rPr>
  </w:style>
  <w:style w:type="paragraph" w:styleId="NormalWeb">
    <w:name w:val="Normal (Web)"/>
    <w:basedOn w:val="Normal"/>
    <w:rsid w:val="00AE1C93"/>
    <w:rPr>
      <w:rFonts w:ascii="Times New Roman" w:hAnsi="Times New Roman" w:cs="Times New Roman"/>
      <w:sz w:val="24"/>
      <w:szCs w:val="24"/>
    </w:rPr>
  </w:style>
  <w:style w:type="paragraph" w:styleId="NormalIndent">
    <w:name w:val="Normal Indent"/>
    <w:basedOn w:val="Normal"/>
    <w:rsid w:val="00AE1C93"/>
    <w:pPr>
      <w:ind w:left="720"/>
    </w:pPr>
  </w:style>
  <w:style w:type="paragraph" w:styleId="NoteHeading">
    <w:name w:val="Note Heading"/>
    <w:basedOn w:val="Normal"/>
    <w:next w:val="Normal"/>
    <w:link w:val="NoteHeadingChar"/>
    <w:rsid w:val="00AE1C93"/>
  </w:style>
  <w:style w:type="character" w:customStyle="1" w:styleId="NoteHeadingChar">
    <w:name w:val="Note Heading Char"/>
    <w:basedOn w:val="DefaultParagraphFont"/>
    <w:link w:val="NoteHeading"/>
    <w:rsid w:val="00AE1C93"/>
    <w:rPr>
      <w:rFonts w:ascii="Arial" w:hAnsi="Arial" w:cs="Arial"/>
    </w:rPr>
  </w:style>
  <w:style w:type="paragraph" w:styleId="PlainText">
    <w:name w:val="Plain Text"/>
    <w:basedOn w:val="Normal"/>
    <w:link w:val="PlainTextChar"/>
    <w:rsid w:val="00AE1C93"/>
    <w:rPr>
      <w:rFonts w:ascii="Courier New" w:hAnsi="Courier New" w:cs="Courier New"/>
    </w:rPr>
  </w:style>
  <w:style w:type="character" w:customStyle="1" w:styleId="PlainTextChar">
    <w:name w:val="Plain Text Char"/>
    <w:basedOn w:val="DefaultParagraphFont"/>
    <w:link w:val="PlainText"/>
    <w:rsid w:val="00AE1C93"/>
    <w:rPr>
      <w:rFonts w:ascii="Courier New" w:hAnsi="Courier New" w:cs="Courier New"/>
    </w:rPr>
  </w:style>
  <w:style w:type="paragraph" w:styleId="Quote">
    <w:name w:val="Quote"/>
    <w:basedOn w:val="Normal"/>
    <w:next w:val="Normal"/>
    <w:link w:val="QuoteChar"/>
    <w:uiPriority w:val="29"/>
    <w:qFormat/>
    <w:rsid w:val="00AE1C93"/>
    <w:rPr>
      <w:i/>
      <w:iCs/>
      <w:color w:val="000000"/>
    </w:rPr>
  </w:style>
  <w:style w:type="character" w:customStyle="1" w:styleId="QuoteChar">
    <w:name w:val="Quote Char"/>
    <w:basedOn w:val="DefaultParagraphFont"/>
    <w:link w:val="Quote"/>
    <w:uiPriority w:val="29"/>
    <w:rsid w:val="00AE1C93"/>
    <w:rPr>
      <w:rFonts w:ascii="Arial" w:hAnsi="Arial" w:cs="Arial"/>
      <w:i/>
      <w:iCs/>
      <w:color w:val="000000"/>
    </w:rPr>
  </w:style>
  <w:style w:type="paragraph" w:styleId="Salutation">
    <w:name w:val="Salutation"/>
    <w:basedOn w:val="Normal"/>
    <w:next w:val="Normal"/>
    <w:link w:val="SalutationChar"/>
    <w:rsid w:val="00AE1C93"/>
  </w:style>
  <w:style w:type="character" w:customStyle="1" w:styleId="SalutationChar">
    <w:name w:val="Salutation Char"/>
    <w:basedOn w:val="DefaultParagraphFont"/>
    <w:link w:val="Salutation"/>
    <w:rsid w:val="00AE1C93"/>
    <w:rPr>
      <w:rFonts w:ascii="Arial" w:hAnsi="Arial" w:cs="Arial"/>
    </w:rPr>
  </w:style>
  <w:style w:type="paragraph" w:styleId="Signature">
    <w:name w:val="Signature"/>
    <w:basedOn w:val="Normal"/>
    <w:link w:val="SignatureChar"/>
    <w:rsid w:val="00AE1C93"/>
    <w:pPr>
      <w:ind w:left="4252"/>
    </w:pPr>
  </w:style>
  <w:style w:type="character" w:customStyle="1" w:styleId="SignatureChar">
    <w:name w:val="Signature Char"/>
    <w:basedOn w:val="DefaultParagraphFont"/>
    <w:link w:val="Signature"/>
    <w:rsid w:val="00AE1C93"/>
    <w:rPr>
      <w:rFonts w:ascii="Arial" w:hAnsi="Arial" w:cs="Arial"/>
    </w:rPr>
  </w:style>
  <w:style w:type="paragraph" w:styleId="Subtitle">
    <w:name w:val="Subtitle"/>
    <w:basedOn w:val="Normal"/>
    <w:next w:val="Normal"/>
    <w:link w:val="SubtitleChar"/>
    <w:qFormat/>
    <w:rsid w:val="00AE1C93"/>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AE1C93"/>
    <w:rPr>
      <w:rFonts w:ascii="Cambria" w:eastAsia="Times New Roman" w:hAnsi="Cambria" w:cs="Times New Roman"/>
      <w:sz w:val="24"/>
      <w:szCs w:val="24"/>
    </w:rPr>
  </w:style>
  <w:style w:type="paragraph" w:styleId="TableofAuthorities">
    <w:name w:val="table of authorities"/>
    <w:basedOn w:val="Normal"/>
    <w:next w:val="Normal"/>
    <w:rsid w:val="00AE1C93"/>
    <w:pPr>
      <w:ind w:left="200" w:hanging="200"/>
    </w:pPr>
  </w:style>
  <w:style w:type="paragraph" w:styleId="TableofFigures">
    <w:name w:val="table of figures"/>
    <w:basedOn w:val="Normal"/>
    <w:next w:val="Normal"/>
    <w:rsid w:val="00AE1C93"/>
  </w:style>
  <w:style w:type="paragraph" w:styleId="Title">
    <w:name w:val="Title"/>
    <w:basedOn w:val="Normal"/>
    <w:next w:val="Normal"/>
    <w:link w:val="TitleChar"/>
    <w:qFormat/>
    <w:rsid w:val="00AE1C93"/>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AE1C93"/>
    <w:rPr>
      <w:rFonts w:ascii="Cambria" w:eastAsia="Times New Roman" w:hAnsi="Cambria" w:cs="Times New Roman"/>
      <w:b/>
      <w:bCs/>
      <w:kern w:val="28"/>
      <w:sz w:val="32"/>
      <w:szCs w:val="32"/>
    </w:rPr>
  </w:style>
  <w:style w:type="paragraph" w:styleId="TOAHeading">
    <w:name w:val="toa heading"/>
    <w:basedOn w:val="Normal"/>
    <w:next w:val="Normal"/>
    <w:rsid w:val="00AE1C93"/>
    <w:pPr>
      <w:spacing w:before="120"/>
    </w:pPr>
    <w:rPr>
      <w:rFonts w:ascii="Cambria" w:hAnsi="Cambria" w:cs="Times New Roman"/>
      <w:b/>
      <w:bCs/>
      <w:sz w:val="24"/>
      <w:szCs w:val="24"/>
    </w:rPr>
  </w:style>
  <w:style w:type="paragraph" w:styleId="TOC5">
    <w:name w:val="toc 5"/>
    <w:basedOn w:val="Normal"/>
    <w:next w:val="Normal"/>
    <w:autoRedefine/>
    <w:rsid w:val="00AE1C93"/>
    <w:pPr>
      <w:ind w:left="800"/>
    </w:pPr>
  </w:style>
  <w:style w:type="paragraph" w:styleId="TOC6">
    <w:name w:val="toc 6"/>
    <w:basedOn w:val="Normal"/>
    <w:next w:val="Normal"/>
    <w:autoRedefine/>
    <w:rsid w:val="00AE1C93"/>
    <w:pPr>
      <w:ind w:left="1000"/>
    </w:pPr>
  </w:style>
  <w:style w:type="paragraph" w:styleId="TOC7">
    <w:name w:val="toc 7"/>
    <w:basedOn w:val="Normal"/>
    <w:next w:val="Normal"/>
    <w:autoRedefine/>
    <w:rsid w:val="00AE1C93"/>
    <w:pPr>
      <w:ind w:left="1200"/>
    </w:pPr>
  </w:style>
  <w:style w:type="paragraph" w:styleId="TOC8">
    <w:name w:val="toc 8"/>
    <w:basedOn w:val="Normal"/>
    <w:next w:val="Normal"/>
    <w:autoRedefine/>
    <w:rsid w:val="00AE1C93"/>
    <w:pPr>
      <w:ind w:left="1400"/>
    </w:pPr>
  </w:style>
  <w:style w:type="paragraph" w:styleId="TOC9">
    <w:name w:val="toc 9"/>
    <w:basedOn w:val="Normal"/>
    <w:next w:val="Normal"/>
    <w:autoRedefine/>
    <w:rsid w:val="00AE1C93"/>
    <w:pPr>
      <w:ind w:left="1600"/>
    </w:pPr>
  </w:style>
  <w:style w:type="paragraph" w:styleId="TOCHeading">
    <w:name w:val="TOC Heading"/>
    <w:basedOn w:val="Heading1"/>
    <w:next w:val="Normal"/>
    <w:uiPriority w:val="39"/>
    <w:semiHidden/>
    <w:unhideWhenUsed/>
    <w:qFormat/>
    <w:rsid w:val="00AE1C93"/>
    <w:pPr>
      <w:keepNext/>
      <w:spacing w:before="240" w:after="60"/>
      <w:outlineLvl w:val="9"/>
    </w:pPr>
    <w:rPr>
      <w:rFonts w:ascii="Cambria" w:hAnsi="Cambria" w:cs="Times New Roman"/>
      <w:color w:val="auto"/>
      <w:kern w:val="32"/>
      <w:sz w:val="32"/>
      <w:szCs w:val="32"/>
    </w:rPr>
  </w:style>
</w:styles>
</file>

<file path=word/webSettings.xml><?xml version="1.0" encoding="utf-8"?>
<w:webSettings xmlns:r="http://schemas.openxmlformats.org/officeDocument/2006/relationships" xmlns:w="http://schemas.openxmlformats.org/wordprocessingml/2006/main">
  <w:divs>
    <w:div w:id="151468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tners.becta.org.uk/index.php?section=rh&amp;catcode=_re_rp_02&amp;rid=17003" TargetMode="External"/><Relationship Id="rId13" Type="http://schemas.openxmlformats.org/officeDocument/2006/relationships/hyperlink" Target="http://partners.becta.org.uk/index.php?section=rh&amp;catcode=_re_rp_02&amp;rid=17003" TargetMode="External"/><Relationship Id="rId18" Type="http://schemas.openxmlformats.org/officeDocument/2006/relationships/hyperlink" Target="http://partners.becta.org.uk/index.php?section=rh&amp;catcode=_re_vi_ng_03&amp;rid=17432http://partners.becta.org.uk/index.php?section=rh&amp;catcode=_re_vi_ng_03&amp;rid=17432" TargetMode="External"/><Relationship Id="rId26" Type="http://schemas.openxmlformats.org/officeDocument/2006/relationships/hyperlink" Target="http://partners.becta.org.uk/index.php?section=rh&amp;catcode=_re_rp_02&amp;rid=17003" TargetMode="External"/><Relationship Id="rId39" Type="http://schemas.openxmlformats.org/officeDocument/2006/relationships/hyperlink" Target="http://partners.becta.org.uk/index.php?section=rh&amp;catcode=_re_vi_ng_03&amp;rid=17432" TargetMode="External"/><Relationship Id="rId3" Type="http://schemas.openxmlformats.org/officeDocument/2006/relationships/styles" Target="styles.xml"/><Relationship Id="rId21" Type="http://schemas.openxmlformats.org/officeDocument/2006/relationships/hyperlink" Target="http://partners.becta.org.uk/index.php?section=rh&amp;catcode=_re_vi_ng_03&amp;rid=17417" TargetMode="External"/><Relationship Id="rId34" Type="http://schemas.openxmlformats.org/officeDocument/2006/relationships/hyperlink" Target="http://partners.becta.org.uk/index.php?section=rh&amp;catcode=_re_vi_ng_03&amp;rid=17425"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partners.becta.org.uk/index.php?section=rh&amp;catcode=_re_rp_02&amp;rid=17003" TargetMode="External"/><Relationship Id="rId25" Type="http://schemas.openxmlformats.org/officeDocument/2006/relationships/hyperlink" Target="http://www.newhorizons.org/neuro/diamond_brain_response.htm" TargetMode="External"/><Relationship Id="rId33" Type="http://schemas.openxmlformats.org/officeDocument/2006/relationships/hyperlink" Target="http://partners.becta.org.uk/index.php?section=rh&amp;catcode=_re_vi_ng_03&amp;rid=17424" TargetMode="External"/><Relationship Id="rId38" Type="http://schemas.openxmlformats.org/officeDocument/2006/relationships/hyperlink" Target="http://partners.becta.org.uk/index.php?section=rh&amp;catcode=_re_vi_ng_03&amp;rid=17428"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partners.becta.org.uk/index.php?section=rh&amp;catcode=_re_vi_ng_03&amp;rid=17422" TargetMode="External"/><Relationship Id="rId29" Type="http://schemas.openxmlformats.org/officeDocument/2006/relationships/hyperlink" Target="http://partners.becta.org.uk/index.php?section=rh&amp;catcode=_re_vi_ng_03&amp;rid=17417"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5.wmf"/><Relationship Id="rId32" Type="http://schemas.openxmlformats.org/officeDocument/2006/relationships/hyperlink" Target="http://partners.becta.org.uk/index.php?section=rh&amp;catcode=_re_vi_ng_03&amp;rid=17414" TargetMode="External"/><Relationship Id="rId37" Type="http://schemas.openxmlformats.org/officeDocument/2006/relationships/hyperlink" Target="http://partners.becta.org.uk/index.php?section=rh&amp;catcode=_re_vi_ng_03&amp;rid=17431"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partners.becta.org.uk/index.php?section=rh&amp;catcode=_re_vi_ng_03&amp;rid=17419" TargetMode="External"/><Relationship Id="rId28" Type="http://schemas.openxmlformats.org/officeDocument/2006/relationships/hyperlink" Target="http://partners.becta.org.uk/index.php?section=rh&amp;catcode=_re_vi_ng_03&amp;rid=17419" TargetMode="External"/><Relationship Id="rId36" Type="http://schemas.openxmlformats.org/officeDocument/2006/relationships/hyperlink" Target="http://partners.becta.org.uk/index.php?section=rh&amp;catcode=_re_vi_ng_03&amp;rid=17430" TargetMode="External"/><Relationship Id="rId10" Type="http://schemas.openxmlformats.org/officeDocument/2006/relationships/hyperlink" Target="http://partners.becta.org.uk/index.php?section=rh&amp;catcode=_re_rp_02&amp;rid=17003" TargetMode="External"/><Relationship Id="rId19" Type="http://schemas.openxmlformats.org/officeDocument/2006/relationships/hyperlink" Target="http://partners.becta.org.uk/index.php?section=rh&amp;catcode=_re_rp_02&amp;rid=17003" TargetMode="External"/><Relationship Id="rId31" Type="http://schemas.openxmlformats.org/officeDocument/2006/relationships/hyperlink" Target="http://partners.becta.org.uk/index.php?section=rh&amp;catcode=_re_vi_ng_03&amp;rid=17421"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partners.becta.org.uk/index.php?section=rh&amp;catcode=_re_rp_02&amp;rid=17003" TargetMode="External"/><Relationship Id="rId14" Type="http://schemas.openxmlformats.org/officeDocument/2006/relationships/hyperlink" Target="http://partners.becta.org.uk/index.php?section=rh&amp;catcode=_re_rp_02&amp;rid=17003" TargetMode="External"/><Relationship Id="rId22" Type="http://schemas.openxmlformats.org/officeDocument/2006/relationships/hyperlink" Target="http://partners.becta.org.uk/index.php?section=rh&amp;catcode=_re_vi_ng_03&amp;rid=17419" TargetMode="External"/><Relationship Id="rId27" Type="http://schemas.openxmlformats.org/officeDocument/2006/relationships/hyperlink" Target="http://partners.becta.org.uk/index.php?section=rh&amp;catcode=_re_vi_ng_03&amp;rid=17422" TargetMode="External"/><Relationship Id="rId30" Type="http://schemas.openxmlformats.org/officeDocument/2006/relationships/hyperlink" Target="http://partners.becta.org.uk/index.php?section=rh&amp;catcode=_re_vi_ng_03&amp;rid=17415" TargetMode="External"/><Relationship Id="rId35" Type="http://schemas.openxmlformats.org/officeDocument/2006/relationships/hyperlink" Target="http://partners.becta.org.uk/index.php?section=rh&amp;catcode=_re_vi_ng_03&amp;rid=17426"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My%20Documents\Templates\Becta%20N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6B7A5-BFF0-4E03-AE04-FFAF7ED56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Becta New Template.dot</Template>
  <TotalTime>1</TotalTime>
  <Pages>6</Pages>
  <Words>10606</Words>
  <Characters>60458</Characters>
  <Application>Microsoft Office Word</Application>
  <DocSecurity>4</DocSecurity>
  <Lines>503</Lines>
  <Paragraphs>141</Paragraphs>
  <ScaleCrop>false</ScaleCrop>
  <HeadingPairs>
    <vt:vector size="2" baseType="variant">
      <vt:variant>
        <vt:lpstr>Title</vt:lpstr>
      </vt:variant>
      <vt:variant>
        <vt:i4>1</vt:i4>
      </vt:variant>
    </vt:vector>
  </HeadingPairs>
  <TitlesOfParts>
    <vt:vector size="1" baseType="lpstr">
      <vt:lpstr>Narrowing the Gap (Fieldwork)</vt:lpstr>
    </vt:vector>
  </TitlesOfParts>
  <Company>Becta</Company>
  <LinksUpToDate>false</LinksUpToDate>
  <CharactersWithSpaces>70923</CharactersWithSpaces>
  <SharedDoc>false</SharedDoc>
  <HyperlinkBase/>
  <HLinks>
    <vt:vector size="354" baseType="variant">
      <vt:variant>
        <vt:i4>1638478</vt:i4>
      </vt:variant>
      <vt:variant>
        <vt:i4>276</vt:i4>
      </vt:variant>
      <vt:variant>
        <vt:i4>0</vt:i4>
      </vt:variant>
      <vt:variant>
        <vt:i4>5</vt:i4>
      </vt:variant>
      <vt:variant>
        <vt:lpwstr>http://partners.becta.org.uk/index.php?section=rh&amp;catcode=_re_vi_ng_03&amp;rid=17432</vt:lpwstr>
      </vt:variant>
      <vt:variant>
        <vt:lpwstr/>
      </vt:variant>
      <vt:variant>
        <vt:i4>1245263</vt:i4>
      </vt:variant>
      <vt:variant>
        <vt:i4>273</vt:i4>
      </vt:variant>
      <vt:variant>
        <vt:i4>0</vt:i4>
      </vt:variant>
      <vt:variant>
        <vt:i4>5</vt:i4>
      </vt:variant>
      <vt:variant>
        <vt:lpwstr>http://partners.becta.org.uk/index.php?section=rh&amp;catcode=_re_vi_ng_03&amp;rid=17428</vt:lpwstr>
      </vt:variant>
      <vt:variant>
        <vt:lpwstr/>
      </vt:variant>
      <vt:variant>
        <vt:i4>1704014</vt:i4>
      </vt:variant>
      <vt:variant>
        <vt:i4>270</vt:i4>
      </vt:variant>
      <vt:variant>
        <vt:i4>0</vt:i4>
      </vt:variant>
      <vt:variant>
        <vt:i4>5</vt:i4>
      </vt:variant>
      <vt:variant>
        <vt:lpwstr>http://partners.becta.org.uk/index.php?section=rh&amp;catcode=_re_vi_ng_03&amp;rid=17431</vt:lpwstr>
      </vt:variant>
      <vt:variant>
        <vt:lpwstr/>
      </vt:variant>
      <vt:variant>
        <vt:i4>1769550</vt:i4>
      </vt:variant>
      <vt:variant>
        <vt:i4>267</vt:i4>
      </vt:variant>
      <vt:variant>
        <vt:i4>0</vt:i4>
      </vt:variant>
      <vt:variant>
        <vt:i4>5</vt:i4>
      </vt:variant>
      <vt:variant>
        <vt:lpwstr>http://partners.becta.org.uk/index.php?section=rh&amp;catcode=_re_vi_ng_03&amp;rid=17430</vt:lpwstr>
      </vt:variant>
      <vt:variant>
        <vt:lpwstr/>
      </vt:variant>
      <vt:variant>
        <vt:i4>1900623</vt:i4>
      </vt:variant>
      <vt:variant>
        <vt:i4>264</vt:i4>
      </vt:variant>
      <vt:variant>
        <vt:i4>0</vt:i4>
      </vt:variant>
      <vt:variant>
        <vt:i4>5</vt:i4>
      </vt:variant>
      <vt:variant>
        <vt:lpwstr>http://partners.becta.org.uk/index.php?section=rh&amp;catcode=_re_vi_ng_03&amp;rid=17426</vt:lpwstr>
      </vt:variant>
      <vt:variant>
        <vt:lpwstr/>
      </vt:variant>
      <vt:variant>
        <vt:i4>1966159</vt:i4>
      </vt:variant>
      <vt:variant>
        <vt:i4>261</vt:i4>
      </vt:variant>
      <vt:variant>
        <vt:i4>0</vt:i4>
      </vt:variant>
      <vt:variant>
        <vt:i4>5</vt:i4>
      </vt:variant>
      <vt:variant>
        <vt:lpwstr>http://partners.becta.org.uk/index.php?section=rh&amp;catcode=_re_vi_ng_03&amp;rid=17425</vt:lpwstr>
      </vt:variant>
      <vt:variant>
        <vt:lpwstr/>
      </vt:variant>
      <vt:variant>
        <vt:i4>2031695</vt:i4>
      </vt:variant>
      <vt:variant>
        <vt:i4>258</vt:i4>
      </vt:variant>
      <vt:variant>
        <vt:i4>0</vt:i4>
      </vt:variant>
      <vt:variant>
        <vt:i4>5</vt:i4>
      </vt:variant>
      <vt:variant>
        <vt:lpwstr>http://partners.becta.org.uk/index.php?section=rh&amp;catcode=_re_vi_ng_03&amp;rid=17424</vt:lpwstr>
      </vt:variant>
      <vt:variant>
        <vt:lpwstr/>
      </vt:variant>
      <vt:variant>
        <vt:i4>2031692</vt:i4>
      </vt:variant>
      <vt:variant>
        <vt:i4>255</vt:i4>
      </vt:variant>
      <vt:variant>
        <vt:i4>0</vt:i4>
      </vt:variant>
      <vt:variant>
        <vt:i4>5</vt:i4>
      </vt:variant>
      <vt:variant>
        <vt:lpwstr>http://partners.becta.org.uk/index.php?section=rh&amp;catcode=_re_vi_ng_03&amp;rid=17414</vt:lpwstr>
      </vt:variant>
      <vt:variant>
        <vt:lpwstr/>
      </vt:variant>
      <vt:variant>
        <vt:i4>1704015</vt:i4>
      </vt:variant>
      <vt:variant>
        <vt:i4>252</vt:i4>
      </vt:variant>
      <vt:variant>
        <vt:i4>0</vt:i4>
      </vt:variant>
      <vt:variant>
        <vt:i4>5</vt:i4>
      </vt:variant>
      <vt:variant>
        <vt:lpwstr>http://partners.becta.org.uk/index.php?section=rh&amp;catcode=_re_vi_ng_03&amp;rid=17421</vt:lpwstr>
      </vt:variant>
      <vt:variant>
        <vt:lpwstr/>
      </vt:variant>
      <vt:variant>
        <vt:i4>1966156</vt:i4>
      </vt:variant>
      <vt:variant>
        <vt:i4>249</vt:i4>
      </vt:variant>
      <vt:variant>
        <vt:i4>0</vt:i4>
      </vt:variant>
      <vt:variant>
        <vt:i4>5</vt:i4>
      </vt:variant>
      <vt:variant>
        <vt:lpwstr>http://partners.becta.org.uk/index.php?section=rh&amp;catcode=_re_vi_ng_03&amp;rid=17415</vt:lpwstr>
      </vt:variant>
      <vt:variant>
        <vt:lpwstr/>
      </vt:variant>
      <vt:variant>
        <vt:i4>1835084</vt:i4>
      </vt:variant>
      <vt:variant>
        <vt:i4>246</vt:i4>
      </vt:variant>
      <vt:variant>
        <vt:i4>0</vt:i4>
      </vt:variant>
      <vt:variant>
        <vt:i4>5</vt:i4>
      </vt:variant>
      <vt:variant>
        <vt:lpwstr>http://partners.becta.org.uk/index.php?section=rh&amp;catcode=_re_vi_ng_03&amp;rid=17417</vt:lpwstr>
      </vt:variant>
      <vt:variant>
        <vt:lpwstr/>
      </vt:variant>
      <vt:variant>
        <vt:i4>1179724</vt:i4>
      </vt:variant>
      <vt:variant>
        <vt:i4>243</vt:i4>
      </vt:variant>
      <vt:variant>
        <vt:i4>0</vt:i4>
      </vt:variant>
      <vt:variant>
        <vt:i4>5</vt:i4>
      </vt:variant>
      <vt:variant>
        <vt:lpwstr>http://partners.becta.org.uk/index.php?section=rh&amp;catcode=_re_vi_ng_03&amp;rid=17419</vt:lpwstr>
      </vt:variant>
      <vt:variant>
        <vt:lpwstr/>
      </vt:variant>
      <vt:variant>
        <vt:i4>1638479</vt:i4>
      </vt:variant>
      <vt:variant>
        <vt:i4>240</vt:i4>
      </vt:variant>
      <vt:variant>
        <vt:i4>0</vt:i4>
      </vt:variant>
      <vt:variant>
        <vt:i4>5</vt:i4>
      </vt:variant>
      <vt:variant>
        <vt:lpwstr>http://partners.becta.org.uk/index.php?section=rh&amp;catcode=_re_vi_ng_03&amp;rid=17422</vt:lpwstr>
      </vt:variant>
      <vt:variant>
        <vt:lpwstr/>
      </vt:variant>
      <vt:variant>
        <vt:i4>6684750</vt:i4>
      </vt:variant>
      <vt:variant>
        <vt:i4>237</vt:i4>
      </vt:variant>
      <vt:variant>
        <vt:i4>0</vt:i4>
      </vt:variant>
      <vt:variant>
        <vt:i4>5</vt:i4>
      </vt:variant>
      <vt:variant>
        <vt:lpwstr>http://partners.becta.org.uk/index.php?section=rh&amp;catcode=_re_rp_02&amp;rid=17003</vt:lpwstr>
      </vt:variant>
      <vt:variant>
        <vt:lpwstr/>
      </vt:variant>
      <vt:variant>
        <vt:i4>7340054</vt:i4>
      </vt:variant>
      <vt:variant>
        <vt:i4>234</vt:i4>
      </vt:variant>
      <vt:variant>
        <vt:i4>0</vt:i4>
      </vt:variant>
      <vt:variant>
        <vt:i4>5</vt:i4>
      </vt:variant>
      <vt:variant>
        <vt:lpwstr>http://www.newhorizons.org/neuro/diamond_brain_response.htm</vt:lpwstr>
      </vt:variant>
      <vt:variant>
        <vt:lpwstr>a</vt:lpwstr>
      </vt:variant>
      <vt:variant>
        <vt:i4>1179724</vt:i4>
      </vt:variant>
      <vt:variant>
        <vt:i4>228</vt:i4>
      </vt:variant>
      <vt:variant>
        <vt:i4>0</vt:i4>
      </vt:variant>
      <vt:variant>
        <vt:i4>5</vt:i4>
      </vt:variant>
      <vt:variant>
        <vt:lpwstr>http://partners.becta.org.uk/index.php?section=rh&amp;catcode=_re_vi_ng_03&amp;rid=17419</vt:lpwstr>
      </vt:variant>
      <vt:variant>
        <vt:lpwstr/>
      </vt:variant>
      <vt:variant>
        <vt:i4>1179724</vt:i4>
      </vt:variant>
      <vt:variant>
        <vt:i4>225</vt:i4>
      </vt:variant>
      <vt:variant>
        <vt:i4>0</vt:i4>
      </vt:variant>
      <vt:variant>
        <vt:i4>5</vt:i4>
      </vt:variant>
      <vt:variant>
        <vt:lpwstr>http://partners.becta.org.uk/index.php?section=rh&amp;catcode=_re_vi_ng_03&amp;rid=17419</vt:lpwstr>
      </vt:variant>
      <vt:variant>
        <vt:lpwstr/>
      </vt:variant>
      <vt:variant>
        <vt:i4>1835084</vt:i4>
      </vt:variant>
      <vt:variant>
        <vt:i4>222</vt:i4>
      </vt:variant>
      <vt:variant>
        <vt:i4>0</vt:i4>
      </vt:variant>
      <vt:variant>
        <vt:i4>5</vt:i4>
      </vt:variant>
      <vt:variant>
        <vt:lpwstr>http://partners.becta.org.uk/index.php?section=rh&amp;catcode=_re_vi_ng_03&amp;rid=17417</vt:lpwstr>
      </vt:variant>
      <vt:variant>
        <vt:lpwstr/>
      </vt:variant>
      <vt:variant>
        <vt:i4>1638479</vt:i4>
      </vt:variant>
      <vt:variant>
        <vt:i4>219</vt:i4>
      </vt:variant>
      <vt:variant>
        <vt:i4>0</vt:i4>
      </vt:variant>
      <vt:variant>
        <vt:i4>5</vt:i4>
      </vt:variant>
      <vt:variant>
        <vt:lpwstr>http://partners.becta.org.uk/index.php?section=rh&amp;catcode=_re_vi_ng_03&amp;rid=17422</vt:lpwstr>
      </vt:variant>
      <vt:variant>
        <vt:lpwstr/>
      </vt:variant>
      <vt:variant>
        <vt:i4>6684750</vt:i4>
      </vt:variant>
      <vt:variant>
        <vt:i4>216</vt:i4>
      </vt:variant>
      <vt:variant>
        <vt:i4>0</vt:i4>
      </vt:variant>
      <vt:variant>
        <vt:i4>5</vt:i4>
      </vt:variant>
      <vt:variant>
        <vt:lpwstr>http://partners.becta.org.uk/index.php?section=rh&amp;catcode=_re_rp_02&amp;rid=17003</vt:lpwstr>
      </vt:variant>
      <vt:variant>
        <vt:lpwstr/>
      </vt:variant>
      <vt:variant>
        <vt:i4>0</vt:i4>
      </vt:variant>
      <vt:variant>
        <vt:i4>213</vt:i4>
      </vt:variant>
      <vt:variant>
        <vt:i4>0</vt:i4>
      </vt:variant>
      <vt:variant>
        <vt:i4>5</vt:i4>
      </vt:variant>
      <vt:variant>
        <vt:lpwstr>http://partners.becta.org.uk/index.php?section=rh&amp;catcode=_re_vi_ng_03&amp;rid=17432http://partners.becta.org.uk/index.php?section=rh&amp;catcode=_re_vi_ng_03&amp;rid=17432</vt:lpwstr>
      </vt:variant>
      <vt:variant>
        <vt:lpwstr/>
      </vt:variant>
      <vt:variant>
        <vt:i4>6684750</vt:i4>
      </vt:variant>
      <vt:variant>
        <vt:i4>210</vt:i4>
      </vt:variant>
      <vt:variant>
        <vt:i4>0</vt:i4>
      </vt:variant>
      <vt:variant>
        <vt:i4>5</vt:i4>
      </vt:variant>
      <vt:variant>
        <vt:lpwstr>http://partners.becta.org.uk/index.php?section=rh&amp;catcode=_re_rp_02&amp;rid=17003</vt:lpwstr>
      </vt:variant>
      <vt:variant>
        <vt:lpwstr/>
      </vt:variant>
      <vt:variant>
        <vt:i4>6684750</vt:i4>
      </vt:variant>
      <vt:variant>
        <vt:i4>207</vt:i4>
      </vt:variant>
      <vt:variant>
        <vt:i4>0</vt:i4>
      </vt:variant>
      <vt:variant>
        <vt:i4>5</vt:i4>
      </vt:variant>
      <vt:variant>
        <vt:lpwstr>http://partners.becta.org.uk/index.php?section=rh&amp;catcode=_re_rp_02&amp;rid=17003</vt:lpwstr>
      </vt:variant>
      <vt:variant>
        <vt:lpwstr/>
      </vt:variant>
      <vt:variant>
        <vt:i4>6684750</vt:i4>
      </vt:variant>
      <vt:variant>
        <vt:i4>204</vt:i4>
      </vt:variant>
      <vt:variant>
        <vt:i4>0</vt:i4>
      </vt:variant>
      <vt:variant>
        <vt:i4>5</vt:i4>
      </vt:variant>
      <vt:variant>
        <vt:lpwstr>http://partners.becta.org.uk/index.php?section=rh&amp;catcode=_re_rp_02&amp;rid=17003</vt:lpwstr>
      </vt:variant>
      <vt:variant>
        <vt:lpwstr/>
      </vt:variant>
      <vt:variant>
        <vt:i4>6684750</vt:i4>
      </vt:variant>
      <vt:variant>
        <vt:i4>201</vt:i4>
      </vt:variant>
      <vt:variant>
        <vt:i4>0</vt:i4>
      </vt:variant>
      <vt:variant>
        <vt:i4>5</vt:i4>
      </vt:variant>
      <vt:variant>
        <vt:lpwstr>http://partners.becta.org.uk/index.php?section=rh&amp;catcode=_re_rp_02&amp;rid=17003</vt:lpwstr>
      </vt:variant>
      <vt:variant>
        <vt:lpwstr/>
      </vt:variant>
      <vt:variant>
        <vt:i4>6684750</vt:i4>
      </vt:variant>
      <vt:variant>
        <vt:i4>198</vt:i4>
      </vt:variant>
      <vt:variant>
        <vt:i4>0</vt:i4>
      </vt:variant>
      <vt:variant>
        <vt:i4>5</vt:i4>
      </vt:variant>
      <vt:variant>
        <vt:lpwstr>http://partners.becta.org.uk/index.php?section=rh&amp;catcode=_re_rp_02&amp;rid=17003</vt:lpwstr>
      </vt:variant>
      <vt:variant>
        <vt:lpwstr/>
      </vt:variant>
      <vt:variant>
        <vt:i4>6684750</vt:i4>
      </vt:variant>
      <vt:variant>
        <vt:i4>195</vt:i4>
      </vt:variant>
      <vt:variant>
        <vt:i4>0</vt:i4>
      </vt:variant>
      <vt:variant>
        <vt:i4>5</vt:i4>
      </vt:variant>
      <vt:variant>
        <vt:lpwstr>http://partners.becta.org.uk/index.php?section=rh&amp;catcode=_re_rp_02&amp;rid=17003</vt:lpwstr>
      </vt:variant>
      <vt:variant>
        <vt:lpwstr/>
      </vt:variant>
      <vt:variant>
        <vt:i4>2031675</vt:i4>
      </vt:variant>
      <vt:variant>
        <vt:i4>188</vt:i4>
      </vt:variant>
      <vt:variant>
        <vt:i4>0</vt:i4>
      </vt:variant>
      <vt:variant>
        <vt:i4>5</vt:i4>
      </vt:variant>
      <vt:variant>
        <vt:lpwstr/>
      </vt:variant>
      <vt:variant>
        <vt:lpwstr>_Toc248652483</vt:lpwstr>
      </vt:variant>
      <vt:variant>
        <vt:i4>2031675</vt:i4>
      </vt:variant>
      <vt:variant>
        <vt:i4>182</vt:i4>
      </vt:variant>
      <vt:variant>
        <vt:i4>0</vt:i4>
      </vt:variant>
      <vt:variant>
        <vt:i4>5</vt:i4>
      </vt:variant>
      <vt:variant>
        <vt:lpwstr/>
      </vt:variant>
      <vt:variant>
        <vt:lpwstr>_Toc248652482</vt:lpwstr>
      </vt:variant>
      <vt:variant>
        <vt:i4>2031675</vt:i4>
      </vt:variant>
      <vt:variant>
        <vt:i4>176</vt:i4>
      </vt:variant>
      <vt:variant>
        <vt:i4>0</vt:i4>
      </vt:variant>
      <vt:variant>
        <vt:i4>5</vt:i4>
      </vt:variant>
      <vt:variant>
        <vt:lpwstr/>
      </vt:variant>
      <vt:variant>
        <vt:lpwstr>_Toc248652481</vt:lpwstr>
      </vt:variant>
      <vt:variant>
        <vt:i4>2031675</vt:i4>
      </vt:variant>
      <vt:variant>
        <vt:i4>170</vt:i4>
      </vt:variant>
      <vt:variant>
        <vt:i4>0</vt:i4>
      </vt:variant>
      <vt:variant>
        <vt:i4>5</vt:i4>
      </vt:variant>
      <vt:variant>
        <vt:lpwstr/>
      </vt:variant>
      <vt:variant>
        <vt:lpwstr>_Toc248652480</vt:lpwstr>
      </vt:variant>
      <vt:variant>
        <vt:i4>1048635</vt:i4>
      </vt:variant>
      <vt:variant>
        <vt:i4>164</vt:i4>
      </vt:variant>
      <vt:variant>
        <vt:i4>0</vt:i4>
      </vt:variant>
      <vt:variant>
        <vt:i4>5</vt:i4>
      </vt:variant>
      <vt:variant>
        <vt:lpwstr/>
      </vt:variant>
      <vt:variant>
        <vt:lpwstr>_Toc248652479</vt:lpwstr>
      </vt:variant>
      <vt:variant>
        <vt:i4>1048635</vt:i4>
      </vt:variant>
      <vt:variant>
        <vt:i4>158</vt:i4>
      </vt:variant>
      <vt:variant>
        <vt:i4>0</vt:i4>
      </vt:variant>
      <vt:variant>
        <vt:i4>5</vt:i4>
      </vt:variant>
      <vt:variant>
        <vt:lpwstr/>
      </vt:variant>
      <vt:variant>
        <vt:lpwstr>_Toc248652477</vt:lpwstr>
      </vt:variant>
      <vt:variant>
        <vt:i4>1048635</vt:i4>
      </vt:variant>
      <vt:variant>
        <vt:i4>152</vt:i4>
      </vt:variant>
      <vt:variant>
        <vt:i4>0</vt:i4>
      </vt:variant>
      <vt:variant>
        <vt:i4>5</vt:i4>
      </vt:variant>
      <vt:variant>
        <vt:lpwstr/>
      </vt:variant>
      <vt:variant>
        <vt:lpwstr>_Toc248652476</vt:lpwstr>
      </vt:variant>
      <vt:variant>
        <vt:i4>1048635</vt:i4>
      </vt:variant>
      <vt:variant>
        <vt:i4>146</vt:i4>
      </vt:variant>
      <vt:variant>
        <vt:i4>0</vt:i4>
      </vt:variant>
      <vt:variant>
        <vt:i4>5</vt:i4>
      </vt:variant>
      <vt:variant>
        <vt:lpwstr/>
      </vt:variant>
      <vt:variant>
        <vt:lpwstr>_Toc248652475</vt:lpwstr>
      </vt:variant>
      <vt:variant>
        <vt:i4>1048635</vt:i4>
      </vt:variant>
      <vt:variant>
        <vt:i4>140</vt:i4>
      </vt:variant>
      <vt:variant>
        <vt:i4>0</vt:i4>
      </vt:variant>
      <vt:variant>
        <vt:i4>5</vt:i4>
      </vt:variant>
      <vt:variant>
        <vt:lpwstr/>
      </vt:variant>
      <vt:variant>
        <vt:lpwstr>_Toc248652474</vt:lpwstr>
      </vt:variant>
      <vt:variant>
        <vt:i4>1048635</vt:i4>
      </vt:variant>
      <vt:variant>
        <vt:i4>134</vt:i4>
      </vt:variant>
      <vt:variant>
        <vt:i4>0</vt:i4>
      </vt:variant>
      <vt:variant>
        <vt:i4>5</vt:i4>
      </vt:variant>
      <vt:variant>
        <vt:lpwstr/>
      </vt:variant>
      <vt:variant>
        <vt:lpwstr>_Toc248652473</vt:lpwstr>
      </vt:variant>
      <vt:variant>
        <vt:i4>1048635</vt:i4>
      </vt:variant>
      <vt:variant>
        <vt:i4>128</vt:i4>
      </vt:variant>
      <vt:variant>
        <vt:i4>0</vt:i4>
      </vt:variant>
      <vt:variant>
        <vt:i4>5</vt:i4>
      </vt:variant>
      <vt:variant>
        <vt:lpwstr/>
      </vt:variant>
      <vt:variant>
        <vt:lpwstr>_Toc248652472</vt:lpwstr>
      </vt:variant>
      <vt:variant>
        <vt:i4>1048635</vt:i4>
      </vt:variant>
      <vt:variant>
        <vt:i4>122</vt:i4>
      </vt:variant>
      <vt:variant>
        <vt:i4>0</vt:i4>
      </vt:variant>
      <vt:variant>
        <vt:i4>5</vt:i4>
      </vt:variant>
      <vt:variant>
        <vt:lpwstr/>
      </vt:variant>
      <vt:variant>
        <vt:lpwstr>_Toc248652471</vt:lpwstr>
      </vt:variant>
      <vt:variant>
        <vt:i4>1048635</vt:i4>
      </vt:variant>
      <vt:variant>
        <vt:i4>116</vt:i4>
      </vt:variant>
      <vt:variant>
        <vt:i4>0</vt:i4>
      </vt:variant>
      <vt:variant>
        <vt:i4>5</vt:i4>
      </vt:variant>
      <vt:variant>
        <vt:lpwstr/>
      </vt:variant>
      <vt:variant>
        <vt:lpwstr>_Toc248652470</vt:lpwstr>
      </vt:variant>
      <vt:variant>
        <vt:i4>1114171</vt:i4>
      </vt:variant>
      <vt:variant>
        <vt:i4>110</vt:i4>
      </vt:variant>
      <vt:variant>
        <vt:i4>0</vt:i4>
      </vt:variant>
      <vt:variant>
        <vt:i4>5</vt:i4>
      </vt:variant>
      <vt:variant>
        <vt:lpwstr/>
      </vt:variant>
      <vt:variant>
        <vt:lpwstr>_Toc248652469</vt:lpwstr>
      </vt:variant>
      <vt:variant>
        <vt:i4>1114171</vt:i4>
      </vt:variant>
      <vt:variant>
        <vt:i4>104</vt:i4>
      </vt:variant>
      <vt:variant>
        <vt:i4>0</vt:i4>
      </vt:variant>
      <vt:variant>
        <vt:i4>5</vt:i4>
      </vt:variant>
      <vt:variant>
        <vt:lpwstr/>
      </vt:variant>
      <vt:variant>
        <vt:lpwstr>_Toc248652468</vt:lpwstr>
      </vt:variant>
      <vt:variant>
        <vt:i4>1114171</vt:i4>
      </vt:variant>
      <vt:variant>
        <vt:i4>98</vt:i4>
      </vt:variant>
      <vt:variant>
        <vt:i4>0</vt:i4>
      </vt:variant>
      <vt:variant>
        <vt:i4>5</vt:i4>
      </vt:variant>
      <vt:variant>
        <vt:lpwstr/>
      </vt:variant>
      <vt:variant>
        <vt:lpwstr>_Toc248652467</vt:lpwstr>
      </vt:variant>
      <vt:variant>
        <vt:i4>1114171</vt:i4>
      </vt:variant>
      <vt:variant>
        <vt:i4>92</vt:i4>
      </vt:variant>
      <vt:variant>
        <vt:i4>0</vt:i4>
      </vt:variant>
      <vt:variant>
        <vt:i4>5</vt:i4>
      </vt:variant>
      <vt:variant>
        <vt:lpwstr/>
      </vt:variant>
      <vt:variant>
        <vt:lpwstr>_Toc248652466</vt:lpwstr>
      </vt:variant>
      <vt:variant>
        <vt:i4>1114171</vt:i4>
      </vt:variant>
      <vt:variant>
        <vt:i4>86</vt:i4>
      </vt:variant>
      <vt:variant>
        <vt:i4>0</vt:i4>
      </vt:variant>
      <vt:variant>
        <vt:i4>5</vt:i4>
      </vt:variant>
      <vt:variant>
        <vt:lpwstr/>
      </vt:variant>
      <vt:variant>
        <vt:lpwstr>_Toc248652465</vt:lpwstr>
      </vt:variant>
      <vt:variant>
        <vt:i4>1114171</vt:i4>
      </vt:variant>
      <vt:variant>
        <vt:i4>80</vt:i4>
      </vt:variant>
      <vt:variant>
        <vt:i4>0</vt:i4>
      </vt:variant>
      <vt:variant>
        <vt:i4>5</vt:i4>
      </vt:variant>
      <vt:variant>
        <vt:lpwstr/>
      </vt:variant>
      <vt:variant>
        <vt:lpwstr>_Toc248652464</vt:lpwstr>
      </vt:variant>
      <vt:variant>
        <vt:i4>1114171</vt:i4>
      </vt:variant>
      <vt:variant>
        <vt:i4>74</vt:i4>
      </vt:variant>
      <vt:variant>
        <vt:i4>0</vt:i4>
      </vt:variant>
      <vt:variant>
        <vt:i4>5</vt:i4>
      </vt:variant>
      <vt:variant>
        <vt:lpwstr/>
      </vt:variant>
      <vt:variant>
        <vt:lpwstr>_Toc248652463</vt:lpwstr>
      </vt:variant>
      <vt:variant>
        <vt:i4>1114171</vt:i4>
      </vt:variant>
      <vt:variant>
        <vt:i4>68</vt:i4>
      </vt:variant>
      <vt:variant>
        <vt:i4>0</vt:i4>
      </vt:variant>
      <vt:variant>
        <vt:i4>5</vt:i4>
      </vt:variant>
      <vt:variant>
        <vt:lpwstr/>
      </vt:variant>
      <vt:variant>
        <vt:lpwstr>_Toc248652462</vt:lpwstr>
      </vt:variant>
      <vt:variant>
        <vt:i4>1114171</vt:i4>
      </vt:variant>
      <vt:variant>
        <vt:i4>62</vt:i4>
      </vt:variant>
      <vt:variant>
        <vt:i4>0</vt:i4>
      </vt:variant>
      <vt:variant>
        <vt:i4>5</vt:i4>
      </vt:variant>
      <vt:variant>
        <vt:lpwstr/>
      </vt:variant>
      <vt:variant>
        <vt:lpwstr>_Toc248652461</vt:lpwstr>
      </vt:variant>
      <vt:variant>
        <vt:i4>1114171</vt:i4>
      </vt:variant>
      <vt:variant>
        <vt:i4>56</vt:i4>
      </vt:variant>
      <vt:variant>
        <vt:i4>0</vt:i4>
      </vt:variant>
      <vt:variant>
        <vt:i4>5</vt:i4>
      </vt:variant>
      <vt:variant>
        <vt:lpwstr/>
      </vt:variant>
      <vt:variant>
        <vt:lpwstr>_Toc248652460</vt:lpwstr>
      </vt:variant>
      <vt:variant>
        <vt:i4>1179707</vt:i4>
      </vt:variant>
      <vt:variant>
        <vt:i4>50</vt:i4>
      </vt:variant>
      <vt:variant>
        <vt:i4>0</vt:i4>
      </vt:variant>
      <vt:variant>
        <vt:i4>5</vt:i4>
      </vt:variant>
      <vt:variant>
        <vt:lpwstr/>
      </vt:variant>
      <vt:variant>
        <vt:lpwstr>_Toc248652459</vt:lpwstr>
      </vt:variant>
      <vt:variant>
        <vt:i4>1179707</vt:i4>
      </vt:variant>
      <vt:variant>
        <vt:i4>44</vt:i4>
      </vt:variant>
      <vt:variant>
        <vt:i4>0</vt:i4>
      </vt:variant>
      <vt:variant>
        <vt:i4>5</vt:i4>
      </vt:variant>
      <vt:variant>
        <vt:lpwstr/>
      </vt:variant>
      <vt:variant>
        <vt:lpwstr>_Toc248652458</vt:lpwstr>
      </vt:variant>
      <vt:variant>
        <vt:i4>1179707</vt:i4>
      </vt:variant>
      <vt:variant>
        <vt:i4>38</vt:i4>
      </vt:variant>
      <vt:variant>
        <vt:i4>0</vt:i4>
      </vt:variant>
      <vt:variant>
        <vt:i4>5</vt:i4>
      </vt:variant>
      <vt:variant>
        <vt:lpwstr/>
      </vt:variant>
      <vt:variant>
        <vt:lpwstr>_Toc248652457</vt:lpwstr>
      </vt:variant>
      <vt:variant>
        <vt:i4>1179707</vt:i4>
      </vt:variant>
      <vt:variant>
        <vt:i4>32</vt:i4>
      </vt:variant>
      <vt:variant>
        <vt:i4>0</vt:i4>
      </vt:variant>
      <vt:variant>
        <vt:i4>5</vt:i4>
      </vt:variant>
      <vt:variant>
        <vt:lpwstr/>
      </vt:variant>
      <vt:variant>
        <vt:lpwstr>_Toc248652456</vt:lpwstr>
      </vt:variant>
      <vt:variant>
        <vt:i4>1179707</vt:i4>
      </vt:variant>
      <vt:variant>
        <vt:i4>26</vt:i4>
      </vt:variant>
      <vt:variant>
        <vt:i4>0</vt:i4>
      </vt:variant>
      <vt:variant>
        <vt:i4>5</vt:i4>
      </vt:variant>
      <vt:variant>
        <vt:lpwstr/>
      </vt:variant>
      <vt:variant>
        <vt:lpwstr>_Toc248652455</vt:lpwstr>
      </vt:variant>
      <vt:variant>
        <vt:i4>1179707</vt:i4>
      </vt:variant>
      <vt:variant>
        <vt:i4>20</vt:i4>
      </vt:variant>
      <vt:variant>
        <vt:i4>0</vt:i4>
      </vt:variant>
      <vt:variant>
        <vt:i4>5</vt:i4>
      </vt:variant>
      <vt:variant>
        <vt:lpwstr/>
      </vt:variant>
      <vt:variant>
        <vt:lpwstr>_Toc248652454</vt:lpwstr>
      </vt:variant>
      <vt:variant>
        <vt:i4>1179707</vt:i4>
      </vt:variant>
      <vt:variant>
        <vt:i4>14</vt:i4>
      </vt:variant>
      <vt:variant>
        <vt:i4>0</vt:i4>
      </vt:variant>
      <vt:variant>
        <vt:i4>5</vt:i4>
      </vt:variant>
      <vt:variant>
        <vt:lpwstr/>
      </vt:variant>
      <vt:variant>
        <vt:lpwstr>_Toc248652453</vt:lpwstr>
      </vt:variant>
      <vt:variant>
        <vt:i4>1179707</vt:i4>
      </vt:variant>
      <vt:variant>
        <vt:i4>8</vt:i4>
      </vt:variant>
      <vt:variant>
        <vt:i4>0</vt:i4>
      </vt:variant>
      <vt:variant>
        <vt:i4>5</vt:i4>
      </vt:variant>
      <vt:variant>
        <vt:lpwstr/>
      </vt:variant>
      <vt:variant>
        <vt:lpwstr>_Toc248652452</vt:lpwstr>
      </vt:variant>
      <vt:variant>
        <vt:i4>1179707</vt:i4>
      </vt:variant>
      <vt:variant>
        <vt:i4>2</vt:i4>
      </vt:variant>
      <vt:variant>
        <vt:i4>0</vt:i4>
      </vt:variant>
      <vt:variant>
        <vt:i4>5</vt:i4>
      </vt:variant>
      <vt:variant>
        <vt:lpwstr/>
      </vt:variant>
      <vt:variant>
        <vt:lpwstr>_Toc248652451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Narrowing the Gap (Fieldwork)</dc:title>
  <dc:subject>Narrowing the Gap</dc:subject>
  <dc:creator>Ann Logan Editor</dc:creator>
  <cp:keywords/>
  <dc:description/>
  <cp:lastModifiedBy>gaynors</cp:lastModifiedBy>
  <cp:revision>2</cp:revision>
  <cp:lastPrinted>2010-01-04T15:37:00Z</cp:lastPrinted>
  <dcterms:created xsi:type="dcterms:W3CDTF">2010-08-04T12:17:00Z</dcterms:created>
  <dcterms:modified xsi:type="dcterms:W3CDTF">2010-08-04T12:17:00Z</dcterms:modified>
</cp:coreProperties>
</file>