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584" w:rsidRDefault="00D714BE" w:rsidP="00500584">
      <w:pPr>
        <w:widowControl w:val="0"/>
        <w:autoSpaceDE w:val="0"/>
        <w:autoSpaceDN w:val="0"/>
        <w:adjustRightInd w:val="0"/>
        <w:snapToGrid w:val="0"/>
        <w:rPr>
          <w:rFonts w:ascii="Times New Roman Bold" w:hAnsi="Times New Roman Bold" w:cs="Times New Roman Bold"/>
          <w:color w:val="000000"/>
          <w:sz w:val="39"/>
          <w:szCs w:val="39"/>
        </w:rPr>
      </w:pPr>
      <w:r>
        <w:rPr>
          <w:rFonts w:cs="Arial"/>
          <w:noProof/>
        </w:rPr>
        <w:drawing>
          <wp:inline distT="0" distB="0" distL="0" distR="0">
            <wp:extent cx="1533525" cy="904875"/>
            <wp:effectExtent l="19050" t="0" r="9525" b="0"/>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7" cstate="print"/>
                    <a:srcRect/>
                    <a:stretch>
                      <a:fillRect/>
                    </a:stretch>
                  </pic:blipFill>
                  <pic:spPr bwMode="auto">
                    <a:xfrm>
                      <a:off x="0" y="0"/>
                      <a:ext cx="1533525" cy="904875"/>
                    </a:xfrm>
                    <a:prstGeom prst="rect">
                      <a:avLst/>
                    </a:prstGeom>
                    <a:noFill/>
                    <a:ln w="9525">
                      <a:noFill/>
                      <a:miter lim="800000"/>
                      <a:headEnd/>
                      <a:tailEnd/>
                    </a:ln>
                  </pic:spPr>
                </pic:pic>
              </a:graphicData>
            </a:graphic>
          </wp:inline>
        </w:drawing>
      </w:r>
    </w:p>
    <w:p w:rsidR="00500584" w:rsidRDefault="00500584" w:rsidP="00500584">
      <w:pPr>
        <w:widowControl w:val="0"/>
        <w:autoSpaceDE w:val="0"/>
        <w:autoSpaceDN w:val="0"/>
        <w:adjustRightInd w:val="0"/>
        <w:snapToGrid w:val="0"/>
        <w:rPr>
          <w:rFonts w:ascii="Times New Roman Bold" w:hAnsi="Times New Roman Bold" w:cs="Times New Roman Bold"/>
          <w:color w:val="000000"/>
          <w:sz w:val="39"/>
          <w:szCs w:val="39"/>
        </w:rPr>
      </w:pPr>
    </w:p>
    <w:p w:rsidR="00500584" w:rsidRDefault="00500584" w:rsidP="00500584">
      <w:pPr>
        <w:widowControl w:val="0"/>
        <w:autoSpaceDE w:val="0"/>
        <w:autoSpaceDN w:val="0"/>
        <w:adjustRightInd w:val="0"/>
        <w:snapToGrid w:val="0"/>
        <w:rPr>
          <w:rFonts w:ascii="Times New Roman Bold" w:hAnsi="Times New Roman Bold" w:cs="Times New Roman Bold"/>
          <w:color w:val="000000"/>
          <w:sz w:val="39"/>
          <w:szCs w:val="39"/>
        </w:rPr>
      </w:pPr>
    </w:p>
    <w:p w:rsidR="00A16C26" w:rsidRDefault="00A16C26" w:rsidP="00500584">
      <w:pPr>
        <w:widowControl w:val="0"/>
        <w:autoSpaceDE w:val="0"/>
        <w:autoSpaceDN w:val="0"/>
        <w:adjustRightInd w:val="0"/>
        <w:snapToGrid w:val="0"/>
        <w:rPr>
          <w:rFonts w:ascii="Times New Roman Bold" w:hAnsi="Times New Roman Bold" w:cs="Times New Roman Bold"/>
          <w:color w:val="000000"/>
          <w:sz w:val="39"/>
          <w:szCs w:val="39"/>
        </w:rPr>
      </w:pPr>
    </w:p>
    <w:p w:rsidR="00A16C26" w:rsidRDefault="00A16C26" w:rsidP="00500584">
      <w:pPr>
        <w:widowControl w:val="0"/>
        <w:autoSpaceDE w:val="0"/>
        <w:autoSpaceDN w:val="0"/>
        <w:adjustRightInd w:val="0"/>
        <w:snapToGrid w:val="0"/>
        <w:rPr>
          <w:rFonts w:ascii="Times New Roman Bold" w:hAnsi="Times New Roman Bold" w:cs="Times New Roman Bold"/>
          <w:color w:val="000000"/>
          <w:sz w:val="39"/>
          <w:szCs w:val="39"/>
        </w:rPr>
      </w:pPr>
    </w:p>
    <w:p w:rsidR="00A16C26" w:rsidRDefault="00A16C26" w:rsidP="00500584">
      <w:pPr>
        <w:widowControl w:val="0"/>
        <w:autoSpaceDE w:val="0"/>
        <w:autoSpaceDN w:val="0"/>
        <w:adjustRightInd w:val="0"/>
        <w:snapToGrid w:val="0"/>
        <w:rPr>
          <w:rFonts w:ascii="Times New Roman Bold" w:hAnsi="Times New Roman Bold" w:cs="Times New Roman Bold"/>
          <w:color w:val="000000"/>
          <w:sz w:val="39"/>
          <w:szCs w:val="39"/>
        </w:rPr>
      </w:pPr>
    </w:p>
    <w:p w:rsidR="00A16C26" w:rsidRDefault="00A16C26" w:rsidP="00500584">
      <w:pPr>
        <w:widowControl w:val="0"/>
        <w:autoSpaceDE w:val="0"/>
        <w:autoSpaceDN w:val="0"/>
        <w:adjustRightInd w:val="0"/>
        <w:snapToGrid w:val="0"/>
        <w:rPr>
          <w:rFonts w:ascii="Times New Roman Bold" w:hAnsi="Times New Roman Bold" w:cs="Times New Roman Bold"/>
          <w:color w:val="000000"/>
          <w:sz w:val="39"/>
          <w:szCs w:val="39"/>
        </w:rPr>
      </w:pPr>
    </w:p>
    <w:p w:rsidR="00A16C26" w:rsidRDefault="00A16C26" w:rsidP="00500584">
      <w:pPr>
        <w:widowControl w:val="0"/>
        <w:autoSpaceDE w:val="0"/>
        <w:autoSpaceDN w:val="0"/>
        <w:adjustRightInd w:val="0"/>
        <w:snapToGrid w:val="0"/>
        <w:rPr>
          <w:rFonts w:ascii="Times New Roman Bold" w:hAnsi="Times New Roman Bold" w:cs="Times New Roman Bold"/>
          <w:color w:val="000000"/>
          <w:sz w:val="39"/>
          <w:szCs w:val="39"/>
        </w:rPr>
      </w:pPr>
    </w:p>
    <w:p w:rsidR="00500584" w:rsidRPr="00F07EE9" w:rsidRDefault="00553141" w:rsidP="00E55556">
      <w:pPr>
        <w:widowControl w:val="0"/>
        <w:autoSpaceDE w:val="0"/>
        <w:autoSpaceDN w:val="0"/>
        <w:adjustRightInd w:val="0"/>
        <w:snapToGrid w:val="0"/>
        <w:jc w:val="center"/>
        <w:rPr>
          <w:rFonts w:cs="Arial"/>
          <w:b/>
          <w:color w:val="104F75"/>
          <w:sz w:val="70"/>
          <w:szCs w:val="70"/>
        </w:rPr>
      </w:pPr>
      <w:r w:rsidRPr="00F07EE9">
        <w:rPr>
          <w:rFonts w:cs="Arial"/>
          <w:b/>
          <w:color w:val="104F75"/>
          <w:sz w:val="70"/>
          <w:szCs w:val="70"/>
        </w:rPr>
        <w:t>The Legislative Reform (Annual Review of Local Authorities) Order 2012</w:t>
      </w:r>
    </w:p>
    <w:p w:rsidR="00B6746F" w:rsidRDefault="00B6746F" w:rsidP="00500584">
      <w:pPr>
        <w:widowControl w:val="0"/>
        <w:autoSpaceDE w:val="0"/>
        <w:autoSpaceDN w:val="0"/>
        <w:adjustRightInd w:val="0"/>
        <w:snapToGrid w:val="0"/>
        <w:rPr>
          <w:rFonts w:cs="Arial"/>
          <w:color w:val="104F75"/>
          <w:sz w:val="40"/>
          <w:szCs w:val="40"/>
        </w:rPr>
      </w:pPr>
    </w:p>
    <w:p w:rsidR="00E55556" w:rsidRPr="006069A2" w:rsidRDefault="00E55556" w:rsidP="00500584">
      <w:pPr>
        <w:widowControl w:val="0"/>
        <w:autoSpaceDE w:val="0"/>
        <w:autoSpaceDN w:val="0"/>
        <w:adjustRightInd w:val="0"/>
        <w:snapToGrid w:val="0"/>
        <w:rPr>
          <w:rFonts w:cs="Arial"/>
          <w:color w:val="104F75"/>
          <w:sz w:val="40"/>
          <w:szCs w:val="40"/>
        </w:rPr>
      </w:pPr>
    </w:p>
    <w:p w:rsidR="00500584" w:rsidRPr="00F07EE9" w:rsidRDefault="00553141" w:rsidP="00E55556">
      <w:pPr>
        <w:widowControl w:val="0"/>
        <w:autoSpaceDE w:val="0"/>
        <w:autoSpaceDN w:val="0"/>
        <w:adjustRightInd w:val="0"/>
        <w:snapToGrid w:val="0"/>
        <w:jc w:val="center"/>
        <w:rPr>
          <w:rFonts w:cs="Arial"/>
          <w:color w:val="104F75"/>
          <w:sz w:val="64"/>
          <w:szCs w:val="64"/>
        </w:rPr>
      </w:pPr>
      <w:r w:rsidRPr="00F07EE9">
        <w:rPr>
          <w:rFonts w:cs="Arial"/>
          <w:color w:val="104F75"/>
          <w:sz w:val="64"/>
          <w:szCs w:val="64"/>
        </w:rPr>
        <w:t>Explanatory</w:t>
      </w:r>
      <w:r w:rsidR="00E55556" w:rsidRPr="00F07EE9">
        <w:rPr>
          <w:rFonts w:cs="Arial"/>
          <w:color w:val="104F75"/>
          <w:sz w:val="64"/>
          <w:szCs w:val="64"/>
        </w:rPr>
        <w:t xml:space="preserve"> D</w:t>
      </w:r>
      <w:r w:rsidR="00500584" w:rsidRPr="00F07EE9">
        <w:rPr>
          <w:rFonts w:cs="Arial"/>
          <w:color w:val="104F75"/>
          <w:sz w:val="64"/>
          <w:szCs w:val="64"/>
        </w:rPr>
        <w:t>ocument</w:t>
      </w:r>
    </w:p>
    <w:p w:rsidR="00500584" w:rsidRPr="00E55556" w:rsidRDefault="00500584" w:rsidP="00500584">
      <w:pPr>
        <w:rPr>
          <w:rFonts w:cs="Arial"/>
          <w:color w:val="104F75"/>
          <w:sz w:val="40"/>
          <w:szCs w:val="40"/>
        </w:rPr>
      </w:pPr>
    </w:p>
    <w:p w:rsidR="00500584" w:rsidRPr="00E55556" w:rsidRDefault="00500584" w:rsidP="00500584">
      <w:pPr>
        <w:rPr>
          <w:rFonts w:cs="Arial"/>
          <w:color w:val="104F75"/>
          <w:sz w:val="40"/>
          <w:szCs w:val="40"/>
        </w:rPr>
      </w:pPr>
    </w:p>
    <w:p w:rsidR="00500584" w:rsidRPr="00E55556" w:rsidRDefault="00500584" w:rsidP="00E55556">
      <w:pPr>
        <w:jc w:val="center"/>
        <w:rPr>
          <w:rFonts w:cs="Arial"/>
          <w:b/>
          <w:color w:val="104F75"/>
          <w:sz w:val="52"/>
          <w:szCs w:val="52"/>
        </w:rPr>
      </w:pPr>
    </w:p>
    <w:p w:rsidR="00F07EE9" w:rsidRPr="00F07EE9" w:rsidRDefault="00F07EE9" w:rsidP="00F07EE9"/>
    <w:p w:rsidR="006069A2" w:rsidRDefault="006069A2" w:rsidP="006069A2"/>
    <w:p w:rsidR="006069A2" w:rsidRDefault="006069A2" w:rsidP="006069A2"/>
    <w:p w:rsidR="006069A2" w:rsidRDefault="006069A2" w:rsidP="006069A2"/>
    <w:p w:rsidR="006069A2" w:rsidRDefault="006069A2" w:rsidP="006069A2"/>
    <w:p w:rsidR="006069A2" w:rsidRDefault="006069A2" w:rsidP="006069A2"/>
    <w:p w:rsidR="006069A2" w:rsidRDefault="006069A2" w:rsidP="006069A2"/>
    <w:p w:rsidR="006069A2" w:rsidRDefault="006069A2" w:rsidP="006069A2"/>
    <w:p w:rsidR="00E55556" w:rsidRDefault="00E55556" w:rsidP="006069A2"/>
    <w:p w:rsidR="00E55556" w:rsidRDefault="00E55556" w:rsidP="006069A2"/>
    <w:p w:rsidR="00E55556" w:rsidRDefault="00E55556" w:rsidP="006069A2"/>
    <w:p w:rsidR="00E55556" w:rsidRDefault="00E55556" w:rsidP="006069A2"/>
    <w:p w:rsidR="00E55556" w:rsidRDefault="00E55556" w:rsidP="006069A2"/>
    <w:p w:rsidR="006E0A1A" w:rsidRPr="00BE3313" w:rsidRDefault="006E0A1A" w:rsidP="00BE3313">
      <w:pPr>
        <w:pStyle w:val="DeptOutNumbered"/>
        <w:numPr>
          <w:ilvl w:val="0"/>
          <w:numId w:val="0"/>
        </w:numPr>
        <w:rPr>
          <w:b/>
          <w:bCs/>
          <w:color w:val="104F75"/>
          <w:sz w:val="40"/>
          <w:szCs w:val="40"/>
        </w:rPr>
      </w:pPr>
      <w:bookmarkStart w:id="0" w:name="_Toc317662032"/>
      <w:bookmarkStart w:id="1" w:name="_Toc318370609"/>
      <w:r w:rsidRPr="00BE3313">
        <w:rPr>
          <w:b/>
          <w:bCs/>
          <w:color w:val="104F75"/>
          <w:sz w:val="40"/>
          <w:szCs w:val="40"/>
          <w:lang w:eastAsia="en-US"/>
        </w:rPr>
        <w:lastRenderedPageBreak/>
        <w:t>Contents</w:t>
      </w:r>
      <w:bookmarkEnd w:id="0"/>
      <w:bookmarkEnd w:id="1"/>
      <w:r w:rsidRPr="00BE3313">
        <w:rPr>
          <w:b/>
          <w:bCs/>
          <w:color w:val="104F75"/>
          <w:sz w:val="40"/>
          <w:szCs w:val="40"/>
        </w:rPr>
        <w:t xml:space="preserve"> </w:t>
      </w:r>
    </w:p>
    <w:p w:rsidR="00DD44C3" w:rsidRDefault="00DD44C3" w:rsidP="00DD44C3"/>
    <w:p w:rsidR="00DD44C3" w:rsidRPr="00DD44C3" w:rsidRDefault="00DD44C3" w:rsidP="00DD44C3"/>
    <w:p w:rsidR="00AC6DB0" w:rsidRPr="00AC6DB0" w:rsidRDefault="00AC6DB0">
      <w:pPr>
        <w:pStyle w:val="TOC1"/>
        <w:tabs>
          <w:tab w:val="right" w:leader="dot" w:pos="8296"/>
        </w:tabs>
        <w:rPr>
          <w:rFonts w:ascii="Times New Roman" w:hAnsi="Times New Roman"/>
          <w:noProof/>
          <w:color w:val="000000"/>
          <w:szCs w:val="24"/>
        </w:rPr>
      </w:pPr>
      <w:r w:rsidRPr="00AC6DB0">
        <w:rPr>
          <w:b/>
          <w:color w:val="000000"/>
          <w:kern w:val="28"/>
        </w:rPr>
        <w:fldChar w:fldCharType="begin"/>
      </w:r>
      <w:r w:rsidRPr="00AC6DB0">
        <w:rPr>
          <w:b/>
          <w:color w:val="000000"/>
          <w:kern w:val="28"/>
        </w:rPr>
        <w:instrText xml:space="preserve"> TOC \o "1-2" \u </w:instrText>
      </w:r>
      <w:r w:rsidRPr="00AC6DB0">
        <w:rPr>
          <w:b/>
          <w:color w:val="000000"/>
          <w:kern w:val="28"/>
        </w:rPr>
        <w:fldChar w:fldCharType="separate"/>
      </w:r>
      <w:r w:rsidRPr="00AC6DB0">
        <w:rPr>
          <w:rFonts w:cs="Arial"/>
          <w:noProof/>
          <w:color w:val="000000"/>
        </w:rPr>
        <w:t xml:space="preserve">Chapter </w:t>
      </w:r>
      <w:r w:rsidRPr="00AC6DB0">
        <w:rPr>
          <w:noProof/>
          <w:color w:val="000000"/>
          <w:lang w:eastAsia="en-US"/>
        </w:rPr>
        <w:t>1:  Introduction</w:t>
      </w:r>
      <w:r w:rsidRPr="00AC6DB0">
        <w:rPr>
          <w:noProof/>
          <w:color w:val="000000"/>
        </w:rPr>
        <w:tab/>
      </w:r>
      <w:r w:rsidRPr="00AC6DB0">
        <w:rPr>
          <w:noProof/>
          <w:color w:val="000000"/>
        </w:rPr>
        <w:fldChar w:fldCharType="begin"/>
      </w:r>
      <w:r w:rsidRPr="00AC6DB0">
        <w:rPr>
          <w:noProof/>
          <w:color w:val="000000"/>
        </w:rPr>
        <w:instrText xml:space="preserve"> PAGEREF _Toc322499303 \h </w:instrText>
      </w:r>
      <w:r w:rsidR="005E4D58" w:rsidRPr="00AC6DB0">
        <w:rPr>
          <w:noProof/>
          <w:color w:val="000000"/>
        </w:rPr>
      </w:r>
      <w:r w:rsidRPr="00AC6DB0">
        <w:rPr>
          <w:noProof/>
          <w:color w:val="000000"/>
        </w:rPr>
        <w:fldChar w:fldCharType="separate"/>
      </w:r>
      <w:r>
        <w:rPr>
          <w:noProof/>
          <w:color w:val="000000"/>
        </w:rPr>
        <w:t>3</w:t>
      </w:r>
      <w:r w:rsidRPr="00AC6DB0">
        <w:rPr>
          <w:noProof/>
          <w:color w:val="000000"/>
        </w:rPr>
        <w:fldChar w:fldCharType="end"/>
      </w:r>
    </w:p>
    <w:p w:rsidR="00AC6DB0" w:rsidRDefault="00AC6DB0">
      <w:pPr>
        <w:pStyle w:val="TOC1"/>
        <w:tabs>
          <w:tab w:val="right" w:leader="dot" w:pos="8296"/>
        </w:tabs>
        <w:rPr>
          <w:noProof/>
          <w:color w:val="000000"/>
        </w:rPr>
      </w:pPr>
    </w:p>
    <w:p w:rsidR="00AC6DB0" w:rsidRPr="00AC6DB0" w:rsidRDefault="00AC6DB0">
      <w:pPr>
        <w:pStyle w:val="TOC1"/>
        <w:tabs>
          <w:tab w:val="right" w:leader="dot" w:pos="8296"/>
        </w:tabs>
        <w:rPr>
          <w:rFonts w:ascii="Times New Roman" w:hAnsi="Times New Roman"/>
          <w:noProof/>
          <w:color w:val="000000"/>
          <w:szCs w:val="24"/>
        </w:rPr>
      </w:pPr>
      <w:r w:rsidRPr="00AC6DB0">
        <w:rPr>
          <w:noProof/>
          <w:color w:val="000000"/>
        </w:rPr>
        <w:t xml:space="preserve">Chapter </w:t>
      </w:r>
      <w:r w:rsidRPr="00AC6DB0">
        <w:rPr>
          <w:noProof/>
          <w:color w:val="000000"/>
          <w:lang w:eastAsia="en-US"/>
        </w:rPr>
        <w:t>2:  Background to the Order</w:t>
      </w:r>
      <w:r w:rsidRPr="00AC6DB0">
        <w:rPr>
          <w:noProof/>
          <w:color w:val="000000"/>
        </w:rPr>
        <w:tab/>
      </w:r>
      <w:r w:rsidRPr="00AC6DB0">
        <w:rPr>
          <w:noProof/>
          <w:color w:val="000000"/>
        </w:rPr>
        <w:fldChar w:fldCharType="begin"/>
      </w:r>
      <w:r w:rsidRPr="00AC6DB0">
        <w:rPr>
          <w:noProof/>
          <w:color w:val="000000"/>
        </w:rPr>
        <w:instrText xml:space="preserve"> PAGEREF _Toc322499304 \h </w:instrText>
      </w:r>
      <w:r w:rsidR="005E4D58" w:rsidRPr="00AC6DB0">
        <w:rPr>
          <w:noProof/>
          <w:color w:val="000000"/>
        </w:rPr>
      </w:r>
      <w:r w:rsidRPr="00AC6DB0">
        <w:rPr>
          <w:noProof/>
          <w:color w:val="000000"/>
        </w:rPr>
        <w:fldChar w:fldCharType="separate"/>
      </w:r>
      <w:r>
        <w:rPr>
          <w:noProof/>
          <w:color w:val="000000"/>
        </w:rPr>
        <w:t>4</w:t>
      </w:r>
      <w:r w:rsidRPr="00AC6DB0">
        <w:rPr>
          <w:noProof/>
          <w:color w:val="000000"/>
        </w:rPr>
        <w:fldChar w:fldCharType="end"/>
      </w:r>
    </w:p>
    <w:p w:rsidR="00AC6DB0" w:rsidRDefault="00AC6DB0">
      <w:pPr>
        <w:pStyle w:val="TOC1"/>
        <w:tabs>
          <w:tab w:val="right" w:leader="dot" w:pos="8296"/>
        </w:tabs>
        <w:rPr>
          <w:noProof/>
          <w:color w:val="000000"/>
        </w:rPr>
      </w:pPr>
    </w:p>
    <w:p w:rsidR="00AC6DB0" w:rsidRPr="00AC6DB0" w:rsidRDefault="00AC6DB0">
      <w:pPr>
        <w:pStyle w:val="TOC1"/>
        <w:tabs>
          <w:tab w:val="right" w:leader="dot" w:pos="8296"/>
        </w:tabs>
        <w:rPr>
          <w:rFonts w:ascii="Times New Roman" w:hAnsi="Times New Roman"/>
          <w:noProof/>
          <w:color w:val="000000"/>
          <w:szCs w:val="24"/>
        </w:rPr>
      </w:pPr>
      <w:r w:rsidRPr="00AC6DB0">
        <w:rPr>
          <w:noProof/>
          <w:color w:val="000000"/>
        </w:rPr>
        <w:t>Chapter 3:  The Order</w:t>
      </w:r>
      <w:r w:rsidRPr="00AC6DB0">
        <w:rPr>
          <w:noProof/>
          <w:color w:val="000000"/>
        </w:rPr>
        <w:tab/>
      </w:r>
      <w:r w:rsidRPr="00AC6DB0">
        <w:rPr>
          <w:noProof/>
          <w:color w:val="000000"/>
        </w:rPr>
        <w:fldChar w:fldCharType="begin"/>
      </w:r>
      <w:r w:rsidRPr="00AC6DB0">
        <w:rPr>
          <w:noProof/>
          <w:color w:val="000000"/>
        </w:rPr>
        <w:instrText xml:space="preserve"> PAGEREF _Toc322499305 \h </w:instrText>
      </w:r>
      <w:r w:rsidR="005E4D58" w:rsidRPr="00AC6DB0">
        <w:rPr>
          <w:noProof/>
          <w:color w:val="000000"/>
        </w:rPr>
      </w:r>
      <w:r w:rsidRPr="00AC6DB0">
        <w:rPr>
          <w:noProof/>
          <w:color w:val="000000"/>
        </w:rPr>
        <w:fldChar w:fldCharType="separate"/>
      </w:r>
      <w:r>
        <w:rPr>
          <w:noProof/>
          <w:color w:val="000000"/>
        </w:rPr>
        <w:t>7</w:t>
      </w:r>
      <w:r w:rsidRPr="00AC6DB0">
        <w:rPr>
          <w:noProof/>
          <w:color w:val="000000"/>
        </w:rPr>
        <w:fldChar w:fldCharType="end"/>
      </w:r>
    </w:p>
    <w:p w:rsidR="00AC6DB0" w:rsidRDefault="00AC6DB0">
      <w:pPr>
        <w:pStyle w:val="TOC1"/>
        <w:tabs>
          <w:tab w:val="right" w:leader="dot" w:pos="8296"/>
        </w:tabs>
        <w:rPr>
          <w:iCs/>
          <w:noProof/>
          <w:color w:val="000000"/>
        </w:rPr>
      </w:pPr>
    </w:p>
    <w:p w:rsidR="00AC6DB0" w:rsidRPr="00AC6DB0" w:rsidRDefault="00AC6DB0">
      <w:pPr>
        <w:pStyle w:val="TOC1"/>
        <w:tabs>
          <w:tab w:val="right" w:leader="dot" w:pos="8296"/>
        </w:tabs>
        <w:rPr>
          <w:rFonts w:ascii="Times New Roman" w:hAnsi="Times New Roman"/>
          <w:noProof/>
          <w:color w:val="000000"/>
          <w:szCs w:val="24"/>
        </w:rPr>
      </w:pPr>
      <w:r>
        <w:rPr>
          <w:iCs/>
          <w:noProof/>
          <w:color w:val="000000"/>
        </w:rPr>
        <w:t xml:space="preserve">          </w:t>
      </w:r>
      <w:r w:rsidRPr="00AC6DB0">
        <w:rPr>
          <w:iCs/>
          <w:noProof/>
          <w:color w:val="000000"/>
        </w:rPr>
        <w:t>Power to remove burdens under section 1 of the 2006 Act</w:t>
      </w:r>
      <w:r w:rsidRPr="00AC6DB0">
        <w:rPr>
          <w:noProof/>
          <w:color w:val="000000"/>
        </w:rPr>
        <w:tab/>
      </w:r>
      <w:r w:rsidRPr="00AC6DB0">
        <w:rPr>
          <w:noProof/>
          <w:color w:val="000000"/>
        </w:rPr>
        <w:fldChar w:fldCharType="begin"/>
      </w:r>
      <w:r w:rsidRPr="00AC6DB0">
        <w:rPr>
          <w:noProof/>
          <w:color w:val="000000"/>
        </w:rPr>
        <w:instrText xml:space="preserve"> PAGEREF _Toc322499306 \h </w:instrText>
      </w:r>
      <w:r w:rsidR="005E4D58" w:rsidRPr="00AC6DB0">
        <w:rPr>
          <w:noProof/>
          <w:color w:val="000000"/>
        </w:rPr>
      </w:r>
      <w:r w:rsidRPr="00AC6DB0">
        <w:rPr>
          <w:noProof/>
          <w:color w:val="000000"/>
        </w:rPr>
        <w:fldChar w:fldCharType="separate"/>
      </w:r>
      <w:r>
        <w:rPr>
          <w:noProof/>
          <w:color w:val="000000"/>
        </w:rPr>
        <w:t>7</w:t>
      </w:r>
      <w:r w:rsidRPr="00AC6DB0">
        <w:rPr>
          <w:noProof/>
          <w:color w:val="000000"/>
        </w:rPr>
        <w:fldChar w:fldCharType="end"/>
      </w:r>
    </w:p>
    <w:p w:rsidR="00AC6DB0" w:rsidRDefault="00AC6DB0">
      <w:pPr>
        <w:pStyle w:val="TOC1"/>
        <w:tabs>
          <w:tab w:val="right" w:leader="dot" w:pos="8296"/>
        </w:tabs>
        <w:rPr>
          <w:rFonts w:cs="Arial"/>
          <w:noProof/>
          <w:color w:val="000000"/>
        </w:rPr>
      </w:pPr>
    </w:p>
    <w:p w:rsidR="00AC6DB0" w:rsidRPr="00AC6DB0" w:rsidRDefault="00AC6DB0">
      <w:pPr>
        <w:pStyle w:val="TOC1"/>
        <w:tabs>
          <w:tab w:val="right" w:leader="dot" w:pos="8296"/>
        </w:tabs>
        <w:rPr>
          <w:rFonts w:ascii="Times New Roman" w:hAnsi="Times New Roman"/>
          <w:noProof/>
          <w:color w:val="000000"/>
          <w:szCs w:val="24"/>
        </w:rPr>
      </w:pPr>
      <w:r>
        <w:rPr>
          <w:rFonts w:cs="Arial"/>
          <w:noProof/>
          <w:color w:val="000000"/>
        </w:rPr>
        <w:t xml:space="preserve">          </w:t>
      </w:r>
      <w:r w:rsidRPr="00AC6DB0">
        <w:rPr>
          <w:rFonts w:cs="Arial"/>
          <w:noProof/>
          <w:color w:val="000000"/>
        </w:rPr>
        <w:t>Compliance with conditions in section 3 of the 2006 Act</w:t>
      </w:r>
      <w:r w:rsidRPr="00AC6DB0">
        <w:rPr>
          <w:noProof/>
          <w:color w:val="000000"/>
        </w:rPr>
        <w:tab/>
      </w:r>
      <w:r w:rsidRPr="00AC6DB0">
        <w:rPr>
          <w:noProof/>
          <w:color w:val="000000"/>
        </w:rPr>
        <w:fldChar w:fldCharType="begin"/>
      </w:r>
      <w:r w:rsidRPr="00AC6DB0">
        <w:rPr>
          <w:noProof/>
          <w:color w:val="000000"/>
        </w:rPr>
        <w:instrText xml:space="preserve"> PAGEREF _Toc322499307 \h </w:instrText>
      </w:r>
      <w:r w:rsidR="005E4D58" w:rsidRPr="00AC6DB0">
        <w:rPr>
          <w:noProof/>
          <w:color w:val="000000"/>
        </w:rPr>
      </w:r>
      <w:r w:rsidRPr="00AC6DB0">
        <w:rPr>
          <w:noProof/>
          <w:color w:val="000000"/>
        </w:rPr>
        <w:fldChar w:fldCharType="separate"/>
      </w:r>
      <w:r>
        <w:rPr>
          <w:noProof/>
          <w:color w:val="000000"/>
        </w:rPr>
        <w:t>7</w:t>
      </w:r>
      <w:r w:rsidRPr="00AC6DB0">
        <w:rPr>
          <w:noProof/>
          <w:color w:val="000000"/>
        </w:rPr>
        <w:fldChar w:fldCharType="end"/>
      </w:r>
    </w:p>
    <w:p w:rsidR="00AC6DB0" w:rsidRDefault="00AC6DB0">
      <w:pPr>
        <w:pStyle w:val="TOC1"/>
        <w:tabs>
          <w:tab w:val="right" w:leader="dot" w:pos="8296"/>
        </w:tabs>
        <w:rPr>
          <w:rFonts w:cs="Arial"/>
          <w:noProof/>
          <w:color w:val="000000"/>
        </w:rPr>
      </w:pPr>
    </w:p>
    <w:p w:rsidR="00AC6DB0" w:rsidRPr="00AC6DB0" w:rsidRDefault="00AC6DB0">
      <w:pPr>
        <w:pStyle w:val="TOC1"/>
        <w:tabs>
          <w:tab w:val="right" w:leader="dot" w:pos="8296"/>
        </w:tabs>
        <w:rPr>
          <w:rFonts w:ascii="Times New Roman" w:hAnsi="Times New Roman"/>
          <w:noProof/>
          <w:color w:val="000000"/>
          <w:szCs w:val="24"/>
        </w:rPr>
      </w:pPr>
      <w:r>
        <w:rPr>
          <w:rFonts w:cs="Arial"/>
          <w:noProof/>
          <w:color w:val="000000"/>
        </w:rPr>
        <w:t xml:space="preserve">          </w:t>
      </w:r>
      <w:r w:rsidRPr="00AC6DB0">
        <w:rPr>
          <w:rFonts w:cs="Arial"/>
          <w:noProof/>
          <w:color w:val="000000"/>
        </w:rPr>
        <w:t>Other Ministerial duties under the 2006 Act</w:t>
      </w:r>
      <w:r w:rsidRPr="00AC6DB0">
        <w:rPr>
          <w:noProof/>
          <w:color w:val="000000"/>
        </w:rPr>
        <w:tab/>
      </w:r>
      <w:r w:rsidRPr="00AC6DB0">
        <w:rPr>
          <w:noProof/>
          <w:color w:val="000000"/>
        </w:rPr>
        <w:fldChar w:fldCharType="begin"/>
      </w:r>
      <w:r w:rsidRPr="00AC6DB0">
        <w:rPr>
          <w:noProof/>
          <w:color w:val="000000"/>
        </w:rPr>
        <w:instrText xml:space="preserve"> PAGEREF _Toc322499308 \h </w:instrText>
      </w:r>
      <w:r w:rsidR="005E4D58" w:rsidRPr="00AC6DB0">
        <w:rPr>
          <w:noProof/>
          <w:color w:val="000000"/>
        </w:rPr>
      </w:r>
      <w:r w:rsidRPr="00AC6DB0">
        <w:rPr>
          <w:noProof/>
          <w:color w:val="000000"/>
        </w:rPr>
        <w:fldChar w:fldCharType="separate"/>
      </w:r>
      <w:r>
        <w:rPr>
          <w:noProof/>
          <w:color w:val="000000"/>
        </w:rPr>
        <w:t>8</w:t>
      </w:r>
      <w:r w:rsidRPr="00AC6DB0">
        <w:rPr>
          <w:noProof/>
          <w:color w:val="000000"/>
        </w:rPr>
        <w:fldChar w:fldCharType="end"/>
      </w:r>
    </w:p>
    <w:p w:rsidR="00AC6DB0" w:rsidRDefault="00AC6DB0">
      <w:pPr>
        <w:pStyle w:val="TOC1"/>
        <w:tabs>
          <w:tab w:val="right" w:leader="dot" w:pos="8296"/>
        </w:tabs>
        <w:rPr>
          <w:noProof/>
          <w:color w:val="000000"/>
        </w:rPr>
      </w:pPr>
    </w:p>
    <w:p w:rsidR="00AC6DB0" w:rsidRPr="00AC6DB0" w:rsidRDefault="00AC6DB0">
      <w:pPr>
        <w:pStyle w:val="TOC1"/>
        <w:tabs>
          <w:tab w:val="right" w:leader="dot" w:pos="8296"/>
        </w:tabs>
        <w:rPr>
          <w:rFonts w:ascii="Times New Roman" w:hAnsi="Times New Roman"/>
          <w:noProof/>
          <w:color w:val="000000"/>
          <w:szCs w:val="24"/>
        </w:rPr>
      </w:pPr>
      <w:r w:rsidRPr="00AC6DB0">
        <w:rPr>
          <w:noProof/>
          <w:color w:val="000000"/>
        </w:rPr>
        <w:t>Chapter 4:  Consultation</w:t>
      </w:r>
      <w:r w:rsidRPr="00AC6DB0">
        <w:rPr>
          <w:noProof/>
          <w:color w:val="000000"/>
        </w:rPr>
        <w:tab/>
      </w:r>
      <w:r w:rsidRPr="00AC6DB0">
        <w:rPr>
          <w:noProof/>
          <w:color w:val="000000"/>
        </w:rPr>
        <w:fldChar w:fldCharType="begin"/>
      </w:r>
      <w:r w:rsidRPr="00AC6DB0">
        <w:rPr>
          <w:noProof/>
          <w:color w:val="000000"/>
        </w:rPr>
        <w:instrText xml:space="preserve"> PAGEREF _Toc322499309 \h </w:instrText>
      </w:r>
      <w:r w:rsidR="005E4D58" w:rsidRPr="00AC6DB0">
        <w:rPr>
          <w:noProof/>
          <w:color w:val="000000"/>
        </w:rPr>
      </w:r>
      <w:r w:rsidRPr="00AC6DB0">
        <w:rPr>
          <w:noProof/>
          <w:color w:val="000000"/>
        </w:rPr>
        <w:fldChar w:fldCharType="separate"/>
      </w:r>
      <w:r>
        <w:rPr>
          <w:noProof/>
          <w:color w:val="000000"/>
        </w:rPr>
        <w:t>10</w:t>
      </w:r>
      <w:r w:rsidRPr="00AC6DB0">
        <w:rPr>
          <w:noProof/>
          <w:color w:val="000000"/>
        </w:rPr>
        <w:fldChar w:fldCharType="end"/>
      </w:r>
    </w:p>
    <w:p w:rsidR="00AC6DB0" w:rsidRDefault="00AC6DB0">
      <w:pPr>
        <w:pStyle w:val="TOC1"/>
        <w:tabs>
          <w:tab w:val="right" w:leader="dot" w:pos="8296"/>
        </w:tabs>
        <w:rPr>
          <w:noProof/>
          <w:color w:val="000000"/>
        </w:rPr>
      </w:pPr>
    </w:p>
    <w:p w:rsidR="00AC6DB0" w:rsidRPr="00AC6DB0" w:rsidRDefault="00AC6DB0">
      <w:pPr>
        <w:pStyle w:val="TOC1"/>
        <w:tabs>
          <w:tab w:val="right" w:leader="dot" w:pos="8296"/>
        </w:tabs>
        <w:rPr>
          <w:rFonts w:ascii="Times New Roman" w:hAnsi="Times New Roman"/>
          <w:noProof/>
          <w:color w:val="000000"/>
          <w:szCs w:val="24"/>
        </w:rPr>
      </w:pPr>
      <w:r w:rsidRPr="00AC6DB0">
        <w:rPr>
          <w:noProof/>
          <w:color w:val="000000"/>
        </w:rPr>
        <w:t>Annex A:  Impact assessment</w:t>
      </w:r>
      <w:r w:rsidRPr="00AC6DB0">
        <w:rPr>
          <w:noProof/>
          <w:color w:val="000000"/>
        </w:rPr>
        <w:tab/>
      </w:r>
      <w:r w:rsidRPr="00AC6DB0">
        <w:rPr>
          <w:noProof/>
          <w:color w:val="000000"/>
        </w:rPr>
        <w:fldChar w:fldCharType="begin"/>
      </w:r>
      <w:r w:rsidRPr="00AC6DB0">
        <w:rPr>
          <w:noProof/>
          <w:color w:val="000000"/>
        </w:rPr>
        <w:instrText xml:space="preserve"> PAGEREF _Toc322499310 \h </w:instrText>
      </w:r>
      <w:r w:rsidR="005E4D58" w:rsidRPr="00AC6DB0">
        <w:rPr>
          <w:noProof/>
          <w:color w:val="000000"/>
        </w:rPr>
      </w:r>
      <w:r w:rsidRPr="00AC6DB0">
        <w:rPr>
          <w:noProof/>
          <w:color w:val="000000"/>
        </w:rPr>
        <w:fldChar w:fldCharType="separate"/>
      </w:r>
      <w:r>
        <w:rPr>
          <w:noProof/>
          <w:color w:val="000000"/>
        </w:rPr>
        <w:t>13</w:t>
      </w:r>
      <w:r w:rsidRPr="00AC6DB0">
        <w:rPr>
          <w:noProof/>
          <w:color w:val="000000"/>
        </w:rPr>
        <w:fldChar w:fldCharType="end"/>
      </w:r>
    </w:p>
    <w:p w:rsidR="00AC6DB0" w:rsidRDefault="00AC6DB0">
      <w:pPr>
        <w:pStyle w:val="TOC1"/>
        <w:tabs>
          <w:tab w:val="right" w:leader="dot" w:pos="8296"/>
        </w:tabs>
        <w:rPr>
          <w:noProof/>
          <w:color w:val="000000"/>
        </w:rPr>
      </w:pPr>
    </w:p>
    <w:p w:rsidR="00AC6DB0" w:rsidRPr="00AC6DB0" w:rsidRDefault="00AC6DB0">
      <w:pPr>
        <w:pStyle w:val="TOC1"/>
        <w:tabs>
          <w:tab w:val="right" w:leader="dot" w:pos="8296"/>
        </w:tabs>
        <w:rPr>
          <w:rFonts w:ascii="Times New Roman" w:hAnsi="Times New Roman"/>
          <w:noProof/>
          <w:color w:val="000000"/>
          <w:szCs w:val="24"/>
        </w:rPr>
      </w:pPr>
      <w:r w:rsidRPr="00AC6DB0">
        <w:rPr>
          <w:noProof/>
          <w:color w:val="000000"/>
        </w:rPr>
        <w:t>Annex B:  List of respondents to the consultation</w:t>
      </w:r>
      <w:r w:rsidRPr="00AC6DB0">
        <w:rPr>
          <w:noProof/>
          <w:color w:val="000000"/>
        </w:rPr>
        <w:tab/>
      </w:r>
      <w:r w:rsidRPr="00AC6DB0">
        <w:rPr>
          <w:noProof/>
          <w:color w:val="000000"/>
        </w:rPr>
        <w:fldChar w:fldCharType="begin"/>
      </w:r>
      <w:r w:rsidRPr="00AC6DB0">
        <w:rPr>
          <w:noProof/>
          <w:color w:val="000000"/>
        </w:rPr>
        <w:instrText xml:space="preserve"> PAGEREF _Toc322499311 \h </w:instrText>
      </w:r>
      <w:r w:rsidR="005E4D58" w:rsidRPr="00AC6DB0">
        <w:rPr>
          <w:noProof/>
          <w:color w:val="000000"/>
        </w:rPr>
      </w:r>
      <w:r w:rsidRPr="00AC6DB0">
        <w:rPr>
          <w:noProof/>
          <w:color w:val="000000"/>
        </w:rPr>
        <w:fldChar w:fldCharType="separate"/>
      </w:r>
      <w:r>
        <w:rPr>
          <w:noProof/>
          <w:color w:val="000000"/>
        </w:rPr>
        <w:t>14</w:t>
      </w:r>
      <w:r w:rsidRPr="00AC6DB0">
        <w:rPr>
          <w:noProof/>
          <w:color w:val="000000"/>
        </w:rPr>
        <w:fldChar w:fldCharType="end"/>
      </w:r>
    </w:p>
    <w:p w:rsidR="00AC6DB0" w:rsidRDefault="00AC6DB0">
      <w:pPr>
        <w:pStyle w:val="TOC1"/>
        <w:tabs>
          <w:tab w:val="right" w:leader="dot" w:pos="8296"/>
        </w:tabs>
        <w:rPr>
          <w:noProof/>
          <w:color w:val="000000"/>
        </w:rPr>
      </w:pPr>
    </w:p>
    <w:p w:rsidR="00AC6DB0" w:rsidRPr="00AC6DB0" w:rsidRDefault="00AC6DB0">
      <w:pPr>
        <w:pStyle w:val="TOC1"/>
        <w:tabs>
          <w:tab w:val="right" w:leader="dot" w:pos="8296"/>
        </w:tabs>
        <w:rPr>
          <w:rFonts w:ascii="Times New Roman" w:hAnsi="Times New Roman"/>
          <w:noProof/>
          <w:color w:val="000000"/>
          <w:szCs w:val="24"/>
        </w:rPr>
      </w:pPr>
      <w:r w:rsidRPr="00AC6DB0">
        <w:rPr>
          <w:noProof/>
          <w:color w:val="000000"/>
        </w:rPr>
        <w:t>Annex C:  List of relevant statutes</w:t>
      </w:r>
      <w:r w:rsidRPr="00AC6DB0">
        <w:rPr>
          <w:noProof/>
          <w:color w:val="000000"/>
        </w:rPr>
        <w:tab/>
      </w:r>
      <w:r w:rsidRPr="00AC6DB0">
        <w:rPr>
          <w:noProof/>
          <w:color w:val="000000"/>
        </w:rPr>
        <w:fldChar w:fldCharType="begin"/>
      </w:r>
      <w:r w:rsidRPr="00AC6DB0">
        <w:rPr>
          <w:noProof/>
          <w:color w:val="000000"/>
        </w:rPr>
        <w:instrText xml:space="preserve"> PAGEREF _Toc322499312 \h </w:instrText>
      </w:r>
      <w:r w:rsidR="005E4D58" w:rsidRPr="00AC6DB0">
        <w:rPr>
          <w:noProof/>
          <w:color w:val="000000"/>
        </w:rPr>
      </w:r>
      <w:r w:rsidRPr="00AC6DB0">
        <w:rPr>
          <w:noProof/>
          <w:color w:val="000000"/>
        </w:rPr>
        <w:fldChar w:fldCharType="separate"/>
      </w:r>
      <w:r>
        <w:rPr>
          <w:noProof/>
          <w:color w:val="000000"/>
        </w:rPr>
        <w:t>15</w:t>
      </w:r>
      <w:r w:rsidRPr="00AC6DB0">
        <w:rPr>
          <w:noProof/>
          <w:color w:val="000000"/>
        </w:rPr>
        <w:fldChar w:fldCharType="end"/>
      </w:r>
    </w:p>
    <w:p w:rsidR="00701EE4" w:rsidRDefault="00AC6DB0" w:rsidP="00701EE4">
      <w:pPr>
        <w:rPr>
          <w:rFonts w:cs="Arial"/>
        </w:rPr>
      </w:pPr>
      <w:r w:rsidRPr="00AC6DB0">
        <w:rPr>
          <w:b/>
          <w:color w:val="000000"/>
          <w:kern w:val="28"/>
        </w:rPr>
        <w:fldChar w:fldCharType="end"/>
      </w:r>
    </w:p>
    <w:p w:rsidR="00500584" w:rsidRPr="003A7C64" w:rsidRDefault="00701EE4" w:rsidP="00701EE4">
      <w:pPr>
        <w:pStyle w:val="Heading1"/>
        <w:spacing w:before="0"/>
        <w:rPr>
          <w:color w:val="104F75"/>
          <w:sz w:val="40"/>
          <w:szCs w:val="40"/>
          <w:lang w:eastAsia="en-US"/>
        </w:rPr>
      </w:pPr>
      <w:r>
        <w:rPr>
          <w:rFonts w:cs="Arial"/>
        </w:rPr>
        <w:br w:type="page"/>
      </w:r>
      <w:bookmarkStart w:id="2" w:name="_Toc322499303"/>
      <w:r w:rsidR="000911E5" w:rsidRPr="003A7C64">
        <w:rPr>
          <w:rFonts w:cs="Arial"/>
          <w:color w:val="104F75"/>
          <w:sz w:val="40"/>
          <w:szCs w:val="40"/>
        </w:rPr>
        <w:lastRenderedPageBreak/>
        <w:t xml:space="preserve">Chapter </w:t>
      </w:r>
      <w:r w:rsidR="00500584" w:rsidRPr="003A7C64">
        <w:rPr>
          <w:color w:val="104F75"/>
          <w:sz w:val="40"/>
          <w:szCs w:val="40"/>
          <w:lang w:eastAsia="en-US"/>
        </w:rPr>
        <w:t>1</w:t>
      </w:r>
      <w:r w:rsidR="000911E5" w:rsidRPr="003A7C64">
        <w:rPr>
          <w:color w:val="104F75"/>
          <w:sz w:val="40"/>
          <w:szCs w:val="40"/>
          <w:lang w:eastAsia="en-US"/>
        </w:rPr>
        <w:t>:</w:t>
      </w:r>
      <w:r w:rsidR="00500584" w:rsidRPr="003A7C64">
        <w:rPr>
          <w:color w:val="104F75"/>
          <w:sz w:val="40"/>
          <w:szCs w:val="40"/>
          <w:lang w:eastAsia="en-US"/>
        </w:rPr>
        <w:t xml:space="preserve">  Introduction</w:t>
      </w:r>
      <w:bookmarkEnd w:id="2"/>
    </w:p>
    <w:p w:rsidR="00C24426" w:rsidRPr="00C24426" w:rsidRDefault="00500584" w:rsidP="00C24426">
      <w:pPr>
        <w:pStyle w:val="DeptOutNumbered"/>
        <w:widowControl w:val="0"/>
        <w:numPr>
          <w:ilvl w:val="1"/>
          <w:numId w:val="6"/>
        </w:numPr>
        <w:overflowPunct w:val="0"/>
        <w:autoSpaceDE w:val="0"/>
        <w:autoSpaceDN w:val="0"/>
        <w:adjustRightInd w:val="0"/>
        <w:ind w:left="0" w:firstLine="0"/>
        <w:textAlignment w:val="baseline"/>
        <w:rPr>
          <w:rFonts w:cs="Arial"/>
        </w:rPr>
      </w:pPr>
      <w:r w:rsidRPr="002171FD">
        <w:t xml:space="preserve">This explanatory document is laid before Parliament in accordance with section 14 of the Legislative and Regulatory Reform Act 2006 (“the 2006 Act”) together with the draft of the Legislative Reform </w:t>
      </w:r>
      <w:r>
        <w:t>(Annual</w:t>
      </w:r>
      <w:r w:rsidRPr="00DE45DC">
        <w:t xml:space="preserve"> </w:t>
      </w:r>
      <w:r>
        <w:t>Review</w:t>
      </w:r>
      <w:r w:rsidRPr="00DE45DC">
        <w:t xml:space="preserve"> </w:t>
      </w:r>
      <w:r>
        <w:t>of</w:t>
      </w:r>
      <w:r w:rsidRPr="00DE45DC">
        <w:t xml:space="preserve"> </w:t>
      </w:r>
      <w:r>
        <w:t>Local</w:t>
      </w:r>
      <w:r w:rsidRPr="00DE45DC">
        <w:t xml:space="preserve"> </w:t>
      </w:r>
      <w:r>
        <w:t>Authorities</w:t>
      </w:r>
      <w:r w:rsidRPr="002171FD">
        <w:t xml:space="preserve">) Order </w:t>
      </w:r>
      <w:r w:rsidR="00C24426">
        <w:t>2012</w:t>
      </w:r>
      <w:r w:rsidRPr="002171FD">
        <w:t xml:space="preserve"> (“the draft Order”) which we p</w:t>
      </w:r>
      <w:r w:rsidR="00C24426">
        <w:t>ropose to make under section 1</w:t>
      </w:r>
      <w:r w:rsidRPr="002171FD">
        <w:t xml:space="preserve"> of that Act.  The purpose of the draft Order is to repeal </w:t>
      </w:r>
      <w:r w:rsidR="00C24426">
        <w:t xml:space="preserve">section 138 of </w:t>
      </w:r>
      <w:r w:rsidRPr="002171FD">
        <w:t xml:space="preserve">the </w:t>
      </w:r>
      <w:r w:rsidR="00C24426">
        <w:t>Education and Inspections Act 2006</w:t>
      </w:r>
      <w:r w:rsidR="00916096">
        <w:t>, which imposes a duty on the Chief Inspector of Education, Children’s Services and Skills (“the Chief Inspector”) to annually review and rate local authority children’s services</w:t>
      </w:r>
      <w:r w:rsidRPr="002171FD">
        <w:t>.</w:t>
      </w:r>
    </w:p>
    <w:p w:rsidR="00C24426" w:rsidRPr="00500584" w:rsidRDefault="00C24426" w:rsidP="00C24426">
      <w:pPr>
        <w:pStyle w:val="DeptOutNumbered"/>
        <w:widowControl w:val="0"/>
        <w:numPr>
          <w:ilvl w:val="1"/>
          <w:numId w:val="6"/>
        </w:numPr>
        <w:overflowPunct w:val="0"/>
        <w:autoSpaceDE w:val="0"/>
        <w:autoSpaceDN w:val="0"/>
        <w:adjustRightInd w:val="0"/>
        <w:ind w:left="0" w:firstLine="0"/>
        <w:textAlignment w:val="baseline"/>
        <w:rPr>
          <w:rFonts w:cs="Arial"/>
        </w:rPr>
      </w:pPr>
      <w:r>
        <w:t xml:space="preserve">The Government is satisfied that Ministerial duties have been met under the relevant sections of the </w:t>
      </w:r>
      <w:r>
        <w:rPr>
          <w:rFonts w:ascii="ArialMT" w:hAnsi="ArialMT" w:cs="ArialMT"/>
          <w:szCs w:val="24"/>
        </w:rPr>
        <w:t>2006 Act.  This includes that the order serves a purpose under section 1(2) of the 2006 Act, that the pre-conditions under section 3 of the 2006 Act have been met, and that the appropriate consultation has been carried out in accordance with section 13 of the 2006 Act.</w:t>
      </w:r>
    </w:p>
    <w:p w:rsidR="00D97C9C" w:rsidRPr="003A7C64" w:rsidRDefault="00D97C9C" w:rsidP="00701EE4">
      <w:pPr>
        <w:pStyle w:val="Heading1"/>
        <w:rPr>
          <w:color w:val="104F75"/>
          <w:sz w:val="40"/>
          <w:szCs w:val="40"/>
          <w:lang w:eastAsia="en-US"/>
        </w:rPr>
      </w:pPr>
      <w:r>
        <w:br w:type="page"/>
      </w:r>
      <w:bookmarkStart w:id="3" w:name="_Toc322499304"/>
      <w:r w:rsidR="000911E5" w:rsidRPr="003A7C64">
        <w:rPr>
          <w:color w:val="104F75"/>
          <w:sz w:val="40"/>
          <w:szCs w:val="40"/>
        </w:rPr>
        <w:lastRenderedPageBreak/>
        <w:t xml:space="preserve">Chapter </w:t>
      </w:r>
      <w:r w:rsidR="000911E5" w:rsidRPr="003A7C64">
        <w:rPr>
          <w:color w:val="104F75"/>
          <w:sz w:val="40"/>
          <w:szCs w:val="40"/>
          <w:lang w:eastAsia="en-US"/>
        </w:rPr>
        <w:t>2:</w:t>
      </w:r>
      <w:r w:rsidRPr="003A7C64">
        <w:rPr>
          <w:color w:val="104F75"/>
          <w:sz w:val="40"/>
          <w:szCs w:val="40"/>
          <w:lang w:eastAsia="en-US"/>
        </w:rPr>
        <w:t xml:space="preserve">  Background to the </w:t>
      </w:r>
      <w:r w:rsidR="00916096">
        <w:rPr>
          <w:color w:val="104F75"/>
          <w:sz w:val="40"/>
          <w:szCs w:val="40"/>
          <w:lang w:eastAsia="en-US"/>
        </w:rPr>
        <w:t>Order</w:t>
      </w:r>
      <w:bookmarkEnd w:id="3"/>
    </w:p>
    <w:p w:rsidR="00D97C9C" w:rsidRDefault="00916096" w:rsidP="00D97C9C">
      <w:pPr>
        <w:pStyle w:val="DeptOutNumbered"/>
        <w:widowControl w:val="0"/>
        <w:numPr>
          <w:ilvl w:val="1"/>
          <w:numId w:val="7"/>
        </w:numPr>
        <w:overflowPunct w:val="0"/>
        <w:autoSpaceDE w:val="0"/>
        <w:autoSpaceDN w:val="0"/>
        <w:adjustRightInd w:val="0"/>
        <w:ind w:left="0" w:firstLine="0"/>
        <w:textAlignment w:val="baseline"/>
        <w:rPr>
          <w:rFonts w:cs="Arial"/>
        </w:rPr>
      </w:pPr>
      <w:r>
        <w:rPr>
          <w:rFonts w:cs="Arial"/>
        </w:rPr>
        <w:t>The Chief Inspector</w:t>
      </w:r>
      <w:r w:rsidR="00DD44C3">
        <w:rPr>
          <w:rFonts w:cs="Arial"/>
        </w:rPr>
        <w:t xml:space="preserve"> </w:t>
      </w:r>
      <w:r w:rsidR="00D97C9C" w:rsidRPr="00BE1000">
        <w:rPr>
          <w:rFonts w:cs="Arial"/>
        </w:rPr>
        <w:t>is statutorily required under section 138 of the Education and Inspections Act 2006 to undertake, in each financial year, a review of the performance of each top tier local authority in England in relation to certain children’s services functions and related activities (as set out in section 135 of th</w:t>
      </w:r>
      <w:r>
        <w:rPr>
          <w:rFonts w:cs="Arial"/>
        </w:rPr>
        <w:t>at</w:t>
      </w:r>
      <w:r w:rsidR="00D97C9C" w:rsidRPr="00BE1000">
        <w:rPr>
          <w:rFonts w:cs="Arial"/>
        </w:rPr>
        <w:t xml:space="preserve"> Act).  After conducting such a review </w:t>
      </w:r>
      <w:r>
        <w:rPr>
          <w:rFonts w:cs="Arial"/>
        </w:rPr>
        <w:t xml:space="preserve">The Chief Inspector </w:t>
      </w:r>
      <w:r w:rsidR="00D97C9C" w:rsidRPr="00BE1000">
        <w:rPr>
          <w:rFonts w:cs="Arial"/>
        </w:rPr>
        <w:t xml:space="preserve">must award each local authority a performance rating.  </w:t>
      </w:r>
      <w:r>
        <w:rPr>
          <w:rFonts w:cs="Arial"/>
        </w:rPr>
        <w:t xml:space="preserve">The Chief Inspector </w:t>
      </w:r>
      <w:r w:rsidR="00D97C9C" w:rsidRPr="00BE1000">
        <w:rPr>
          <w:rFonts w:cs="Arial"/>
        </w:rPr>
        <w:t xml:space="preserve">fulfils this duty through </w:t>
      </w:r>
      <w:r w:rsidRPr="00BE1000">
        <w:rPr>
          <w:rFonts w:cs="Arial"/>
        </w:rPr>
        <w:t>Ofsted</w:t>
      </w:r>
      <w:r>
        <w:rPr>
          <w:rFonts w:cs="Arial"/>
        </w:rPr>
        <w:t>’s</w:t>
      </w:r>
      <w:r w:rsidRPr="00BE1000">
        <w:rPr>
          <w:rFonts w:cs="Arial"/>
        </w:rPr>
        <w:t xml:space="preserve"> </w:t>
      </w:r>
      <w:r w:rsidR="00D97C9C" w:rsidRPr="00BE1000">
        <w:rPr>
          <w:rFonts w:cs="Arial"/>
        </w:rPr>
        <w:t>annual rating process, otherwise known as its annual children’s services assessment</w:t>
      </w:r>
      <w:r w:rsidR="00D97C9C">
        <w:rPr>
          <w:rFonts w:cs="Arial"/>
        </w:rPr>
        <w:t xml:space="preserve">. </w:t>
      </w:r>
    </w:p>
    <w:p w:rsidR="00D97C9C" w:rsidRDefault="00D97C9C" w:rsidP="00D97C9C">
      <w:pPr>
        <w:pStyle w:val="DeptOutNumbered"/>
        <w:widowControl w:val="0"/>
        <w:numPr>
          <w:ilvl w:val="1"/>
          <w:numId w:val="7"/>
        </w:numPr>
        <w:overflowPunct w:val="0"/>
        <w:autoSpaceDE w:val="0"/>
        <w:autoSpaceDN w:val="0"/>
        <w:adjustRightInd w:val="0"/>
        <w:ind w:left="0" w:firstLine="0"/>
        <w:textAlignment w:val="baseline"/>
        <w:rPr>
          <w:rFonts w:cs="Arial"/>
        </w:rPr>
      </w:pPr>
      <w:r w:rsidRPr="00BE1000">
        <w:rPr>
          <w:rFonts w:cs="Arial"/>
        </w:rPr>
        <w:t xml:space="preserve">As part of the children’s services assessment process, Ofsted assesses each top tier local authority in </w:t>
      </w:r>
      <w:smartTag w:uri="urn:schemas-microsoft-com:office:smarttags" w:element="country-region">
        <w:smartTag w:uri="urn:schemas-microsoft-com:office:smarttags" w:element="place">
          <w:r w:rsidRPr="00BE1000">
            <w:rPr>
              <w:rFonts w:cs="Arial"/>
            </w:rPr>
            <w:t>England</w:t>
          </w:r>
        </w:smartTag>
      </w:smartTag>
      <w:r w:rsidRPr="00BE1000">
        <w:rPr>
          <w:rFonts w:cs="Arial"/>
        </w:rPr>
        <w:t xml:space="preserve"> using their </w:t>
      </w:r>
      <w:r w:rsidR="009E48FA">
        <w:rPr>
          <w:rFonts w:cs="Arial"/>
        </w:rPr>
        <w:t>“performance profile”</w:t>
      </w:r>
      <w:r w:rsidRPr="00BE1000">
        <w:rPr>
          <w:rFonts w:cs="Arial"/>
        </w:rPr>
        <w:t xml:space="preserve">, which sets out the quality of services and outcomes for children and young people in each local authority.  The performance profile draws together relevant findings from across Ofsted’s inspection and regulation of education, care and skills, and puts this evidence alongside published performance data. </w:t>
      </w:r>
      <w:bookmarkStart w:id="4" w:name="_Toc222021631"/>
      <w:bookmarkStart w:id="5" w:name="_Toc225597798"/>
      <w:r w:rsidRPr="00BE1000">
        <w:rPr>
          <w:rFonts w:cs="Arial"/>
        </w:rPr>
        <w:t xml:space="preserve"> Evidence in the performance profile is arranged into the following three main Blocks.</w:t>
      </w:r>
    </w:p>
    <w:p w:rsidR="00D97C9C" w:rsidRPr="00BE1000" w:rsidRDefault="00D97C9C" w:rsidP="00D97C9C">
      <w:pPr>
        <w:pStyle w:val="DeptOutNumbered"/>
        <w:numPr>
          <w:ilvl w:val="0"/>
          <w:numId w:val="8"/>
        </w:numPr>
        <w:tabs>
          <w:tab w:val="clear" w:pos="1440"/>
          <w:tab w:val="num" w:pos="720"/>
        </w:tabs>
        <w:ind w:left="720"/>
        <w:rPr>
          <w:rFonts w:cs="Arial"/>
        </w:rPr>
      </w:pPr>
      <w:r w:rsidRPr="00BE1000">
        <w:rPr>
          <w:rFonts w:cs="Arial"/>
        </w:rPr>
        <w:t>Block A: the findings from regular and ongoing inspection and regulation of services, settings and institutions.</w:t>
      </w:r>
    </w:p>
    <w:p w:rsidR="00D97C9C" w:rsidRPr="00BE1000" w:rsidRDefault="00D97C9C" w:rsidP="00D97C9C">
      <w:pPr>
        <w:pStyle w:val="DeptOutNumbered"/>
        <w:numPr>
          <w:ilvl w:val="0"/>
          <w:numId w:val="8"/>
        </w:numPr>
        <w:tabs>
          <w:tab w:val="clear" w:pos="1440"/>
          <w:tab w:val="num" w:pos="720"/>
        </w:tabs>
        <w:ind w:left="720"/>
        <w:rPr>
          <w:rFonts w:cs="Arial"/>
        </w:rPr>
      </w:pPr>
      <w:r w:rsidRPr="00BE1000">
        <w:rPr>
          <w:rFonts w:cs="Arial"/>
        </w:rPr>
        <w:t>Block B: findings from the safeguarding and looked after children services inspections, unannounced inspections of contact, referral and assessment arrangements for children in need and children who may be in need of protection, evaluations of serious case reviews and, if a full inspection of safeguarding and looked after children services has not taken place, the findings from the joint area review inspections.</w:t>
      </w:r>
      <w:r w:rsidRPr="00BE1000">
        <w:rPr>
          <w:rFonts w:cs="Arial"/>
          <w:vertAlign w:val="superscript"/>
        </w:rPr>
        <w:footnoteReference w:id="1"/>
      </w:r>
    </w:p>
    <w:p w:rsidR="00D97C9C" w:rsidRPr="00BE1000" w:rsidRDefault="00D97C9C" w:rsidP="00D97C9C">
      <w:pPr>
        <w:pStyle w:val="DeptOutNumbered"/>
        <w:numPr>
          <w:ilvl w:val="0"/>
          <w:numId w:val="8"/>
        </w:numPr>
        <w:tabs>
          <w:tab w:val="clear" w:pos="1440"/>
          <w:tab w:val="num" w:pos="720"/>
        </w:tabs>
        <w:ind w:left="720"/>
        <w:rPr>
          <w:rFonts w:cs="Arial"/>
        </w:rPr>
      </w:pPr>
      <w:r w:rsidRPr="00BE1000">
        <w:rPr>
          <w:rFonts w:cs="Arial"/>
        </w:rPr>
        <w:t xml:space="preserve">Block C: educational performance outcomes and other published data including any impact indicators established by the Department for </w:t>
      </w:r>
      <w:smartTag w:uri="urn:schemas-microsoft-com:office:smarttags" w:element="PersonName">
        <w:r w:rsidRPr="00BE1000">
          <w:rPr>
            <w:rFonts w:cs="Arial"/>
          </w:rPr>
          <w:t>Ed</w:t>
        </w:r>
      </w:smartTag>
      <w:r w:rsidRPr="00BE1000">
        <w:rPr>
          <w:rFonts w:cs="Arial"/>
        </w:rPr>
        <w:t xml:space="preserve">ucation. </w:t>
      </w:r>
    </w:p>
    <w:bookmarkEnd w:id="4"/>
    <w:bookmarkEnd w:id="5"/>
    <w:p w:rsidR="00D97C9C" w:rsidRDefault="00D97C9C" w:rsidP="00D97C9C">
      <w:pPr>
        <w:pStyle w:val="DeptOutNumbered"/>
        <w:widowControl w:val="0"/>
        <w:numPr>
          <w:ilvl w:val="1"/>
          <w:numId w:val="7"/>
        </w:numPr>
        <w:overflowPunct w:val="0"/>
        <w:autoSpaceDE w:val="0"/>
        <w:autoSpaceDN w:val="0"/>
        <w:adjustRightInd w:val="0"/>
        <w:ind w:left="0" w:firstLine="0"/>
        <w:textAlignment w:val="baseline"/>
        <w:rPr>
          <w:rFonts w:cs="Arial"/>
        </w:rPr>
      </w:pPr>
      <w:r w:rsidRPr="00BE1000">
        <w:rPr>
          <w:rFonts w:cs="Arial"/>
        </w:rPr>
        <w:t xml:space="preserve">Although not included in the performance profile, any substantiated complaints received by Ofsted, including through whistle-blowing, will also be considered alongside Block B evidence in determining the assessment, along with other relevant information from local authority self-evaluation, local council scrutiny reports and other such sources.  </w:t>
      </w:r>
    </w:p>
    <w:p w:rsidR="00D97C9C" w:rsidRDefault="00D97C9C" w:rsidP="00D97C9C">
      <w:pPr>
        <w:pStyle w:val="DeptOutNumbered"/>
        <w:widowControl w:val="0"/>
        <w:numPr>
          <w:ilvl w:val="1"/>
          <w:numId w:val="7"/>
        </w:numPr>
        <w:overflowPunct w:val="0"/>
        <w:autoSpaceDE w:val="0"/>
        <w:autoSpaceDN w:val="0"/>
        <w:adjustRightInd w:val="0"/>
        <w:ind w:left="0" w:firstLine="0"/>
        <w:textAlignment w:val="baseline"/>
        <w:rPr>
          <w:rFonts w:cs="Arial"/>
        </w:rPr>
      </w:pPr>
      <w:r w:rsidRPr="00BE1000">
        <w:rPr>
          <w:rFonts w:cs="Arial"/>
        </w:rPr>
        <w:t xml:space="preserve">Inspectors pull all of this information together and award an overall </w:t>
      </w:r>
      <w:r w:rsidR="00C6036D">
        <w:rPr>
          <w:rFonts w:cs="Arial"/>
        </w:rPr>
        <w:t xml:space="preserve">performance </w:t>
      </w:r>
      <w:r w:rsidRPr="00BE1000">
        <w:rPr>
          <w:rFonts w:cs="Arial"/>
        </w:rPr>
        <w:t xml:space="preserve">rating for </w:t>
      </w:r>
      <w:r w:rsidR="00C6036D">
        <w:rPr>
          <w:rFonts w:cs="Arial"/>
        </w:rPr>
        <w:t xml:space="preserve">each local authority’s </w:t>
      </w:r>
      <w:r w:rsidRPr="00BE1000">
        <w:rPr>
          <w:rFonts w:cs="Arial"/>
        </w:rPr>
        <w:t xml:space="preserve">children’s services on a four-point scale: </w:t>
      </w:r>
      <w:r w:rsidR="009E48FA">
        <w:rPr>
          <w:rFonts w:cs="Arial"/>
        </w:rPr>
        <w:t>“</w:t>
      </w:r>
      <w:r w:rsidRPr="00BE1000">
        <w:rPr>
          <w:rFonts w:cs="Arial"/>
        </w:rPr>
        <w:t>performs poorly</w:t>
      </w:r>
      <w:r w:rsidR="009E48FA">
        <w:rPr>
          <w:rFonts w:cs="Arial"/>
        </w:rPr>
        <w:t>”</w:t>
      </w:r>
      <w:r w:rsidRPr="00BE1000">
        <w:rPr>
          <w:rFonts w:cs="Arial"/>
        </w:rPr>
        <w:t xml:space="preserve"> (1); </w:t>
      </w:r>
      <w:r w:rsidR="009E48FA">
        <w:rPr>
          <w:rFonts w:cs="Arial"/>
        </w:rPr>
        <w:t>“</w:t>
      </w:r>
      <w:r w:rsidRPr="00BE1000">
        <w:rPr>
          <w:rFonts w:cs="Arial"/>
        </w:rPr>
        <w:t>performs adequately</w:t>
      </w:r>
      <w:r w:rsidR="009E48FA">
        <w:rPr>
          <w:rFonts w:cs="Arial"/>
        </w:rPr>
        <w:t>”</w:t>
      </w:r>
      <w:r w:rsidRPr="00BE1000">
        <w:rPr>
          <w:rFonts w:cs="Arial"/>
        </w:rPr>
        <w:t xml:space="preserve"> (2); </w:t>
      </w:r>
      <w:r w:rsidR="009E48FA">
        <w:rPr>
          <w:rFonts w:cs="Arial"/>
        </w:rPr>
        <w:t>“</w:t>
      </w:r>
      <w:r w:rsidRPr="00BE1000">
        <w:rPr>
          <w:rFonts w:cs="Arial"/>
        </w:rPr>
        <w:t>performs well</w:t>
      </w:r>
      <w:r w:rsidR="009E48FA">
        <w:rPr>
          <w:rFonts w:cs="Arial"/>
        </w:rPr>
        <w:t>”</w:t>
      </w:r>
      <w:r w:rsidRPr="00BE1000">
        <w:rPr>
          <w:rFonts w:cs="Arial"/>
        </w:rPr>
        <w:t xml:space="preserve"> (3); and </w:t>
      </w:r>
      <w:r w:rsidR="009E48FA">
        <w:rPr>
          <w:rFonts w:cs="Arial"/>
        </w:rPr>
        <w:t>“</w:t>
      </w:r>
      <w:r w:rsidRPr="00BE1000">
        <w:rPr>
          <w:rFonts w:cs="Arial"/>
        </w:rPr>
        <w:t>performs excellently</w:t>
      </w:r>
      <w:r w:rsidR="009E48FA">
        <w:rPr>
          <w:rFonts w:cs="Arial"/>
        </w:rPr>
        <w:t>”</w:t>
      </w:r>
      <w:r w:rsidRPr="00BE1000">
        <w:rPr>
          <w:rFonts w:cs="Arial"/>
        </w:rPr>
        <w:t xml:space="preserve"> (4).  </w:t>
      </w:r>
    </w:p>
    <w:p w:rsidR="00D97C9C" w:rsidRDefault="00D97C9C" w:rsidP="00D97C9C">
      <w:pPr>
        <w:pStyle w:val="DeptOutNumbered"/>
        <w:widowControl w:val="0"/>
        <w:numPr>
          <w:ilvl w:val="1"/>
          <w:numId w:val="7"/>
        </w:numPr>
        <w:overflowPunct w:val="0"/>
        <w:autoSpaceDE w:val="0"/>
        <w:autoSpaceDN w:val="0"/>
        <w:adjustRightInd w:val="0"/>
        <w:ind w:left="0" w:firstLine="0"/>
        <w:textAlignment w:val="baseline"/>
        <w:rPr>
          <w:rFonts w:cs="Arial"/>
        </w:rPr>
      </w:pPr>
      <w:r w:rsidRPr="00BE1000">
        <w:rPr>
          <w:rFonts w:cs="Arial"/>
        </w:rPr>
        <w:t xml:space="preserve">Following the </w:t>
      </w:r>
      <w:r>
        <w:rPr>
          <w:rFonts w:cs="Arial"/>
        </w:rPr>
        <w:t>determination</w:t>
      </w:r>
      <w:r w:rsidRPr="00BE1000">
        <w:rPr>
          <w:rFonts w:cs="Arial"/>
        </w:rPr>
        <w:t xml:space="preserve"> of an overall rating, Ofsted send a draft children’s services assessment letter to each top tier local authority.  Local </w:t>
      </w:r>
      <w:r w:rsidRPr="00BE1000">
        <w:rPr>
          <w:rFonts w:cs="Arial"/>
        </w:rPr>
        <w:lastRenderedPageBreak/>
        <w:t>authorities then h</w:t>
      </w:r>
      <w:r>
        <w:rPr>
          <w:rFonts w:cs="Arial"/>
        </w:rPr>
        <w:t>ave the opportunity to raise any</w:t>
      </w:r>
      <w:r w:rsidRPr="00BE1000">
        <w:rPr>
          <w:rFonts w:cs="Arial"/>
        </w:rPr>
        <w:t xml:space="preserve"> factual inaccuracies with Ofsted and to appeal </w:t>
      </w:r>
      <w:r>
        <w:rPr>
          <w:rFonts w:cs="Arial"/>
        </w:rPr>
        <w:t xml:space="preserve">against </w:t>
      </w:r>
      <w:r w:rsidRPr="00BE1000">
        <w:rPr>
          <w:rFonts w:cs="Arial"/>
        </w:rPr>
        <w:t>their overall rating before the children’s services assessments are finalised.</w:t>
      </w:r>
    </w:p>
    <w:p w:rsidR="00D97C9C" w:rsidRDefault="00D97C9C" w:rsidP="00D97C9C">
      <w:pPr>
        <w:pStyle w:val="DeptOutNumbered"/>
        <w:widowControl w:val="0"/>
        <w:numPr>
          <w:ilvl w:val="1"/>
          <w:numId w:val="7"/>
        </w:numPr>
        <w:overflowPunct w:val="0"/>
        <w:autoSpaceDE w:val="0"/>
        <w:autoSpaceDN w:val="0"/>
        <w:adjustRightInd w:val="0"/>
        <w:ind w:left="0" w:firstLine="0"/>
        <w:textAlignment w:val="baseline"/>
        <w:rPr>
          <w:rFonts w:cs="Arial"/>
        </w:rPr>
      </w:pPr>
      <w:r w:rsidRPr="00BE1000">
        <w:rPr>
          <w:rFonts w:cs="Arial"/>
        </w:rPr>
        <w:t xml:space="preserve">The children’s services assessment is a remnant of a more centralised </w:t>
      </w:r>
      <w:r>
        <w:rPr>
          <w:rFonts w:cs="Arial"/>
        </w:rPr>
        <w:t xml:space="preserve">local government </w:t>
      </w:r>
      <w:r w:rsidRPr="00BE1000">
        <w:rPr>
          <w:rFonts w:cs="Arial"/>
        </w:rPr>
        <w:t>performance management framework which is not consistent with the current Government’s direction of travel</w:t>
      </w:r>
      <w:r>
        <w:rPr>
          <w:rFonts w:cs="Arial"/>
        </w:rPr>
        <w:t>:</w:t>
      </w:r>
      <w:r w:rsidRPr="00BE1000">
        <w:rPr>
          <w:rFonts w:cs="Arial"/>
        </w:rPr>
        <w:t xml:space="preserve"> away from central regulation and bureaucracy, in favour of localism and local democratic accountability.  The children’s services assessment formed part of the previous Government’s Comprehensive Area Assessment (CAA), which was introduced in April 2009 and sought to assess how well communities were being served by their local public services, including councils, police, health, and fire and rescue services.  The CAA process </w:t>
      </w:r>
      <w:r>
        <w:rPr>
          <w:rFonts w:cs="Arial"/>
        </w:rPr>
        <w:t>was led by the Audit Commission</w:t>
      </w:r>
      <w:r w:rsidRPr="00BE1000">
        <w:rPr>
          <w:rFonts w:cs="Arial"/>
        </w:rPr>
        <w:t xml:space="preserve">, which drew together separate assessments from other inspectorates including the Care Quality Commission, HM Inspectorate of Constabulary, HM Inspectorate of Prisons, HM Inspectorate of Probation and Ofsted.  The CAA was abolished by the current Government in May 2010, and a few months later, on 9 December, the Parliamentary Under-Secretary of State for Children and Families announced the intention to repeal the requirement on Ofsted to conduct an annual assessment of local authority children’s services (under section 138 of the Education and Inspections Act 2006), stating that Government would </w:t>
      </w:r>
      <w:r w:rsidR="009E48FA">
        <w:rPr>
          <w:rFonts w:cs="Arial"/>
        </w:rPr>
        <w:t>“</w:t>
      </w:r>
      <w:r w:rsidRPr="00BE1000">
        <w:rPr>
          <w:rFonts w:cs="Arial"/>
        </w:rPr>
        <w:t>seek to repeal this legislation at the earliest opportunity</w:t>
      </w:r>
      <w:r w:rsidR="009E48FA">
        <w:rPr>
          <w:rFonts w:cs="Arial"/>
        </w:rPr>
        <w:t>”</w:t>
      </w:r>
      <w:r w:rsidRPr="00BE1000">
        <w:rPr>
          <w:rFonts w:cs="Arial"/>
        </w:rPr>
        <w:t>.</w:t>
      </w:r>
    </w:p>
    <w:p w:rsidR="00C6036D" w:rsidRDefault="00444196" w:rsidP="00444196">
      <w:pPr>
        <w:pStyle w:val="DeptOutNumbered"/>
        <w:widowControl w:val="0"/>
        <w:numPr>
          <w:ilvl w:val="1"/>
          <w:numId w:val="7"/>
        </w:numPr>
        <w:overflowPunct w:val="0"/>
        <w:autoSpaceDE w:val="0"/>
        <w:autoSpaceDN w:val="0"/>
        <w:adjustRightInd w:val="0"/>
        <w:ind w:left="0" w:firstLine="0"/>
        <w:textAlignment w:val="baseline"/>
        <w:rPr>
          <w:rFonts w:cs="Arial"/>
        </w:rPr>
      </w:pPr>
      <w:r w:rsidRPr="00BE1000">
        <w:rPr>
          <w:rFonts w:cs="Arial"/>
        </w:rPr>
        <w:t xml:space="preserve">The </w:t>
      </w:r>
      <w:r>
        <w:rPr>
          <w:rFonts w:cs="Arial"/>
        </w:rPr>
        <w:t xml:space="preserve">repeal of section 138 and the resulting removal of the requirement to undertake annual children’s services assessments will eliminate </w:t>
      </w:r>
      <w:r w:rsidRPr="00BE1000">
        <w:rPr>
          <w:rFonts w:cs="Arial"/>
        </w:rPr>
        <w:t>an unnecessary regulatory burden on both Ofsted and local auth</w:t>
      </w:r>
      <w:r>
        <w:rPr>
          <w:rFonts w:cs="Arial"/>
        </w:rPr>
        <w:t xml:space="preserve">orities.  The repeal </w:t>
      </w:r>
      <w:r w:rsidR="005505B9" w:rsidRPr="00BE1000">
        <w:rPr>
          <w:rFonts w:cs="Arial"/>
        </w:rPr>
        <w:t>would bring a cost saving to the public purse of between £1.3m and £1.7m</w:t>
      </w:r>
      <w:r w:rsidR="005505B9">
        <w:rPr>
          <w:rFonts w:cs="Arial"/>
        </w:rPr>
        <w:t xml:space="preserve"> per annum and </w:t>
      </w:r>
      <w:r w:rsidR="001A7021">
        <w:rPr>
          <w:rFonts w:cs="Arial"/>
        </w:rPr>
        <w:t xml:space="preserve">there are also likely to be some small cost savings in local authorities which will no longer have to verify that they agree with Ofsted’s annual assessment and enter into an appeals process, if necessary.  </w:t>
      </w:r>
    </w:p>
    <w:p w:rsidR="00444196" w:rsidRDefault="001A7021" w:rsidP="00444196">
      <w:pPr>
        <w:pStyle w:val="DeptOutNumbered"/>
        <w:widowControl w:val="0"/>
        <w:numPr>
          <w:ilvl w:val="1"/>
          <w:numId w:val="7"/>
        </w:numPr>
        <w:overflowPunct w:val="0"/>
        <w:autoSpaceDE w:val="0"/>
        <w:autoSpaceDN w:val="0"/>
        <w:adjustRightInd w:val="0"/>
        <w:ind w:left="0" w:firstLine="0"/>
        <w:textAlignment w:val="baseline"/>
        <w:rPr>
          <w:rFonts w:cs="Arial"/>
        </w:rPr>
      </w:pPr>
      <w:r>
        <w:rPr>
          <w:rFonts w:cs="Arial"/>
        </w:rPr>
        <w:t xml:space="preserve">The repeal </w:t>
      </w:r>
      <w:r w:rsidR="00444196">
        <w:rPr>
          <w:rFonts w:cs="Arial"/>
        </w:rPr>
        <w:t>would not a</w:t>
      </w:r>
      <w:r w:rsidR="00444196" w:rsidRPr="00BE1000">
        <w:rPr>
          <w:rFonts w:cs="Arial"/>
        </w:rPr>
        <w:t>ffect Ofsted’s other inspection activity</w:t>
      </w:r>
      <w:r>
        <w:rPr>
          <w:rFonts w:cs="Arial"/>
        </w:rPr>
        <w:t>.  Ofsted is putting in place new</w:t>
      </w:r>
      <w:r w:rsidR="00444196" w:rsidRPr="00BE1000">
        <w:rPr>
          <w:rFonts w:cs="Arial"/>
        </w:rPr>
        <w:t xml:space="preserve">, </w:t>
      </w:r>
      <w:r w:rsidR="005505B9">
        <w:rPr>
          <w:rFonts w:cs="Arial"/>
        </w:rPr>
        <w:t xml:space="preserve">universal, child focussed inspection regimes for local authority services for the protection of children and local authority fostering, adoption and looked after children’s services between </w:t>
      </w:r>
      <w:r>
        <w:rPr>
          <w:rFonts w:cs="Arial"/>
        </w:rPr>
        <w:t>May 2012</w:t>
      </w:r>
      <w:r w:rsidR="005505B9">
        <w:rPr>
          <w:rFonts w:cs="Arial"/>
        </w:rPr>
        <w:t xml:space="preserve"> and </w:t>
      </w:r>
      <w:r>
        <w:rPr>
          <w:rFonts w:cs="Arial"/>
        </w:rPr>
        <w:t xml:space="preserve">early-mid </w:t>
      </w:r>
      <w:r w:rsidR="005505B9">
        <w:rPr>
          <w:rFonts w:cs="Arial"/>
        </w:rPr>
        <w:t>2013</w:t>
      </w:r>
      <w:r w:rsidR="00292EBD">
        <w:rPr>
          <w:rStyle w:val="FootnoteReference"/>
          <w:rFonts w:cs="Arial"/>
        </w:rPr>
        <w:footnoteReference w:id="2"/>
      </w:r>
      <w:r>
        <w:rPr>
          <w:rFonts w:cs="Arial"/>
        </w:rPr>
        <w:t>.  These new regimes will focus more closely on frontline practice than previous inspection frameworks and, particularly in relation to adoption services, will raise the bar on what constitutes good or outstanding practice, which will help to more effectively drive improved services for vulnerable children</w:t>
      </w:r>
      <w:r w:rsidR="00444196">
        <w:rPr>
          <w:rFonts w:cs="Arial"/>
        </w:rPr>
        <w:t xml:space="preserve">.  </w:t>
      </w:r>
    </w:p>
    <w:p w:rsidR="00444196" w:rsidRDefault="00444196" w:rsidP="00444196">
      <w:pPr>
        <w:pStyle w:val="DeptOutNumbered"/>
        <w:widowControl w:val="0"/>
        <w:numPr>
          <w:ilvl w:val="1"/>
          <w:numId w:val="7"/>
        </w:numPr>
        <w:overflowPunct w:val="0"/>
        <w:autoSpaceDE w:val="0"/>
        <w:autoSpaceDN w:val="0"/>
        <w:adjustRightInd w:val="0"/>
        <w:ind w:left="0" w:firstLine="0"/>
        <w:textAlignment w:val="baseline"/>
        <w:rPr>
          <w:rFonts w:cs="Arial"/>
        </w:rPr>
      </w:pPr>
      <w:r>
        <w:rPr>
          <w:rFonts w:cs="Arial"/>
        </w:rPr>
        <w:t xml:space="preserve">Ofsted also has a separate duty to make an annual report to the Secretary of State under section 121 of the Education and Inspections Act 2006.  Such annual reports must also be laid before Parliament.  Ofsted annual reports summarise the overall results of inspections conducted under the various different frameworks that span their remit.  The 2010-11 annual report included coverage of early years and childcare, children’s centres, </w:t>
      </w:r>
      <w:r>
        <w:rPr>
          <w:rFonts w:cs="Arial"/>
        </w:rPr>
        <w:lastRenderedPageBreak/>
        <w:t>maintained schools, initial teacher education, i</w:t>
      </w:r>
      <w:r w:rsidRPr="00B84EFA">
        <w:rPr>
          <w:rFonts w:cs="Arial"/>
        </w:rPr>
        <w:t>ndependent schools, non-maintained special schools and boarding schools</w:t>
      </w:r>
      <w:r>
        <w:rPr>
          <w:rFonts w:cs="Arial"/>
        </w:rPr>
        <w:t xml:space="preserve">, learning and skills, and children’s social care.  </w:t>
      </w:r>
    </w:p>
    <w:p w:rsidR="00444196" w:rsidRPr="003A7C64" w:rsidRDefault="00444196" w:rsidP="00701EE4">
      <w:pPr>
        <w:pStyle w:val="Heading1"/>
        <w:rPr>
          <w:color w:val="104F75"/>
          <w:sz w:val="40"/>
          <w:szCs w:val="40"/>
        </w:rPr>
      </w:pPr>
      <w:r>
        <w:br w:type="page"/>
      </w:r>
      <w:bookmarkStart w:id="6" w:name="_Toc322499305"/>
      <w:r w:rsidR="000911E5" w:rsidRPr="003A7C64">
        <w:rPr>
          <w:color w:val="104F75"/>
          <w:sz w:val="40"/>
          <w:szCs w:val="40"/>
        </w:rPr>
        <w:lastRenderedPageBreak/>
        <w:t xml:space="preserve">Chapter </w:t>
      </w:r>
      <w:r w:rsidRPr="003A7C64">
        <w:rPr>
          <w:color w:val="104F75"/>
          <w:sz w:val="40"/>
          <w:szCs w:val="40"/>
        </w:rPr>
        <w:t>3</w:t>
      </w:r>
      <w:r w:rsidR="000911E5" w:rsidRPr="003A7C64">
        <w:rPr>
          <w:color w:val="104F75"/>
          <w:sz w:val="40"/>
          <w:szCs w:val="40"/>
        </w:rPr>
        <w:t>:</w:t>
      </w:r>
      <w:r w:rsidRPr="003A7C64">
        <w:rPr>
          <w:color w:val="104F75"/>
          <w:sz w:val="40"/>
          <w:szCs w:val="40"/>
        </w:rPr>
        <w:t xml:space="preserve">  </w:t>
      </w:r>
      <w:r w:rsidR="00916096">
        <w:rPr>
          <w:color w:val="104F75"/>
          <w:sz w:val="40"/>
          <w:szCs w:val="40"/>
        </w:rPr>
        <w:t>The Order</w:t>
      </w:r>
      <w:bookmarkEnd w:id="6"/>
      <w:r w:rsidRPr="003A7C64">
        <w:rPr>
          <w:color w:val="104F75"/>
          <w:sz w:val="40"/>
          <w:szCs w:val="40"/>
        </w:rPr>
        <w:t xml:space="preserve"> </w:t>
      </w:r>
    </w:p>
    <w:p w:rsidR="00AC0068" w:rsidRPr="00EA31CF" w:rsidRDefault="00916096" w:rsidP="00AC0068">
      <w:pPr>
        <w:pStyle w:val="Heading1"/>
        <w:rPr>
          <w:b w:val="0"/>
          <w:iCs/>
          <w:color w:val="104F75"/>
          <w:sz w:val="36"/>
          <w:szCs w:val="36"/>
        </w:rPr>
      </w:pPr>
      <w:bookmarkStart w:id="7" w:name="_Toc318370613"/>
      <w:bookmarkStart w:id="8" w:name="_Toc322499306"/>
      <w:r w:rsidRPr="00EA31CF">
        <w:rPr>
          <w:b w:val="0"/>
          <w:iCs/>
          <w:color w:val="104F75"/>
          <w:sz w:val="36"/>
          <w:szCs w:val="36"/>
        </w:rPr>
        <w:t>Power to remove burdens under section 1 of the 2006 Act</w:t>
      </w:r>
      <w:bookmarkEnd w:id="7"/>
      <w:bookmarkEnd w:id="8"/>
      <w:r w:rsidRPr="00EA31CF" w:rsidDel="00916096">
        <w:rPr>
          <w:b w:val="0"/>
          <w:iCs/>
          <w:color w:val="104F75"/>
          <w:sz w:val="36"/>
          <w:szCs w:val="36"/>
        </w:rPr>
        <w:t xml:space="preserve"> </w:t>
      </w:r>
    </w:p>
    <w:p w:rsidR="00AF700E" w:rsidRDefault="00AF700E" w:rsidP="00AF700E">
      <w:pPr>
        <w:pStyle w:val="DeptOutNumbered"/>
        <w:widowControl w:val="0"/>
        <w:numPr>
          <w:ilvl w:val="1"/>
          <w:numId w:val="9"/>
        </w:numPr>
        <w:overflowPunct w:val="0"/>
        <w:autoSpaceDE w:val="0"/>
        <w:autoSpaceDN w:val="0"/>
        <w:adjustRightInd w:val="0"/>
        <w:ind w:left="0" w:firstLine="0"/>
        <w:textAlignment w:val="baseline"/>
        <w:rPr>
          <w:rFonts w:cs="Arial"/>
        </w:rPr>
      </w:pPr>
      <w:r>
        <w:rPr>
          <w:rFonts w:cs="Arial"/>
        </w:rPr>
        <w:t>The Government</w:t>
      </w:r>
      <w:r w:rsidRPr="00671A9B">
        <w:rPr>
          <w:rFonts w:cs="Arial"/>
        </w:rPr>
        <w:t xml:space="preserve"> is committed to reducing bureaucratic burdens and making inspection more streamlined and proportionate.  In line with this aim, the Comprehensive Area Assessment process, which drew together various different individual service assessments and with which Ofsted’s annual ratings were linked in 2009, has now been abolished</w:t>
      </w:r>
      <w:r>
        <w:rPr>
          <w:rFonts w:cs="Arial"/>
        </w:rPr>
        <w:t>.</w:t>
      </w:r>
    </w:p>
    <w:p w:rsidR="00AF700E" w:rsidRDefault="00AF700E" w:rsidP="00AF700E">
      <w:pPr>
        <w:pStyle w:val="DeptOutNumbered"/>
        <w:widowControl w:val="0"/>
        <w:numPr>
          <w:ilvl w:val="1"/>
          <w:numId w:val="9"/>
        </w:numPr>
        <w:overflowPunct w:val="0"/>
        <w:autoSpaceDE w:val="0"/>
        <w:autoSpaceDN w:val="0"/>
        <w:adjustRightInd w:val="0"/>
        <w:ind w:left="0" w:firstLine="0"/>
        <w:textAlignment w:val="baseline"/>
        <w:rPr>
          <w:rFonts w:cs="Arial"/>
        </w:rPr>
      </w:pPr>
      <w:r>
        <w:t xml:space="preserve">The purpose of the Order is to remove burdens, as required by section 1(1) of the Act.  </w:t>
      </w:r>
      <w:r>
        <w:rPr>
          <w:rFonts w:cs="Arial"/>
        </w:rPr>
        <w:t xml:space="preserve">The Order would primarily reduce burdens on Ofsted by freeing up resources within the inspectorate to be used for other, higher priority, inspection activity and to help meet the 30% reduction to their budget put in place through the spending review.  </w:t>
      </w:r>
    </w:p>
    <w:p w:rsidR="00AF700E" w:rsidRPr="00EA31CF" w:rsidRDefault="00AF700E" w:rsidP="00AF700E">
      <w:pPr>
        <w:pStyle w:val="Heading1"/>
        <w:rPr>
          <w:rFonts w:cs="Arial"/>
          <w:b w:val="0"/>
          <w:color w:val="104F75"/>
          <w:sz w:val="36"/>
          <w:szCs w:val="36"/>
        </w:rPr>
      </w:pPr>
      <w:bookmarkStart w:id="9" w:name="_Toc318370614"/>
      <w:bookmarkStart w:id="10" w:name="_Toc322499307"/>
      <w:r w:rsidRPr="00EA31CF">
        <w:rPr>
          <w:rFonts w:cs="Arial"/>
          <w:b w:val="0"/>
          <w:color w:val="104F75"/>
          <w:sz w:val="36"/>
          <w:szCs w:val="36"/>
        </w:rPr>
        <w:t>Compliance with conditions in section 3 of the 2006 Act</w:t>
      </w:r>
      <w:bookmarkEnd w:id="9"/>
      <w:bookmarkEnd w:id="10"/>
    </w:p>
    <w:p w:rsidR="00444196" w:rsidRPr="003A7C64" w:rsidRDefault="00083CBC" w:rsidP="00444196">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Pr>
          <w:rFonts w:cs="Arial"/>
          <w:b/>
          <w:color w:val="104F75"/>
          <w:sz w:val="28"/>
          <w:szCs w:val="28"/>
        </w:rPr>
        <w:t>Non-legislative s</w:t>
      </w:r>
      <w:r w:rsidR="00444196" w:rsidRPr="003A7C64">
        <w:rPr>
          <w:rFonts w:cs="Arial"/>
          <w:b/>
          <w:color w:val="104F75"/>
          <w:sz w:val="28"/>
          <w:szCs w:val="28"/>
        </w:rPr>
        <w:t>olutions</w:t>
      </w:r>
    </w:p>
    <w:p w:rsidR="000F0B71" w:rsidRDefault="00444196" w:rsidP="00444196">
      <w:pPr>
        <w:pStyle w:val="DeptOutNumbered"/>
        <w:widowControl w:val="0"/>
        <w:numPr>
          <w:ilvl w:val="1"/>
          <w:numId w:val="9"/>
        </w:numPr>
        <w:overflowPunct w:val="0"/>
        <w:autoSpaceDE w:val="0"/>
        <w:autoSpaceDN w:val="0"/>
        <w:adjustRightInd w:val="0"/>
        <w:ind w:left="0" w:firstLine="0"/>
        <w:textAlignment w:val="baseline"/>
        <w:rPr>
          <w:rFonts w:cs="Arial"/>
        </w:rPr>
      </w:pPr>
      <w:r w:rsidRPr="00671A9B">
        <w:rPr>
          <w:rFonts w:cs="Arial"/>
        </w:rPr>
        <w:t xml:space="preserve">The only way to remove the </w:t>
      </w:r>
      <w:r w:rsidR="00AF700E">
        <w:rPr>
          <w:rFonts w:cs="Arial"/>
        </w:rPr>
        <w:t xml:space="preserve">Chief Inspector’s duty </w:t>
      </w:r>
      <w:r w:rsidRPr="00671A9B">
        <w:rPr>
          <w:rFonts w:cs="Arial"/>
        </w:rPr>
        <w:t xml:space="preserve">to carry out the annual </w:t>
      </w:r>
      <w:r w:rsidR="00AF700E">
        <w:rPr>
          <w:rFonts w:cs="Arial"/>
        </w:rPr>
        <w:t xml:space="preserve">review and </w:t>
      </w:r>
      <w:r w:rsidRPr="00671A9B">
        <w:rPr>
          <w:rFonts w:cs="Arial"/>
        </w:rPr>
        <w:t xml:space="preserve">rating </w:t>
      </w:r>
      <w:r w:rsidR="00AF700E">
        <w:rPr>
          <w:rFonts w:cs="Arial"/>
        </w:rPr>
        <w:t xml:space="preserve">of local authority </w:t>
      </w:r>
      <w:r w:rsidR="00AF700E" w:rsidRPr="00671A9B">
        <w:rPr>
          <w:rFonts w:cs="Arial"/>
        </w:rPr>
        <w:t xml:space="preserve">children’s services </w:t>
      </w:r>
      <w:r w:rsidRPr="00671A9B">
        <w:rPr>
          <w:rFonts w:cs="Arial"/>
        </w:rPr>
        <w:t>is to repeal s</w:t>
      </w:r>
      <w:r>
        <w:rPr>
          <w:rFonts w:cs="Arial"/>
        </w:rPr>
        <w:t xml:space="preserve">ection </w:t>
      </w:r>
      <w:r w:rsidRPr="00671A9B">
        <w:rPr>
          <w:rFonts w:cs="Arial"/>
        </w:rPr>
        <w:t>138 of the E</w:t>
      </w:r>
      <w:r>
        <w:rPr>
          <w:rFonts w:cs="Arial"/>
        </w:rPr>
        <w:t xml:space="preserve">ducation and </w:t>
      </w:r>
      <w:r w:rsidRPr="00671A9B">
        <w:rPr>
          <w:rFonts w:cs="Arial"/>
        </w:rPr>
        <w:t>I</w:t>
      </w:r>
      <w:r>
        <w:rPr>
          <w:rFonts w:cs="Arial"/>
        </w:rPr>
        <w:t xml:space="preserve">nspections </w:t>
      </w:r>
      <w:r w:rsidRPr="00671A9B">
        <w:rPr>
          <w:rFonts w:cs="Arial"/>
        </w:rPr>
        <w:t>A</w:t>
      </w:r>
      <w:r>
        <w:rPr>
          <w:rFonts w:cs="Arial"/>
        </w:rPr>
        <w:t>ct</w:t>
      </w:r>
      <w:r w:rsidRPr="00671A9B">
        <w:rPr>
          <w:rFonts w:cs="Arial"/>
        </w:rPr>
        <w:t xml:space="preserve"> 2006</w:t>
      </w:r>
      <w:r w:rsidR="00AC0068">
        <w:rPr>
          <w:rFonts w:cs="Arial"/>
        </w:rPr>
        <w:t>, which prescribes that duty</w:t>
      </w:r>
      <w:r w:rsidRPr="00671A9B">
        <w:rPr>
          <w:rFonts w:cs="Arial"/>
        </w:rPr>
        <w:t xml:space="preserve">.  </w:t>
      </w:r>
    </w:p>
    <w:p w:rsidR="000F0B71" w:rsidRDefault="000F0B71" w:rsidP="000F0B71">
      <w:pPr>
        <w:pStyle w:val="DeptOutNumbered"/>
        <w:widowControl w:val="0"/>
        <w:numPr>
          <w:ilvl w:val="1"/>
          <w:numId w:val="9"/>
        </w:numPr>
        <w:overflowPunct w:val="0"/>
        <w:autoSpaceDE w:val="0"/>
        <w:autoSpaceDN w:val="0"/>
        <w:adjustRightInd w:val="0"/>
        <w:ind w:left="0" w:firstLine="0"/>
        <w:textAlignment w:val="baseline"/>
        <w:rPr>
          <w:rFonts w:cs="Arial"/>
        </w:rPr>
      </w:pPr>
      <w:r>
        <w:t xml:space="preserve">The </w:t>
      </w:r>
      <w:r w:rsidR="00BE3313">
        <w:rPr>
          <w:rFonts w:cs="Arial"/>
        </w:rPr>
        <w:t xml:space="preserve">Minister </w:t>
      </w:r>
      <w:r>
        <w:t xml:space="preserve">is satisfied that the policy objective in this case could </w:t>
      </w:r>
      <w:r>
        <w:rPr>
          <w:rFonts w:ascii="ArialMT" w:hAnsi="ArialMT" w:cs="ArialMT"/>
          <w:szCs w:val="24"/>
        </w:rPr>
        <w:t>not be secured satisfactorily through non-legislative solutions.</w:t>
      </w:r>
    </w:p>
    <w:p w:rsidR="00444196" w:rsidRPr="003A7C64" w:rsidRDefault="00444196" w:rsidP="00444196">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Proportionality</w:t>
      </w:r>
    </w:p>
    <w:p w:rsidR="000F0B71" w:rsidRPr="000F0B71" w:rsidRDefault="000F0B71" w:rsidP="000F0B71">
      <w:pPr>
        <w:pStyle w:val="DeptOutNumbered"/>
        <w:widowControl w:val="0"/>
        <w:numPr>
          <w:ilvl w:val="1"/>
          <w:numId w:val="9"/>
        </w:numPr>
        <w:overflowPunct w:val="0"/>
        <w:autoSpaceDE w:val="0"/>
        <w:autoSpaceDN w:val="0"/>
        <w:adjustRightInd w:val="0"/>
        <w:ind w:left="0" w:firstLine="0"/>
        <w:textAlignment w:val="baseline"/>
        <w:rPr>
          <w:rFonts w:cs="Arial"/>
        </w:rPr>
      </w:pPr>
      <w:r>
        <w:t xml:space="preserve">The </w:t>
      </w:r>
      <w:r w:rsidR="00BE3313">
        <w:rPr>
          <w:rFonts w:cs="Arial"/>
        </w:rPr>
        <w:t xml:space="preserve">Minister </w:t>
      </w:r>
      <w:r>
        <w:t xml:space="preserve">is satisfied that the proposed change is proportionate to the policy objective, namely </w:t>
      </w:r>
      <w:r w:rsidRPr="00671A9B">
        <w:rPr>
          <w:rFonts w:cs="Arial"/>
          <w:bCs/>
        </w:rPr>
        <w:t xml:space="preserve">to remove the requirement on the Chief Inspector to carry out the annual assessment.  </w:t>
      </w:r>
    </w:p>
    <w:p w:rsidR="00444196" w:rsidRPr="0060578D" w:rsidRDefault="00444196" w:rsidP="00444196">
      <w:pPr>
        <w:pStyle w:val="DeptOutNumbered"/>
        <w:widowControl w:val="0"/>
        <w:numPr>
          <w:ilvl w:val="1"/>
          <w:numId w:val="9"/>
        </w:numPr>
        <w:overflowPunct w:val="0"/>
        <w:autoSpaceDE w:val="0"/>
        <w:autoSpaceDN w:val="0"/>
        <w:adjustRightInd w:val="0"/>
        <w:ind w:left="0" w:firstLine="0"/>
        <w:textAlignment w:val="baseline"/>
        <w:rPr>
          <w:rFonts w:cs="Arial"/>
        </w:rPr>
      </w:pPr>
      <w:r w:rsidRPr="00671A9B">
        <w:rPr>
          <w:rFonts w:cs="Arial"/>
          <w:bCs/>
        </w:rPr>
        <w:t>The only effect of the repeal of s</w:t>
      </w:r>
      <w:r>
        <w:rPr>
          <w:rFonts w:cs="Arial"/>
          <w:bCs/>
        </w:rPr>
        <w:t xml:space="preserve">ection </w:t>
      </w:r>
      <w:r w:rsidRPr="00671A9B">
        <w:rPr>
          <w:rFonts w:cs="Arial"/>
          <w:bCs/>
        </w:rPr>
        <w:t xml:space="preserve">138 </w:t>
      </w:r>
      <w:r w:rsidRPr="00671A9B">
        <w:rPr>
          <w:rFonts w:cs="Arial"/>
        </w:rPr>
        <w:t>of the E</w:t>
      </w:r>
      <w:r>
        <w:rPr>
          <w:rFonts w:cs="Arial"/>
        </w:rPr>
        <w:t xml:space="preserve">ducation and </w:t>
      </w:r>
      <w:r w:rsidRPr="00671A9B">
        <w:rPr>
          <w:rFonts w:cs="Arial"/>
        </w:rPr>
        <w:t>I</w:t>
      </w:r>
      <w:r>
        <w:rPr>
          <w:rFonts w:cs="Arial"/>
        </w:rPr>
        <w:t xml:space="preserve">nspections </w:t>
      </w:r>
      <w:r w:rsidRPr="00671A9B">
        <w:rPr>
          <w:rFonts w:cs="Arial"/>
        </w:rPr>
        <w:t>A</w:t>
      </w:r>
      <w:r>
        <w:rPr>
          <w:rFonts w:cs="Arial"/>
        </w:rPr>
        <w:t>ct</w:t>
      </w:r>
      <w:r w:rsidRPr="00671A9B">
        <w:rPr>
          <w:rFonts w:cs="Arial"/>
        </w:rPr>
        <w:t xml:space="preserve"> 2006 </w:t>
      </w:r>
      <w:r w:rsidRPr="00671A9B">
        <w:rPr>
          <w:rFonts w:cs="Arial"/>
          <w:bCs/>
        </w:rPr>
        <w:t>would be to remove the requirement on the Chief Inspector to carry out the annual assessment.  Other inspection activity would continue, for example under s</w:t>
      </w:r>
      <w:r>
        <w:rPr>
          <w:rFonts w:cs="Arial"/>
          <w:bCs/>
        </w:rPr>
        <w:t xml:space="preserve">ection </w:t>
      </w:r>
      <w:r w:rsidRPr="00671A9B">
        <w:rPr>
          <w:rFonts w:cs="Arial"/>
          <w:bCs/>
        </w:rPr>
        <w:t>136 of the same Act.  Under s</w:t>
      </w:r>
      <w:r>
        <w:rPr>
          <w:rFonts w:cs="Arial"/>
          <w:bCs/>
        </w:rPr>
        <w:t xml:space="preserve">ection </w:t>
      </w:r>
      <w:r w:rsidRPr="00671A9B">
        <w:rPr>
          <w:rFonts w:cs="Arial"/>
          <w:bCs/>
        </w:rPr>
        <w:t xml:space="preserve">136 Ofsted currently undertake annual inspections of local authority contact, referral and assessment arrangements (child protection) and a three year rolling programme of safeguarding and looked after children’s services inspections.  From May 2012, Ofsted will introduce a more streamlined and proportionate framework for the inspection of local authority </w:t>
      </w:r>
      <w:r w:rsidR="0060578D">
        <w:rPr>
          <w:rFonts w:cs="Arial"/>
          <w:bCs/>
        </w:rPr>
        <w:t>arrangements for the protection of children</w:t>
      </w:r>
      <w:r w:rsidR="00302653">
        <w:rPr>
          <w:rFonts w:cs="Arial"/>
          <w:bCs/>
        </w:rPr>
        <w:t>, followed by a multi-inspectorate framework covering the same arrangements in 2013</w:t>
      </w:r>
      <w:r w:rsidRPr="00671A9B">
        <w:rPr>
          <w:rFonts w:cs="Arial"/>
          <w:bCs/>
        </w:rPr>
        <w:t>.</w:t>
      </w:r>
      <w:r w:rsidR="00302653">
        <w:rPr>
          <w:rFonts w:cs="Arial"/>
          <w:bCs/>
        </w:rPr>
        <w:t xml:space="preserve">  A new framework covering local authority adoption, fostering and looked after children’s services will also be introduced </w:t>
      </w:r>
      <w:r w:rsidR="00302653">
        <w:rPr>
          <w:rFonts w:cs="Arial"/>
          <w:bCs/>
        </w:rPr>
        <w:lastRenderedPageBreak/>
        <w:t>during 2013.  All of these new frameworks will be introduced</w:t>
      </w:r>
      <w:r w:rsidR="00302653" w:rsidRPr="00671A9B">
        <w:rPr>
          <w:rFonts w:cs="Arial"/>
          <w:bCs/>
        </w:rPr>
        <w:t xml:space="preserve"> under the s</w:t>
      </w:r>
      <w:r w:rsidR="00302653">
        <w:rPr>
          <w:rFonts w:cs="Arial"/>
          <w:bCs/>
        </w:rPr>
        <w:t xml:space="preserve">ection </w:t>
      </w:r>
      <w:r w:rsidR="00302653" w:rsidRPr="00671A9B">
        <w:rPr>
          <w:rFonts w:cs="Arial"/>
          <w:bCs/>
        </w:rPr>
        <w:t>136 powers</w:t>
      </w:r>
      <w:r w:rsidR="00302653">
        <w:rPr>
          <w:rFonts w:cs="Arial"/>
          <w:bCs/>
        </w:rPr>
        <w:t>.</w:t>
      </w:r>
    </w:p>
    <w:p w:rsidR="0060578D" w:rsidRDefault="0060578D" w:rsidP="0060578D">
      <w:pPr>
        <w:pStyle w:val="DeptOutNumbered"/>
        <w:widowControl w:val="0"/>
        <w:numPr>
          <w:ilvl w:val="1"/>
          <w:numId w:val="9"/>
        </w:numPr>
        <w:overflowPunct w:val="0"/>
        <w:autoSpaceDE w:val="0"/>
        <w:autoSpaceDN w:val="0"/>
        <w:adjustRightInd w:val="0"/>
        <w:ind w:left="0" w:firstLine="0"/>
        <w:textAlignment w:val="baseline"/>
        <w:rPr>
          <w:rFonts w:cs="Arial"/>
        </w:rPr>
      </w:pPr>
      <w:r>
        <w:rPr>
          <w:rFonts w:cs="Arial"/>
        </w:rPr>
        <w:t>The requirement on Ofsted to make an annual report to the Secretary of State, and for this annual report to be laid before Parliament (under section 121 of the Education and Inspections Act 2006), is unaffected by the proposed repeal of section 138.</w:t>
      </w:r>
    </w:p>
    <w:p w:rsidR="00444196" w:rsidRPr="003A7C64" w:rsidRDefault="00083CBC" w:rsidP="00444196">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Pr>
          <w:rFonts w:cs="Arial"/>
          <w:b/>
          <w:color w:val="104F75"/>
          <w:sz w:val="28"/>
          <w:szCs w:val="28"/>
        </w:rPr>
        <w:t>Fair b</w:t>
      </w:r>
      <w:r w:rsidR="00444196" w:rsidRPr="003A7C64">
        <w:rPr>
          <w:rFonts w:cs="Arial"/>
          <w:b/>
          <w:color w:val="104F75"/>
          <w:sz w:val="28"/>
          <w:szCs w:val="28"/>
        </w:rPr>
        <w:t>alance</w:t>
      </w:r>
    </w:p>
    <w:p w:rsidR="000F0B71" w:rsidRPr="000F0B71" w:rsidRDefault="000F0B71" w:rsidP="000F0B71">
      <w:pPr>
        <w:pStyle w:val="DeptOutNumbered"/>
        <w:widowControl w:val="0"/>
        <w:numPr>
          <w:ilvl w:val="1"/>
          <w:numId w:val="9"/>
        </w:numPr>
        <w:overflowPunct w:val="0"/>
        <w:autoSpaceDE w:val="0"/>
        <w:autoSpaceDN w:val="0"/>
        <w:adjustRightInd w:val="0"/>
        <w:ind w:left="0" w:firstLine="0"/>
        <w:textAlignment w:val="baseline"/>
        <w:rPr>
          <w:rFonts w:cs="Arial"/>
        </w:rPr>
      </w:pPr>
      <w:r>
        <w:rPr>
          <w:rFonts w:ascii="ArialMT" w:hAnsi="ArialMT" w:cs="ArialMT"/>
          <w:szCs w:val="24"/>
        </w:rPr>
        <w:t xml:space="preserve">The </w:t>
      </w:r>
      <w:r w:rsidR="00BE3313">
        <w:rPr>
          <w:rFonts w:cs="Arial"/>
        </w:rPr>
        <w:t xml:space="preserve">Minister </w:t>
      </w:r>
      <w:r>
        <w:rPr>
          <w:rFonts w:ascii="ArialMT" w:hAnsi="ArialMT" w:cs="ArialMT"/>
          <w:szCs w:val="24"/>
        </w:rPr>
        <w:t xml:space="preserve">is satisfied that the proposals strike a fair </w:t>
      </w:r>
      <w:r>
        <w:t>balance between the wider public interest and the interests of those people likely to be adversely affected by it.</w:t>
      </w:r>
    </w:p>
    <w:p w:rsidR="00444196" w:rsidRDefault="00444196" w:rsidP="00444196">
      <w:pPr>
        <w:pStyle w:val="DeptOutNumbered"/>
        <w:widowControl w:val="0"/>
        <w:numPr>
          <w:ilvl w:val="1"/>
          <w:numId w:val="9"/>
        </w:numPr>
        <w:overflowPunct w:val="0"/>
        <w:autoSpaceDE w:val="0"/>
        <w:autoSpaceDN w:val="0"/>
        <w:adjustRightInd w:val="0"/>
        <w:ind w:left="0" w:firstLine="0"/>
        <w:textAlignment w:val="baseline"/>
        <w:rPr>
          <w:rFonts w:cs="Arial"/>
        </w:rPr>
      </w:pPr>
      <w:r w:rsidRPr="00115233">
        <w:rPr>
          <w:rFonts w:cs="Arial"/>
        </w:rPr>
        <w:t>The annual assessment was originally intended to provide the general public with an independent judgement of the performance of their local council in respect of children’s services.  However, there is no evidence to suggest the general public engage with the annual ratings and the assessments are not valued by local authorities themselves, with the Local Government Association (LGA) suggesting their termination and Directors of Children’s Services making it clear that they do not find the process helpful.</w:t>
      </w:r>
    </w:p>
    <w:p w:rsidR="00444196" w:rsidRPr="003A7C64" w:rsidRDefault="00083CBC" w:rsidP="00444196">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Pr>
          <w:rFonts w:cs="Arial"/>
          <w:b/>
          <w:color w:val="104F75"/>
          <w:sz w:val="28"/>
          <w:szCs w:val="28"/>
        </w:rPr>
        <w:t>Necessary p</w:t>
      </w:r>
      <w:r w:rsidR="00444196" w:rsidRPr="003A7C64">
        <w:rPr>
          <w:rFonts w:cs="Arial"/>
          <w:b/>
          <w:color w:val="104F75"/>
          <w:sz w:val="28"/>
          <w:szCs w:val="28"/>
        </w:rPr>
        <w:t>rotection</w:t>
      </w:r>
    </w:p>
    <w:p w:rsidR="00444196" w:rsidRDefault="000F0B71" w:rsidP="000F0B71">
      <w:pPr>
        <w:pStyle w:val="DeptOutNumbered"/>
        <w:widowControl w:val="0"/>
        <w:numPr>
          <w:ilvl w:val="1"/>
          <w:numId w:val="9"/>
        </w:numPr>
        <w:overflowPunct w:val="0"/>
        <w:autoSpaceDE w:val="0"/>
        <w:autoSpaceDN w:val="0"/>
        <w:adjustRightInd w:val="0"/>
        <w:ind w:left="0" w:firstLine="0"/>
        <w:textAlignment w:val="baseline"/>
        <w:rPr>
          <w:rFonts w:cs="Arial"/>
        </w:rPr>
      </w:pPr>
      <w:r>
        <w:t xml:space="preserve">The </w:t>
      </w:r>
      <w:r w:rsidR="00BE3313">
        <w:rPr>
          <w:rFonts w:cs="Arial"/>
        </w:rPr>
        <w:t xml:space="preserve">Minister </w:t>
      </w:r>
      <w:r>
        <w:t>does not consider that the proposal will remove any necessary protection.</w:t>
      </w:r>
      <w:r>
        <w:rPr>
          <w:rFonts w:cs="Arial"/>
        </w:rPr>
        <w:t xml:space="preserve">  </w:t>
      </w:r>
      <w:r w:rsidR="00444196">
        <w:rPr>
          <w:rFonts w:cs="Arial"/>
        </w:rPr>
        <w:t>W</w:t>
      </w:r>
      <w:r w:rsidR="00444196" w:rsidRPr="00115233">
        <w:rPr>
          <w:rFonts w:cs="Arial"/>
        </w:rPr>
        <w:t>ider local authority children’s services inspection will be unaffected by the repeal of the annual assessment requirement; Ofsted will continue to inspect and make judgements on the quality of local authority child protection, safeguarding, early intervention and looked after children’s services</w:t>
      </w:r>
      <w:r w:rsidR="00444196">
        <w:rPr>
          <w:rFonts w:cs="Arial"/>
        </w:rPr>
        <w:t>.  Ofsted will also continue to inspect other services that are covered within the children’s services assessment process, for example fostering and adoption services, schools and early years provision</w:t>
      </w:r>
      <w:r w:rsidR="00444196" w:rsidRPr="00115233">
        <w:rPr>
          <w:rFonts w:cs="Arial"/>
        </w:rPr>
        <w:t>.</w:t>
      </w:r>
    </w:p>
    <w:p w:rsidR="00444196" w:rsidRPr="003A7C64" w:rsidRDefault="00444196" w:rsidP="00444196">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 xml:space="preserve">Rights and </w:t>
      </w:r>
      <w:r w:rsidR="00083CBC">
        <w:rPr>
          <w:rFonts w:cs="Arial"/>
          <w:b/>
          <w:color w:val="104F75"/>
          <w:sz w:val="28"/>
          <w:szCs w:val="28"/>
        </w:rPr>
        <w:t>f</w:t>
      </w:r>
      <w:r w:rsidRPr="003A7C64">
        <w:rPr>
          <w:rFonts w:cs="Arial"/>
          <w:b/>
          <w:color w:val="104F75"/>
          <w:sz w:val="28"/>
          <w:szCs w:val="28"/>
        </w:rPr>
        <w:t>reedoms</w:t>
      </w:r>
    </w:p>
    <w:p w:rsidR="00444196" w:rsidRDefault="000F0B71" w:rsidP="00444196">
      <w:pPr>
        <w:pStyle w:val="DeptOutNumbered"/>
        <w:widowControl w:val="0"/>
        <w:numPr>
          <w:ilvl w:val="1"/>
          <w:numId w:val="9"/>
        </w:numPr>
        <w:overflowPunct w:val="0"/>
        <w:autoSpaceDE w:val="0"/>
        <w:autoSpaceDN w:val="0"/>
        <w:adjustRightInd w:val="0"/>
        <w:ind w:left="0" w:firstLine="0"/>
        <w:textAlignment w:val="baseline"/>
        <w:rPr>
          <w:rFonts w:cs="Arial"/>
        </w:rPr>
      </w:pPr>
      <w:r w:rsidRPr="00115233">
        <w:rPr>
          <w:rFonts w:cs="Arial"/>
        </w:rPr>
        <w:t xml:space="preserve">The </w:t>
      </w:r>
      <w:r w:rsidR="00BE3313">
        <w:rPr>
          <w:rFonts w:cs="Arial"/>
        </w:rPr>
        <w:t xml:space="preserve">Minister </w:t>
      </w:r>
      <w:r>
        <w:rPr>
          <w:rFonts w:cs="Arial"/>
        </w:rPr>
        <w:t xml:space="preserve">does </w:t>
      </w:r>
      <w:r w:rsidR="00444196" w:rsidRPr="00F80A40">
        <w:rPr>
          <w:rFonts w:cs="Arial"/>
        </w:rPr>
        <w:t>not believe that the</w:t>
      </w:r>
      <w:r w:rsidR="00444196">
        <w:rPr>
          <w:rFonts w:cs="Arial"/>
        </w:rPr>
        <w:t>se proposals</w:t>
      </w:r>
      <w:r w:rsidR="00444196" w:rsidRPr="00F80A40">
        <w:rPr>
          <w:rFonts w:cs="Arial"/>
        </w:rPr>
        <w:t xml:space="preserve"> would</w:t>
      </w:r>
      <w:r w:rsidR="00444196">
        <w:rPr>
          <w:rFonts w:cs="Arial"/>
        </w:rPr>
        <w:t xml:space="preserve"> </w:t>
      </w:r>
      <w:r w:rsidR="00444196" w:rsidRPr="00F80A40">
        <w:rPr>
          <w:rFonts w:cs="Arial"/>
        </w:rPr>
        <w:t xml:space="preserve">prevent anyone from exercising an existing right or freedom. </w:t>
      </w:r>
      <w:r w:rsidR="00444196">
        <w:rPr>
          <w:rFonts w:cs="Arial"/>
        </w:rPr>
        <w:t xml:space="preserve"> </w:t>
      </w:r>
    </w:p>
    <w:p w:rsidR="00444196" w:rsidRPr="003A7C64" w:rsidRDefault="00444196" w:rsidP="00444196">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 xml:space="preserve">Constitutional </w:t>
      </w:r>
      <w:r w:rsidR="00083CBC">
        <w:rPr>
          <w:rFonts w:cs="Arial"/>
          <w:b/>
          <w:color w:val="104F75"/>
          <w:sz w:val="28"/>
          <w:szCs w:val="28"/>
        </w:rPr>
        <w:t>s</w:t>
      </w:r>
      <w:r w:rsidRPr="003A7C64">
        <w:rPr>
          <w:rFonts w:cs="Arial"/>
          <w:b/>
          <w:color w:val="104F75"/>
          <w:sz w:val="28"/>
          <w:szCs w:val="28"/>
        </w:rPr>
        <w:t>ignificance</w:t>
      </w:r>
    </w:p>
    <w:p w:rsidR="00444196" w:rsidRDefault="00444196" w:rsidP="00444196">
      <w:pPr>
        <w:pStyle w:val="DeptOutNumbered"/>
        <w:widowControl w:val="0"/>
        <w:numPr>
          <w:ilvl w:val="1"/>
          <w:numId w:val="9"/>
        </w:numPr>
        <w:overflowPunct w:val="0"/>
        <w:autoSpaceDE w:val="0"/>
        <w:autoSpaceDN w:val="0"/>
        <w:adjustRightInd w:val="0"/>
        <w:ind w:left="0" w:firstLine="0"/>
        <w:textAlignment w:val="baseline"/>
        <w:rPr>
          <w:rFonts w:cs="Arial"/>
        </w:rPr>
      </w:pPr>
      <w:r w:rsidRPr="00115233">
        <w:rPr>
          <w:rFonts w:cs="Arial"/>
        </w:rPr>
        <w:t xml:space="preserve">The </w:t>
      </w:r>
      <w:r w:rsidR="00BE3313">
        <w:rPr>
          <w:rFonts w:cs="Arial"/>
        </w:rPr>
        <w:t>Minister</w:t>
      </w:r>
      <w:r w:rsidR="000F0B71">
        <w:rPr>
          <w:rFonts w:cs="Arial"/>
        </w:rPr>
        <w:t xml:space="preserve"> does not consider that the </w:t>
      </w:r>
      <w:r w:rsidRPr="00115233">
        <w:rPr>
          <w:rFonts w:cs="Arial"/>
        </w:rPr>
        <w:t xml:space="preserve">provisions of the </w:t>
      </w:r>
      <w:r w:rsidR="000F0B71">
        <w:rPr>
          <w:rFonts w:cs="Arial"/>
        </w:rPr>
        <w:t>draft</w:t>
      </w:r>
      <w:r w:rsidRPr="00115233">
        <w:rPr>
          <w:rFonts w:cs="Arial"/>
        </w:rPr>
        <w:t xml:space="preserve"> order are constitutionally significant.</w:t>
      </w:r>
    </w:p>
    <w:p w:rsidR="00525229" w:rsidRPr="00EA31CF" w:rsidRDefault="00BE3313" w:rsidP="00701EE4">
      <w:pPr>
        <w:pStyle w:val="Heading1"/>
        <w:rPr>
          <w:rFonts w:cs="Arial"/>
          <w:b w:val="0"/>
          <w:color w:val="104F75"/>
          <w:sz w:val="36"/>
          <w:szCs w:val="36"/>
        </w:rPr>
      </w:pPr>
      <w:bookmarkStart w:id="11" w:name="_Toc322499308"/>
      <w:r w:rsidRPr="00EA31CF">
        <w:rPr>
          <w:rFonts w:cs="Arial"/>
          <w:b w:val="0"/>
          <w:color w:val="104F75"/>
          <w:sz w:val="36"/>
          <w:szCs w:val="36"/>
        </w:rPr>
        <w:t>Other Ministerial duties under the 2006 Act</w:t>
      </w:r>
      <w:bookmarkEnd w:id="11"/>
    </w:p>
    <w:p w:rsidR="00BE3313" w:rsidRPr="003A7C64" w:rsidRDefault="00BE3313" w:rsidP="00BE3313">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Pr>
          <w:rFonts w:cs="Arial"/>
          <w:b/>
          <w:color w:val="104F75"/>
          <w:sz w:val="28"/>
          <w:szCs w:val="28"/>
        </w:rPr>
        <w:t>Consultation</w:t>
      </w:r>
    </w:p>
    <w:p w:rsidR="00AC0068" w:rsidRPr="00AC0068" w:rsidRDefault="00AC0068" w:rsidP="00AC0068">
      <w:pPr>
        <w:pStyle w:val="DeptOutNumbered"/>
        <w:widowControl w:val="0"/>
        <w:numPr>
          <w:ilvl w:val="1"/>
          <w:numId w:val="9"/>
        </w:numPr>
        <w:overflowPunct w:val="0"/>
        <w:autoSpaceDE w:val="0"/>
        <w:autoSpaceDN w:val="0"/>
        <w:adjustRightInd w:val="0"/>
        <w:ind w:left="0" w:firstLine="0"/>
        <w:textAlignment w:val="baseline"/>
        <w:rPr>
          <w:rFonts w:cs="Arial"/>
        </w:rPr>
      </w:pPr>
      <w:r>
        <w:rPr>
          <w:rFonts w:cs="Arial"/>
        </w:rPr>
        <w:t xml:space="preserve">The </w:t>
      </w:r>
      <w:r w:rsidR="00BE3313">
        <w:rPr>
          <w:rFonts w:cs="Arial"/>
        </w:rPr>
        <w:t xml:space="preserve">Minister </w:t>
      </w:r>
      <w:r>
        <w:rPr>
          <w:rFonts w:cs="Arial"/>
        </w:rPr>
        <w:t xml:space="preserve">conducted an eight week “limited” consultation exercise on its proposals between January and March and </w:t>
      </w:r>
      <w:r>
        <w:t>is satisfied that it has carried out its consultation in accordance with section 13 of the 2006 Act.</w:t>
      </w:r>
    </w:p>
    <w:p w:rsidR="00AC0068" w:rsidRDefault="00AC0068" w:rsidP="00AC0068">
      <w:pPr>
        <w:pStyle w:val="DeptOutNumbered"/>
        <w:widowControl w:val="0"/>
        <w:numPr>
          <w:ilvl w:val="1"/>
          <w:numId w:val="9"/>
        </w:numPr>
        <w:overflowPunct w:val="0"/>
        <w:autoSpaceDE w:val="0"/>
        <w:autoSpaceDN w:val="0"/>
        <w:adjustRightInd w:val="0"/>
        <w:ind w:left="0" w:firstLine="0"/>
        <w:textAlignment w:val="baseline"/>
        <w:rPr>
          <w:rFonts w:cs="Arial"/>
        </w:rPr>
      </w:pPr>
      <w:r>
        <w:rPr>
          <w:rFonts w:cs="Arial"/>
        </w:rPr>
        <w:lastRenderedPageBreak/>
        <w:t>The details of the consultation and the responses received are covered in more detail in chapter 4.</w:t>
      </w:r>
    </w:p>
    <w:p w:rsidR="00AC0068" w:rsidRPr="003A7C64" w:rsidRDefault="00AC0068" w:rsidP="00AC0068">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 xml:space="preserve">Parliamentary </w:t>
      </w:r>
      <w:r>
        <w:rPr>
          <w:rFonts w:cs="Arial"/>
          <w:b/>
          <w:color w:val="104F75"/>
          <w:sz w:val="28"/>
          <w:szCs w:val="28"/>
        </w:rPr>
        <w:t>p</w:t>
      </w:r>
      <w:r w:rsidRPr="003A7C64">
        <w:rPr>
          <w:rFonts w:cs="Arial"/>
          <w:b/>
          <w:color w:val="104F75"/>
          <w:sz w:val="28"/>
          <w:szCs w:val="28"/>
        </w:rPr>
        <w:t>rocedure</w:t>
      </w:r>
    </w:p>
    <w:p w:rsidR="00AC0068" w:rsidRDefault="00AC0068" w:rsidP="00AC0068">
      <w:pPr>
        <w:pStyle w:val="DeptOutNumbered"/>
        <w:widowControl w:val="0"/>
        <w:numPr>
          <w:ilvl w:val="1"/>
          <w:numId w:val="9"/>
        </w:numPr>
        <w:overflowPunct w:val="0"/>
        <w:autoSpaceDE w:val="0"/>
        <w:autoSpaceDN w:val="0"/>
        <w:adjustRightInd w:val="0"/>
        <w:ind w:left="0" w:firstLine="0"/>
        <w:textAlignment w:val="baseline"/>
        <w:rPr>
          <w:rFonts w:cs="Arial"/>
          <w:szCs w:val="24"/>
        </w:rPr>
      </w:pPr>
      <w:r>
        <w:rPr>
          <w:rFonts w:ascii="ArialMT" w:hAnsi="ArialMT" w:cs="ArialMT"/>
        </w:rPr>
        <w:t xml:space="preserve">The </w:t>
      </w:r>
      <w:r w:rsidR="00BE3313">
        <w:rPr>
          <w:rFonts w:cs="Arial"/>
        </w:rPr>
        <w:t xml:space="preserve">Minister </w:t>
      </w:r>
      <w:r>
        <w:rPr>
          <w:rFonts w:ascii="ArialMT" w:hAnsi="ArialMT" w:cs="ArialMT"/>
        </w:rPr>
        <w:t xml:space="preserve">recommends </w:t>
      </w:r>
      <w:r w:rsidRPr="00D205D2">
        <w:t>that the draft Order and the Explanatory Document should</w:t>
      </w:r>
      <w:r>
        <w:t xml:space="preserve"> </w:t>
      </w:r>
      <w:r w:rsidRPr="00D205D2">
        <w:rPr>
          <w:rFonts w:cs="Arial"/>
        </w:rPr>
        <w:t xml:space="preserve">be laid in Parliament under the </w:t>
      </w:r>
      <w:r>
        <w:rPr>
          <w:rFonts w:cs="Arial"/>
        </w:rPr>
        <w:t>negative</w:t>
      </w:r>
      <w:r w:rsidRPr="00D205D2">
        <w:rPr>
          <w:rFonts w:cs="Arial"/>
        </w:rPr>
        <w:t xml:space="preserve"> resolution procedure</w:t>
      </w:r>
      <w:r w:rsidR="00DF1493">
        <w:rPr>
          <w:rStyle w:val="FootnoteReference"/>
          <w:rFonts w:cs="Arial"/>
        </w:rPr>
        <w:footnoteReference w:id="3"/>
      </w:r>
      <w:r w:rsidRPr="00D205D2">
        <w:rPr>
          <w:rFonts w:cs="Arial"/>
        </w:rPr>
        <w:t xml:space="preserve"> for which provision is</w:t>
      </w:r>
      <w:r>
        <w:rPr>
          <w:rFonts w:cs="Arial"/>
        </w:rPr>
        <w:t xml:space="preserve"> </w:t>
      </w:r>
      <w:r w:rsidRPr="00D205D2">
        <w:rPr>
          <w:rFonts w:cs="Arial"/>
          <w:color w:val="010202"/>
          <w:szCs w:val="24"/>
        </w:rPr>
        <w:t>made by section 1</w:t>
      </w:r>
      <w:r>
        <w:rPr>
          <w:rFonts w:cs="Arial"/>
          <w:color w:val="010202"/>
          <w:szCs w:val="24"/>
        </w:rPr>
        <w:t>6</w:t>
      </w:r>
      <w:r w:rsidRPr="00D205D2">
        <w:rPr>
          <w:rFonts w:cs="Arial"/>
          <w:color w:val="010202"/>
          <w:szCs w:val="24"/>
        </w:rPr>
        <w:t xml:space="preserve"> of the 2006 Act.</w:t>
      </w:r>
    </w:p>
    <w:p w:rsidR="00AC0068" w:rsidRPr="00D10D2B" w:rsidRDefault="00AC0068" w:rsidP="00AC0068">
      <w:pPr>
        <w:pStyle w:val="DeptOutNumbered"/>
        <w:widowControl w:val="0"/>
        <w:numPr>
          <w:ilvl w:val="1"/>
          <w:numId w:val="9"/>
        </w:numPr>
        <w:overflowPunct w:val="0"/>
        <w:autoSpaceDE w:val="0"/>
        <w:autoSpaceDN w:val="0"/>
        <w:adjustRightInd w:val="0"/>
        <w:ind w:left="0" w:firstLine="0"/>
        <w:textAlignment w:val="baseline"/>
        <w:rPr>
          <w:rFonts w:cs="Arial"/>
          <w:szCs w:val="24"/>
        </w:rPr>
      </w:pPr>
      <w:r>
        <w:rPr>
          <w:rFonts w:cs="Arial"/>
        </w:rPr>
        <w:t>The repeal of section 138 of the Education and Inspections Act 2006 is a small and straightforward piece of regulatory reform that has widespread support and is non-contentious.</w:t>
      </w:r>
    </w:p>
    <w:p w:rsidR="00525229" w:rsidRPr="003A7C64" w:rsidRDefault="00525229" w:rsidP="00525229">
      <w:pPr>
        <w:pStyle w:val="DeptOutNumbered"/>
        <w:widowControl w:val="0"/>
        <w:numPr>
          <w:ilvl w:val="0"/>
          <w:numId w:val="0"/>
        </w:numPr>
        <w:overflowPunct w:val="0"/>
        <w:autoSpaceDE w:val="0"/>
        <w:autoSpaceDN w:val="0"/>
        <w:adjustRightInd w:val="0"/>
        <w:textAlignment w:val="baseline"/>
        <w:rPr>
          <w:rFonts w:cs="Arial"/>
          <w:color w:val="104F75"/>
          <w:sz w:val="28"/>
          <w:szCs w:val="28"/>
        </w:rPr>
      </w:pPr>
      <w:r w:rsidRPr="003A7C64">
        <w:rPr>
          <w:rFonts w:cs="Arial"/>
          <w:b/>
          <w:color w:val="104F75"/>
          <w:sz w:val="28"/>
          <w:szCs w:val="28"/>
        </w:rPr>
        <w:t>Compatibility with the European Convention on Human Rights</w:t>
      </w:r>
      <w:r w:rsidRPr="003A7C64">
        <w:rPr>
          <w:rFonts w:cs="Arial"/>
          <w:color w:val="104F75"/>
          <w:sz w:val="28"/>
          <w:szCs w:val="28"/>
        </w:rPr>
        <w:t xml:space="preserve"> </w:t>
      </w:r>
    </w:p>
    <w:p w:rsidR="00525229" w:rsidRDefault="00525229" w:rsidP="00525229">
      <w:pPr>
        <w:pStyle w:val="DeptOutNumbered"/>
        <w:widowControl w:val="0"/>
        <w:numPr>
          <w:ilvl w:val="1"/>
          <w:numId w:val="9"/>
        </w:numPr>
        <w:overflowPunct w:val="0"/>
        <w:autoSpaceDE w:val="0"/>
        <w:autoSpaceDN w:val="0"/>
        <w:adjustRightInd w:val="0"/>
        <w:ind w:left="0" w:firstLine="0"/>
        <w:textAlignment w:val="baseline"/>
        <w:rPr>
          <w:rFonts w:ascii="ArialMT" w:hAnsi="ArialMT" w:cs="ArialMT"/>
          <w:szCs w:val="24"/>
        </w:rPr>
      </w:pPr>
      <w:r>
        <w:t xml:space="preserve">The </w:t>
      </w:r>
      <w:r w:rsidR="00BE3313">
        <w:rPr>
          <w:rFonts w:cs="Arial"/>
        </w:rPr>
        <w:t xml:space="preserve">Minister </w:t>
      </w:r>
      <w:r>
        <w:t xml:space="preserve">does not believe that the proposed amendment would interfere with any rights or freedoms protected by </w:t>
      </w:r>
      <w:r>
        <w:rPr>
          <w:rFonts w:ascii="ArialMT" w:hAnsi="ArialMT" w:cs="ArialMT"/>
          <w:szCs w:val="24"/>
        </w:rPr>
        <w:t xml:space="preserve">the European Convention on Human Rights. </w:t>
      </w:r>
    </w:p>
    <w:p w:rsidR="00D205D2" w:rsidRPr="003A7C64" w:rsidRDefault="00D205D2" w:rsidP="00D205D2">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Compatibility with the legal obligations arising from membership of the European Union</w:t>
      </w:r>
    </w:p>
    <w:p w:rsidR="00D205D2" w:rsidRDefault="00D205D2" w:rsidP="00D205D2">
      <w:pPr>
        <w:pStyle w:val="DeptOutNumbered"/>
        <w:widowControl w:val="0"/>
        <w:numPr>
          <w:ilvl w:val="1"/>
          <w:numId w:val="9"/>
        </w:numPr>
        <w:overflowPunct w:val="0"/>
        <w:autoSpaceDE w:val="0"/>
        <w:autoSpaceDN w:val="0"/>
        <w:adjustRightInd w:val="0"/>
        <w:ind w:left="0" w:firstLine="0"/>
        <w:textAlignment w:val="baseline"/>
        <w:rPr>
          <w:rFonts w:ascii="ArialMT" w:hAnsi="ArialMT" w:cs="ArialMT"/>
          <w:szCs w:val="24"/>
        </w:rPr>
      </w:pPr>
      <w:r>
        <w:t xml:space="preserve">The </w:t>
      </w:r>
      <w:r w:rsidR="00BE3313">
        <w:rPr>
          <w:rFonts w:cs="Arial"/>
        </w:rPr>
        <w:t xml:space="preserve">Minister </w:t>
      </w:r>
      <w:r>
        <w:t xml:space="preserve">is satisfied that the proposals are compatible with the legal obligations arising from membership of the European </w:t>
      </w:r>
      <w:r>
        <w:rPr>
          <w:rFonts w:ascii="ArialMT" w:hAnsi="ArialMT" w:cs="ArialMT"/>
          <w:szCs w:val="24"/>
        </w:rPr>
        <w:t>Union.</w:t>
      </w:r>
    </w:p>
    <w:p w:rsidR="00525229" w:rsidRPr="003A7C64" w:rsidRDefault="00525229" w:rsidP="00525229">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 xml:space="preserve">Territorial </w:t>
      </w:r>
      <w:r w:rsidR="00083CBC">
        <w:rPr>
          <w:rFonts w:cs="Arial"/>
          <w:b/>
          <w:color w:val="104F75"/>
          <w:sz w:val="28"/>
          <w:szCs w:val="28"/>
        </w:rPr>
        <w:t>e</w:t>
      </w:r>
      <w:r w:rsidRPr="003A7C64">
        <w:rPr>
          <w:rFonts w:cs="Arial"/>
          <w:b/>
          <w:color w:val="104F75"/>
          <w:sz w:val="28"/>
          <w:szCs w:val="28"/>
        </w:rPr>
        <w:t>xtent</w:t>
      </w:r>
    </w:p>
    <w:p w:rsidR="00525229" w:rsidRDefault="00525229" w:rsidP="00525229">
      <w:pPr>
        <w:pStyle w:val="DeptOutNumbered"/>
        <w:widowControl w:val="0"/>
        <w:numPr>
          <w:ilvl w:val="1"/>
          <w:numId w:val="9"/>
        </w:numPr>
        <w:overflowPunct w:val="0"/>
        <w:autoSpaceDE w:val="0"/>
        <w:autoSpaceDN w:val="0"/>
        <w:adjustRightInd w:val="0"/>
        <w:ind w:left="0" w:firstLine="0"/>
        <w:textAlignment w:val="baseline"/>
        <w:rPr>
          <w:rFonts w:cs="Arial"/>
        </w:rPr>
      </w:pPr>
      <w:r>
        <w:rPr>
          <w:rFonts w:cs="Arial"/>
        </w:rPr>
        <w:t xml:space="preserve">Section 138 of the Education and Inspections Act 2006 applies to </w:t>
      </w:r>
      <w:smartTag w:uri="urn:schemas-microsoft-com:office:smarttags" w:element="place">
        <w:smartTag w:uri="urn:schemas-microsoft-com:office:smarttags" w:element="country-region">
          <w:r>
            <w:rPr>
              <w:rFonts w:cs="Arial"/>
            </w:rPr>
            <w:t>England</w:t>
          </w:r>
        </w:smartTag>
      </w:smartTag>
      <w:r>
        <w:rPr>
          <w:rFonts w:cs="Arial"/>
        </w:rPr>
        <w:t xml:space="preserve"> only.  The proposed repeal of this section would therefore be restricted to </w:t>
      </w:r>
      <w:smartTag w:uri="urn:schemas-microsoft-com:office:smarttags" w:element="place">
        <w:smartTag w:uri="urn:schemas-microsoft-com:office:smarttags" w:element="country-region">
          <w:r>
            <w:rPr>
              <w:rFonts w:cs="Arial"/>
            </w:rPr>
            <w:t>England</w:t>
          </w:r>
        </w:smartTag>
      </w:smartTag>
      <w:r>
        <w:rPr>
          <w:rFonts w:cs="Arial"/>
        </w:rPr>
        <w:t xml:space="preserve"> only.  The Government is satisfied that there are no implications for the devolved administrations resulting from the repeal of section 138 of the Education and Inspections Act 2006</w:t>
      </w:r>
      <w:r w:rsidRPr="00306033">
        <w:rPr>
          <w:rFonts w:cs="Arial"/>
        </w:rPr>
        <w:t>.</w:t>
      </w:r>
    </w:p>
    <w:p w:rsidR="00525229" w:rsidRPr="003A7C64" w:rsidRDefault="00525229" w:rsidP="00525229">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Binding the Crown</w:t>
      </w:r>
    </w:p>
    <w:p w:rsidR="00525229" w:rsidRDefault="00525229" w:rsidP="00525229">
      <w:pPr>
        <w:pStyle w:val="DeptOutNumbered"/>
        <w:widowControl w:val="0"/>
        <w:numPr>
          <w:ilvl w:val="1"/>
          <w:numId w:val="9"/>
        </w:numPr>
        <w:overflowPunct w:val="0"/>
        <w:autoSpaceDE w:val="0"/>
        <w:autoSpaceDN w:val="0"/>
        <w:adjustRightInd w:val="0"/>
        <w:ind w:left="0" w:firstLine="0"/>
        <w:textAlignment w:val="baseline"/>
        <w:rPr>
          <w:rFonts w:cs="Arial"/>
        </w:rPr>
      </w:pPr>
      <w:r>
        <w:rPr>
          <w:rFonts w:cs="Arial"/>
        </w:rPr>
        <w:t xml:space="preserve">The </w:t>
      </w:r>
      <w:r w:rsidR="00BE3313">
        <w:rPr>
          <w:rFonts w:cs="Arial"/>
        </w:rPr>
        <w:t xml:space="preserve">Minister </w:t>
      </w:r>
      <w:r>
        <w:rPr>
          <w:rFonts w:cs="Arial"/>
        </w:rPr>
        <w:t>is satisfied that the proposed repeal of section 138 of the Education and Inspections Act 2006 will not bind the Crown.</w:t>
      </w:r>
    </w:p>
    <w:p w:rsidR="00D10D2B" w:rsidRPr="003A7C64" w:rsidRDefault="00D10D2B" w:rsidP="00701EE4">
      <w:pPr>
        <w:pStyle w:val="Heading1"/>
        <w:rPr>
          <w:color w:val="104F75"/>
          <w:sz w:val="40"/>
          <w:szCs w:val="40"/>
        </w:rPr>
      </w:pPr>
      <w:r>
        <w:br w:type="page"/>
      </w:r>
      <w:bookmarkStart w:id="12" w:name="_Toc322499309"/>
      <w:r w:rsidR="000911E5" w:rsidRPr="003A7C64">
        <w:rPr>
          <w:color w:val="104F75"/>
          <w:sz w:val="40"/>
          <w:szCs w:val="40"/>
        </w:rPr>
        <w:lastRenderedPageBreak/>
        <w:t xml:space="preserve">Chapter </w:t>
      </w:r>
      <w:r w:rsidRPr="003A7C64">
        <w:rPr>
          <w:color w:val="104F75"/>
          <w:sz w:val="40"/>
          <w:szCs w:val="40"/>
        </w:rPr>
        <w:t>4</w:t>
      </w:r>
      <w:r w:rsidR="000911E5" w:rsidRPr="003A7C64">
        <w:rPr>
          <w:color w:val="104F75"/>
          <w:sz w:val="40"/>
          <w:szCs w:val="40"/>
        </w:rPr>
        <w:t>:</w:t>
      </w:r>
      <w:r w:rsidRPr="003A7C64">
        <w:rPr>
          <w:color w:val="104F75"/>
          <w:sz w:val="40"/>
          <w:szCs w:val="40"/>
        </w:rPr>
        <w:t xml:space="preserve">  Consultation</w:t>
      </w:r>
      <w:bookmarkEnd w:id="12"/>
    </w:p>
    <w:p w:rsidR="00D10D2B" w:rsidRPr="00D10D2B" w:rsidRDefault="00D10D2B" w:rsidP="00D10D2B">
      <w:pPr>
        <w:pStyle w:val="DeptOutNumbered"/>
        <w:numPr>
          <w:ilvl w:val="1"/>
          <w:numId w:val="10"/>
        </w:numPr>
        <w:ind w:left="0" w:firstLine="0"/>
        <w:rPr>
          <w:rFonts w:cs="Arial"/>
        </w:rPr>
      </w:pPr>
      <w:r>
        <w:rPr>
          <w:rFonts w:cs="Arial"/>
        </w:rPr>
        <w:t xml:space="preserve">Given that the impact of the repeal of section 138 of the </w:t>
      </w:r>
      <w:r w:rsidR="00527C77">
        <w:rPr>
          <w:rFonts w:cs="Arial"/>
        </w:rPr>
        <w:t>Education</w:t>
      </w:r>
      <w:r>
        <w:rPr>
          <w:rFonts w:cs="Arial"/>
        </w:rPr>
        <w:t xml:space="preserve"> and Inspection Act 2006 </w:t>
      </w:r>
      <w:r w:rsidRPr="00612E93">
        <w:rPr>
          <w:rFonts w:cs="Arial"/>
          <w:color w:val="000000"/>
          <w:szCs w:val="24"/>
        </w:rPr>
        <w:t>is solely on public sector orga</w:t>
      </w:r>
      <w:r>
        <w:rPr>
          <w:rFonts w:cs="Arial"/>
          <w:color w:val="000000"/>
          <w:szCs w:val="24"/>
        </w:rPr>
        <w:t>nisations, predominantly Ofsted</w:t>
      </w:r>
      <w:r w:rsidRPr="00612E93">
        <w:rPr>
          <w:rFonts w:cs="Arial"/>
          <w:color w:val="000000"/>
          <w:szCs w:val="24"/>
        </w:rPr>
        <w:t xml:space="preserve"> and also local authorities</w:t>
      </w:r>
      <w:r>
        <w:rPr>
          <w:rFonts w:cs="Arial"/>
          <w:color w:val="000000"/>
          <w:szCs w:val="24"/>
        </w:rPr>
        <w:t>,</w:t>
      </w:r>
      <w:r w:rsidR="00527C77">
        <w:t xml:space="preserve"> a </w:t>
      </w:r>
      <w:r w:rsidR="009E48FA">
        <w:t>“l</w:t>
      </w:r>
      <w:r w:rsidR="00527C77">
        <w:t>imited</w:t>
      </w:r>
      <w:r w:rsidR="009E48FA">
        <w:t>”</w:t>
      </w:r>
      <w:r>
        <w:t xml:space="preserve"> consultation exercise targeted at key stakeholder groups (local government sector and third sector organisations) started on 23 January.  This consultation exercise ran for eight weeks and closed on 18 March.  </w:t>
      </w:r>
      <w:r w:rsidR="00E45303">
        <w:t>The consultation document was sent to both the House of Commons Regulatory Reform Committee and the House of Lords Delegated Powers and Regulatory Reform Committee.</w:t>
      </w:r>
    </w:p>
    <w:p w:rsidR="00D10D2B" w:rsidRPr="00D10D2B" w:rsidRDefault="00461FDB" w:rsidP="00D10D2B">
      <w:pPr>
        <w:pStyle w:val="DeptOutNumbered"/>
        <w:numPr>
          <w:ilvl w:val="1"/>
          <w:numId w:val="10"/>
        </w:numPr>
        <w:ind w:left="0" w:firstLine="0"/>
        <w:rPr>
          <w:rFonts w:cs="Arial"/>
        </w:rPr>
      </w:pPr>
      <w:r w:rsidRPr="00461FDB">
        <w:t xml:space="preserve">27 </w:t>
      </w:r>
      <w:r w:rsidR="00D10D2B">
        <w:t>responses to the consultation were received</w:t>
      </w:r>
      <w:r w:rsidR="00DE6D0F">
        <w:t>.  21 responses were received from local authorities</w:t>
      </w:r>
      <w:r w:rsidR="00D10D2B">
        <w:t xml:space="preserve">, </w:t>
      </w:r>
      <w:r w:rsidR="00DE6D0F">
        <w:t>with a further 3 from local authority representative bodies and 2 from children’s charities.  The remaining consultation response was from Ofsted</w:t>
      </w:r>
      <w:r w:rsidR="00D10D2B">
        <w:t>.</w:t>
      </w:r>
    </w:p>
    <w:p w:rsidR="00D10D2B" w:rsidRPr="00D10D2B" w:rsidRDefault="00D10D2B" w:rsidP="00D10D2B">
      <w:pPr>
        <w:pStyle w:val="DeptOutNumbered"/>
        <w:numPr>
          <w:ilvl w:val="1"/>
          <w:numId w:val="10"/>
        </w:numPr>
        <w:ind w:left="0" w:firstLine="0"/>
        <w:rPr>
          <w:rFonts w:cs="Arial"/>
        </w:rPr>
      </w:pPr>
      <w:r>
        <w:t xml:space="preserve">The </w:t>
      </w:r>
      <w:r w:rsidR="00BE3313">
        <w:rPr>
          <w:rFonts w:cs="Arial"/>
        </w:rPr>
        <w:t xml:space="preserve">Minister </w:t>
      </w:r>
      <w:r>
        <w:t xml:space="preserve">is satisfied that it has carried out </w:t>
      </w:r>
      <w:r w:rsidR="002239C4">
        <w:t xml:space="preserve">the </w:t>
      </w:r>
      <w:r>
        <w:t>consultation in accordance with section 13 of the 2006 Act.</w:t>
      </w:r>
    </w:p>
    <w:p w:rsidR="00D10D2B" w:rsidRPr="003A7C64" w:rsidRDefault="00083CBC" w:rsidP="00D10D2B">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Pr>
          <w:rFonts w:cs="Arial"/>
          <w:b/>
          <w:color w:val="104F75"/>
          <w:sz w:val="28"/>
          <w:szCs w:val="28"/>
        </w:rPr>
        <w:t>The policy p</w:t>
      </w:r>
      <w:r w:rsidR="00D069D7" w:rsidRPr="003A7C64">
        <w:rPr>
          <w:rFonts w:cs="Arial"/>
          <w:b/>
          <w:color w:val="104F75"/>
          <w:sz w:val="28"/>
          <w:szCs w:val="28"/>
        </w:rPr>
        <w:t>roposal</w:t>
      </w:r>
    </w:p>
    <w:p w:rsidR="00D10D2B" w:rsidRDefault="00D069D7" w:rsidP="00D10D2B">
      <w:pPr>
        <w:pStyle w:val="DeptOutNumbered"/>
        <w:numPr>
          <w:ilvl w:val="1"/>
          <w:numId w:val="10"/>
        </w:numPr>
        <w:ind w:left="0" w:firstLine="0"/>
        <w:rPr>
          <w:rFonts w:cs="Arial"/>
        </w:rPr>
      </w:pPr>
      <w:r>
        <w:rPr>
          <w:rFonts w:cs="Arial"/>
        </w:rPr>
        <w:t>The consultation document asked whether consultees agreed with the proposal to repeal section 138 of the Education and Inspections Act 2006</w:t>
      </w:r>
      <w:r w:rsidR="004776D0">
        <w:rPr>
          <w:rFonts w:cs="Arial"/>
        </w:rPr>
        <w:t xml:space="preserve"> (the statutory requirement on the Chief Inspector </w:t>
      </w:r>
      <w:r w:rsidR="004776D0" w:rsidRPr="00BE1000">
        <w:rPr>
          <w:rFonts w:cs="Arial"/>
        </w:rPr>
        <w:t xml:space="preserve">to undertake, in each financial year, a review of the performance of each top tier local authority in </w:t>
      </w:r>
      <w:smartTag w:uri="urn:schemas-microsoft-com:office:smarttags" w:element="country-region">
        <w:smartTag w:uri="urn:schemas-microsoft-com:office:smarttags" w:element="place">
          <w:r w:rsidR="004776D0" w:rsidRPr="00BE1000">
            <w:rPr>
              <w:rFonts w:cs="Arial"/>
            </w:rPr>
            <w:t>England</w:t>
          </w:r>
        </w:smartTag>
      </w:smartTag>
      <w:r w:rsidR="004776D0" w:rsidRPr="00BE1000">
        <w:rPr>
          <w:rFonts w:cs="Arial"/>
        </w:rPr>
        <w:t xml:space="preserve"> in relation to certain children’s services functions and related activities</w:t>
      </w:r>
      <w:r w:rsidR="004776D0">
        <w:rPr>
          <w:rFonts w:cs="Arial"/>
        </w:rPr>
        <w:t>)</w:t>
      </w:r>
      <w:r>
        <w:rPr>
          <w:rFonts w:cs="Arial"/>
        </w:rPr>
        <w:t>.</w:t>
      </w:r>
    </w:p>
    <w:p w:rsidR="00D069D7" w:rsidRDefault="00461FDB" w:rsidP="00D10D2B">
      <w:pPr>
        <w:pStyle w:val="DeptOutNumbered"/>
        <w:numPr>
          <w:ilvl w:val="1"/>
          <w:numId w:val="10"/>
        </w:numPr>
        <w:ind w:left="0" w:firstLine="0"/>
        <w:rPr>
          <w:rFonts w:cs="Arial"/>
        </w:rPr>
      </w:pPr>
      <w:r>
        <w:rPr>
          <w:rFonts w:cs="Arial"/>
        </w:rPr>
        <w:t>26 out of 27 consultation responses answered this question directly.  100% of these responses agreed with the proposed repeal</w:t>
      </w:r>
      <w:r w:rsidR="004776D0">
        <w:rPr>
          <w:rFonts w:cs="Arial"/>
        </w:rPr>
        <w:t xml:space="preserve"> of section 138 of the Education and Inspections Act 2006</w:t>
      </w:r>
      <w:r>
        <w:rPr>
          <w:rFonts w:cs="Arial"/>
        </w:rPr>
        <w:t>.</w:t>
      </w:r>
      <w:r w:rsidDel="00461FDB">
        <w:rPr>
          <w:rFonts w:cs="Arial"/>
          <w:b/>
        </w:rPr>
        <w:t xml:space="preserve"> </w:t>
      </w:r>
    </w:p>
    <w:p w:rsidR="00D069D7" w:rsidRPr="003A7C64" w:rsidRDefault="00D069D7" w:rsidP="00D069D7">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Reducing burdens</w:t>
      </w:r>
    </w:p>
    <w:p w:rsidR="00D069D7" w:rsidRDefault="00D069D7" w:rsidP="00D069D7">
      <w:pPr>
        <w:pStyle w:val="DeptOutNumbered"/>
        <w:numPr>
          <w:ilvl w:val="1"/>
          <w:numId w:val="10"/>
        </w:numPr>
        <w:ind w:left="0" w:firstLine="0"/>
        <w:rPr>
          <w:rFonts w:cs="Arial"/>
        </w:rPr>
      </w:pPr>
      <w:r>
        <w:rPr>
          <w:rFonts w:cs="Arial"/>
        </w:rPr>
        <w:t xml:space="preserve">The consultation document asked </w:t>
      </w:r>
      <w:r w:rsidRPr="00D069D7">
        <w:rPr>
          <w:rFonts w:cs="Arial"/>
        </w:rPr>
        <w:t>whether the proposals would remove or reduce burdens</w:t>
      </w:r>
      <w:r>
        <w:rPr>
          <w:rFonts w:cs="Arial"/>
        </w:rPr>
        <w:t>.</w:t>
      </w:r>
    </w:p>
    <w:p w:rsidR="00D069D7" w:rsidRDefault="00461FDB" w:rsidP="00D069D7">
      <w:pPr>
        <w:pStyle w:val="DeptOutNumbered"/>
        <w:numPr>
          <w:ilvl w:val="1"/>
          <w:numId w:val="10"/>
        </w:numPr>
        <w:ind w:left="0" w:firstLine="0"/>
        <w:rPr>
          <w:rFonts w:cs="Arial"/>
        </w:rPr>
      </w:pPr>
      <w:r>
        <w:rPr>
          <w:rFonts w:cs="Arial"/>
        </w:rPr>
        <w:t>26 out of 27 consultation responses answered this question directly.  24 (92%) of these responses agreed</w:t>
      </w:r>
      <w:r w:rsidR="00A643E1">
        <w:rPr>
          <w:rFonts w:cs="Arial"/>
        </w:rPr>
        <w:t xml:space="preserve"> that the proposed repeal of s</w:t>
      </w:r>
      <w:r w:rsidR="004776D0">
        <w:rPr>
          <w:rFonts w:cs="Arial"/>
        </w:rPr>
        <w:t xml:space="preserve">ection </w:t>
      </w:r>
      <w:r w:rsidR="00A643E1">
        <w:rPr>
          <w:rFonts w:cs="Arial"/>
        </w:rPr>
        <w:t>138 of the Education and Inspections Act 2006 would remove or reduce burdens.  The remaining two responses (8%) weren’t sure.</w:t>
      </w:r>
      <w:r w:rsidR="00A643E1" w:rsidDel="00A643E1">
        <w:rPr>
          <w:rFonts w:cs="Arial"/>
          <w:b/>
        </w:rPr>
        <w:t xml:space="preserve"> </w:t>
      </w:r>
    </w:p>
    <w:p w:rsidR="00D069D7" w:rsidRPr="003A7C64" w:rsidRDefault="00D069D7" w:rsidP="00D069D7">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Expected benefits</w:t>
      </w:r>
    </w:p>
    <w:p w:rsidR="00D069D7" w:rsidRDefault="00D069D7" w:rsidP="00D069D7">
      <w:pPr>
        <w:pStyle w:val="DeptOutNumbered"/>
        <w:numPr>
          <w:ilvl w:val="1"/>
          <w:numId w:val="10"/>
        </w:numPr>
        <w:ind w:left="0" w:firstLine="0"/>
        <w:rPr>
          <w:rFonts w:cs="Arial"/>
        </w:rPr>
      </w:pPr>
      <w:r>
        <w:rPr>
          <w:rFonts w:cs="Arial"/>
        </w:rPr>
        <w:t>The consultation document asked for views on the expected benefits of the proposals.</w:t>
      </w:r>
    </w:p>
    <w:p w:rsidR="004776D0" w:rsidRDefault="00A643E1" w:rsidP="004776D0">
      <w:pPr>
        <w:pStyle w:val="DeptOutNumbered"/>
        <w:numPr>
          <w:ilvl w:val="1"/>
          <w:numId w:val="10"/>
        </w:numPr>
        <w:ind w:left="0" w:firstLine="0"/>
        <w:rPr>
          <w:rFonts w:cs="Arial"/>
        </w:rPr>
      </w:pPr>
      <w:r>
        <w:rPr>
          <w:rFonts w:cs="Arial"/>
        </w:rPr>
        <w:t>23 out of 27 consultation responses answered this question directly.  15 responses set out their views on the expect benefits of the repeal of s</w:t>
      </w:r>
      <w:r w:rsidR="004776D0">
        <w:rPr>
          <w:rFonts w:cs="Arial"/>
        </w:rPr>
        <w:t xml:space="preserve">ection </w:t>
      </w:r>
      <w:r>
        <w:rPr>
          <w:rFonts w:cs="Arial"/>
        </w:rPr>
        <w:t xml:space="preserve">138 of the Education and Inspections Act 2006, agreeing with the </w:t>
      </w:r>
      <w:r>
        <w:rPr>
          <w:rFonts w:cs="Arial"/>
        </w:rPr>
        <w:lastRenderedPageBreak/>
        <w:t>benefits outlined in the consultation document (cost savings and allow Ofsted to focus on more effective aspects of inspection).</w:t>
      </w:r>
    </w:p>
    <w:p w:rsidR="00D069D7" w:rsidRPr="003A7C64" w:rsidRDefault="00D069D7" w:rsidP="00D069D7">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Non-legislative means of securing the policy objective</w:t>
      </w:r>
    </w:p>
    <w:p w:rsidR="00D069D7" w:rsidRDefault="00D069D7" w:rsidP="00D069D7">
      <w:pPr>
        <w:pStyle w:val="DeptOutNumbered"/>
        <w:numPr>
          <w:ilvl w:val="1"/>
          <w:numId w:val="10"/>
        </w:numPr>
        <w:ind w:left="0" w:firstLine="0"/>
        <w:rPr>
          <w:rFonts w:cs="Arial"/>
        </w:rPr>
      </w:pPr>
      <w:r>
        <w:rPr>
          <w:rFonts w:cs="Arial"/>
        </w:rPr>
        <w:t xml:space="preserve">The consultation document asked whether </w:t>
      </w:r>
      <w:r w:rsidRPr="00D069D7">
        <w:rPr>
          <w:rFonts w:cs="Arial"/>
        </w:rPr>
        <w:t>the</w:t>
      </w:r>
      <w:r>
        <w:rPr>
          <w:rFonts w:cs="Arial"/>
        </w:rPr>
        <w:t>re are any non-legislative means of achieving the policy objectives.</w:t>
      </w:r>
    </w:p>
    <w:p w:rsidR="00D069D7" w:rsidRDefault="00A643E1" w:rsidP="00D069D7">
      <w:pPr>
        <w:pStyle w:val="DeptOutNumbered"/>
        <w:numPr>
          <w:ilvl w:val="1"/>
          <w:numId w:val="10"/>
        </w:numPr>
        <w:ind w:left="0" w:firstLine="0"/>
        <w:rPr>
          <w:rFonts w:cs="Arial"/>
        </w:rPr>
      </w:pPr>
      <w:r>
        <w:rPr>
          <w:rFonts w:cs="Arial"/>
        </w:rPr>
        <w:t>All 27 consultation responses answered this question directly.  15 responses (56%)</w:t>
      </w:r>
      <w:r w:rsidR="00697AE3">
        <w:rPr>
          <w:rFonts w:cs="Arial"/>
        </w:rPr>
        <w:t xml:space="preserve"> thought that there were no non-legislative means of securing the policy objective.  A further 10 responses (37%) answered “don’t know” to this question.  The remaining 2 responses (7%) </w:t>
      </w:r>
      <w:r w:rsidR="004776D0">
        <w:rPr>
          <w:rFonts w:cs="Arial"/>
        </w:rPr>
        <w:t>answered</w:t>
      </w:r>
      <w:r w:rsidR="00697AE3">
        <w:rPr>
          <w:rFonts w:cs="Arial"/>
        </w:rPr>
        <w:t xml:space="preserve"> that the</w:t>
      </w:r>
      <w:r w:rsidR="004776D0">
        <w:rPr>
          <w:rFonts w:cs="Arial"/>
        </w:rPr>
        <w:t>y thought that the</w:t>
      </w:r>
      <w:r w:rsidR="00697AE3">
        <w:rPr>
          <w:rFonts w:cs="Arial"/>
        </w:rPr>
        <w:t>re were non-legislative means of securing the repeal, but the narrative text in support of these answers indicates that the question may have been misunderstood.</w:t>
      </w:r>
      <w:r w:rsidR="00697AE3" w:rsidDel="00697AE3">
        <w:rPr>
          <w:rFonts w:cs="Arial"/>
          <w:b/>
        </w:rPr>
        <w:t xml:space="preserve"> </w:t>
      </w:r>
    </w:p>
    <w:p w:rsidR="00D65B81" w:rsidRPr="003A7C64" w:rsidRDefault="00D65B81" w:rsidP="00D65B81">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Proportionality</w:t>
      </w:r>
    </w:p>
    <w:p w:rsidR="00D65B81" w:rsidRDefault="00D65B81" w:rsidP="00D65B81">
      <w:pPr>
        <w:pStyle w:val="DeptOutNumbered"/>
        <w:numPr>
          <w:ilvl w:val="1"/>
          <w:numId w:val="10"/>
        </w:numPr>
        <w:ind w:left="0" w:firstLine="0"/>
        <w:rPr>
          <w:rFonts w:cs="Arial"/>
        </w:rPr>
      </w:pPr>
      <w:r>
        <w:rPr>
          <w:rFonts w:cs="Arial"/>
        </w:rPr>
        <w:t xml:space="preserve">The consultation document asked whether </w:t>
      </w:r>
      <w:r w:rsidRPr="00D069D7">
        <w:rPr>
          <w:rFonts w:cs="Arial"/>
        </w:rPr>
        <w:t>the</w:t>
      </w:r>
      <w:r>
        <w:rPr>
          <w:rFonts w:cs="Arial"/>
        </w:rPr>
        <w:t xml:space="preserve"> proposals are proportionate to the policy objectives objectives.</w:t>
      </w:r>
    </w:p>
    <w:p w:rsidR="00D65B81" w:rsidRDefault="00697AE3" w:rsidP="00D65B81">
      <w:pPr>
        <w:pStyle w:val="DeptOutNumbered"/>
        <w:numPr>
          <w:ilvl w:val="1"/>
          <w:numId w:val="10"/>
        </w:numPr>
        <w:ind w:left="0" w:firstLine="0"/>
        <w:rPr>
          <w:rFonts w:cs="Arial"/>
        </w:rPr>
      </w:pPr>
      <w:r>
        <w:rPr>
          <w:rFonts w:cs="Arial"/>
        </w:rPr>
        <w:t>All 27 consultation responses answered this question directly.  26 of the 27 responses (96%) agreed that the proposals are proportionate to the policy objective.  The other response answere</w:t>
      </w:r>
      <w:r w:rsidR="004839BD">
        <w:rPr>
          <w:rFonts w:cs="Arial"/>
        </w:rPr>
        <w:t>d “No”, but there was no supporting narrative to support this response, which was also inconsistent with the other answers given by that respondent.</w:t>
      </w:r>
    </w:p>
    <w:p w:rsidR="00D65B81" w:rsidRPr="003A7C64" w:rsidRDefault="00083CBC" w:rsidP="00D65B81">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Pr>
          <w:rFonts w:cs="Arial"/>
          <w:b/>
          <w:color w:val="104F75"/>
          <w:sz w:val="28"/>
          <w:szCs w:val="28"/>
        </w:rPr>
        <w:t>Fair balance</w:t>
      </w:r>
    </w:p>
    <w:p w:rsidR="00D65B81" w:rsidRDefault="00D65B81" w:rsidP="00D65B81">
      <w:pPr>
        <w:pStyle w:val="DeptOutNumbered"/>
        <w:numPr>
          <w:ilvl w:val="1"/>
          <w:numId w:val="10"/>
        </w:numPr>
        <w:ind w:left="0" w:firstLine="0"/>
        <w:rPr>
          <w:rFonts w:cs="Arial"/>
        </w:rPr>
      </w:pPr>
      <w:r>
        <w:rPr>
          <w:rFonts w:cs="Arial"/>
        </w:rPr>
        <w:t xml:space="preserve">The consultation document asked whether </w:t>
      </w:r>
      <w:r w:rsidRPr="00D069D7">
        <w:rPr>
          <w:rFonts w:cs="Arial"/>
        </w:rPr>
        <w:t>the</w:t>
      </w:r>
      <w:r>
        <w:rPr>
          <w:rFonts w:cs="Arial"/>
        </w:rPr>
        <w:t xml:space="preserve"> proposals strike a fair balance </w:t>
      </w:r>
      <w:r w:rsidRPr="00D65B81">
        <w:rPr>
          <w:rFonts w:cs="Arial"/>
        </w:rPr>
        <w:t>between the public interest and any</w:t>
      </w:r>
      <w:r>
        <w:rPr>
          <w:rFonts w:cs="Arial"/>
        </w:rPr>
        <w:t xml:space="preserve"> </w:t>
      </w:r>
      <w:r w:rsidRPr="00D65B81">
        <w:rPr>
          <w:rFonts w:cs="Arial"/>
        </w:rPr>
        <w:t>person adversely affected by it</w:t>
      </w:r>
      <w:r>
        <w:rPr>
          <w:rFonts w:cs="Arial"/>
        </w:rPr>
        <w:t>.</w:t>
      </w:r>
    </w:p>
    <w:p w:rsidR="00D65B81" w:rsidRDefault="004839BD" w:rsidP="00D65B81">
      <w:pPr>
        <w:pStyle w:val="DeptOutNumbered"/>
        <w:numPr>
          <w:ilvl w:val="1"/>
          <w:numId w:val="10"/>
        </w:numPr>
        <w:ind w:left="0" w:firstLine="0"/>
        <w:rPr>
          <w:rFonts w:cs="Arial"/>
        </w:rPr>
      </w:pPr>
      <w:r>
        <w:rPr>
          <w:rFonts w:cs="Arial"/>
        </w:rPr>
        <w:t xml:space="preserve">All 27 consultation responses answered this question directly.  25 of the 27 responses (93%) felt that the proposals did strike a fair balance between the public interest and any person adversely affected by it.  Of the remaining 2 responses to this question, 1 respondent answered “Don’t know”, with the other answering “No”.  The supporting narrative of the single negative response </w:t>
      </w:r>
      <w:r w:rsidR="004776D0">
        <w:rPr>
          <w:rFonts w:cs="Arial"/>
        </w:rPr>
        <w:t xml:space="preserve">to this question </w:t>
      </w:r>
      <w:r>
        <w:rPr>
          <w:rFonts w:cs="Arial"/>
        </w:rPr>
        <w:t>indicates that the question may have been misunderstood.</w:t>
      </w:r>
      <w:r w:rsidDel="004839BD">
        <w:rPr>
          <w:rFonts w:cs="Arial"/>
          <w:b/>
        </w:rPr>
        <w:t xml:space="preserve"> </w:t>
      </w:r>
    </w:p>
    <w:p w:rsidR="003805EA" w:rsidRPr="003A7C64" w:rsidRDefault="003805EA" w:rsidP="003805EA">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Removal of protection</w:t>
      </w:r>
    </w:p>
    <w:p w:rsidR="003805EA" w:rsidRDefault="003805EA" w:rsidP="003805EA">
      <w:pPr>
        <w:pStyle w:val="DeptOutNumbered"/>
        <w:numPr>
          <w:ilvl w:val="1"/>
          <w:numId w:val="10"/>
        </w:numPr>
        <w:ind w:left="0" w:firstLine="0"/>
        <w:rPr>
          <w:rFonts w:cs="Arial"/>
        </w:rPr>
      </w:pPr>
      <w:r w:rsidRPr="003805EA">
        <w:rPr>
          <w:rFonts w:cs="Arial"/>
        </w:rPr>
        <w:t>The consultation document asked whether the proposals remove any necessary</w:t>
      </w:r>
      <w:r>
        <w:rPr>
          <w:rFonts w:cs="Arial"/>
        </w:rPr>
        <w:t xml:space="preserve"> </w:t>
      </w:r>
      <w:r w:rsidRPr="003805EA">
        <w:rPr>
          <w:rFonts w:cs="Arial"/>
        </w:rPr>
        <w:t>protections</w:t>
      </w:r>
      <w:r>
        <w:rPr>
          <w:rFonts w:cs="Arial"/>
        </w:rPr>
        <w:t>.</w:t>
      </w:r>
    </w:p>
    <w:p w:rsidR="003805EA" w:rsidRDefault="00C0763B" w:rsidP="003805EA">
      <w:pPr>
        <w:pStyle w:val="DeptOutNumbered"/>
        <w:numPr>
          <w:ilvl w:val="1"/>
          <w:numId w:val="10"/>
        </w:numPr>
        <w:ind w:left="0" w:firstLine="0"/>
        <w:rPr>
          <w:rFonts w:cs="Arial"/>
        </w:rPr>
      </w:pPr>
      <w:r>
        <w:rPr>
          <w:rFonts w:cs="Arial"/>
        </w:rPr>
        <w:t>26 out of 27 consultation responses answered this question directly.  23 (88%) of these responses</w:t>
      </w:r>
      <w:r w:rsidR="003D1915">
        <w:rPr>
          <w:rFonts w:cs="Arial"/>
        </w:rPr>
        <w:t xml:space="preserve"> said that the proposals would not remove any necessary protection.  2 responses (8%) answered “Don’t know”, while the single remaining response answered “Yes”, but the supporting narrative indicates that the question may have been misunderstood.</w:t>
      </w:r>
      <w:r w:rsidR="003D1915" w:rsidDel="003D1915">
        <w:rPr>
          <w:rFonts w:cs="Arial"/>
          <w:b/>
        </w:rPr>
        <w:t xml:space="preserve"> </w:t>
      </w:r>
    </w:p>
    <w:p w:rsidR="003805EA" w:rsidRPr="003A7C64" w:rsidRDefault="003805EA" w:rsidP="003805EA">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lastRenderedPageBreak/>
        <w:t>Infringement of rights or freedoms</w:t>
      </w:r>
    </w:p>
    <w:p w:rsidR="003805EA" w:rsidRDefault="003805EA" w:rsidP="003805EA">
      <w:pPr>
        <w:pStyle w:val="DeptOutNumbered"/>
        <w:numPr>
          <w:ilvl w:val="1"/>
          <w:numId w:val="10"/>
        </w:numPr>
        <w:ind w:left="0" w:firstLine="0"/>
        <w:rPr>
          <w:rFonts w:cs="Arial"/>
        </w:rPr>
      </w:pPr>
      <w:r w:rsidRPr="003805EA">
        <w:rPr>
          <w:rFonts w:cs="Arial"/>
        </w:rPr>
        <w:t>The consultation document asked whether the proposals prevent any person from</w:t>
      </w:r>
      <w:r>
        <w:rPr>
          <w:rFonts w:cs="Arial"/>
        </w:rPr>
        <w:t xml:space="preserve"> </w:t>
      </w:r>
      <w:r w:rsidRPr="003805EA">
        <w:rPr>
          <w:rFonts w:cs="Arial"/>
        </w:rPr>
        <w:t>continuing to exercise any right or freedom which they might reasonably expect to continue</w:t>
      </w:r>
      <w:r>
        <w:rPr>
          <w:rFonts w:cs="Arial"/>
        </w:rPr>
        <w:t xml:space="preserve"> </w:t>
      </w:r>
      <w:r w:rsidRPr="003805EA">
        <w:rPr>
          <w:rFonts w:cs="Arial"/>
        </w:rPr>
        <w:t>to exercise</w:t>
      </w:r>
      <w:r>
        <w:rPr>
          <w:rFonts w:cs="Arial"/>
        </w:rPr>
        <w:t>.</w:t>
      </w:r>
    </w:p>
    <w:p w:rsidR="003805EA" w:rsidRDefault="003D1915" w:rsidP="003805EA">
      <w:pPr>
        <w:pStyle w:val="DeptOutNumbered"/>
        <w:numPr>
          <w:ilvl w:val="1"/>
          <w:numId w:val="10"/>
        </w:numPr>
        <w:ind w:left="0" w:firstLine="0"/>
        <w:rPr>
          <w:rFonts w:cs="Arial"/>
        </w:rPr>
      </w:pPr>
      <w:r>
        <w:rPr>
          <w:rFonts w:cs="Arial"/>
        </w:rPr>
        <w:t>26 out of 27 consultation responses answered this question directly.  100% of these responses thought that the proposals would not infringe on any rights or freedoms.</w:t>
      </w:r>
      <w:r w:rsidDel="003D1915">
        <w:rPr>
          <w:rFonts w:cs="Arial"/>
          <w:b/>
        </w:rPr>
        <w:t xml:space="preserve"> </w:t>
      </w:r>
    </w:p>
    <w:p w:rsidR="003805EA" w:rsidRPr="003A7C64" w:rsidRDefault="003805EA" w:rsidP="003805EA">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Constitutional significance</w:t>
      </w:r>
    </w:p>
    <w:p w:rsidR="003805EA" w:rsidRDefault="003805EA" w:rsidP="003805EA">
      <w:pPr>
        <w:pStyle w:val="DeptOutNumbered"/>
        <w:numPr>
          <w:ilvl w:val="1"/>
          <w:numId w:val="10"/>
        </w:numPr>
        <w:ind w:left="0" w:firstLine="0"/>
        <w:rPr>
          <w:rFonts w:cs="Arial"/>
        </w:rPr>
      </w:pPr>
      <w:r w:rsidRPr="003805EA">
        <w:rPr>
          <w:rFonts w:cs="Arial"/>
        </w:rPr>
        <w:t xml:space="preserve">The consultation document asked whether </w:t>
      </w:r>
      <w:r>
        <w:rPr>
          <w:rFonts w:cs="Arial"/>
        </w:rPr>
        <w:t>consultees</w:t>
      </w:r>
      <w:r w:rsidRPr="003805EA">
        <w:rPr>
          <w:rFonts w:cs="Arial"/>
        </w:rPr>
        <w:t xml:space="preserve"> considered the proposals to be</w:t>
      </w:r>
      <w:r>
        <w:rPr>
          <w:rFonts w:cs="Arial"/>
        </w:rPr>
        <w:t xml:space="preserve"> </w:t>
      </w:r>
      <w:r w:rsidRPr="003805EA">
        <w:rPr>
          <w:rFonts w:cs="Arial"/>
        </w:rPr>
        <w:t>constitutionally significant.</w:t>
      </w:r>
    </w:p>
    <w:p w:rsidR="003805EA" w:rsidRDefault="003D1915" w:rsidP="003805EA">
      <w:pPr>
        <w:pStyle w:val="DeptOutNumbered"/>
        <w:numPr>
          <w:ilvl w:val="1"/>
          <w:numId w:val="10"/>
        </w:numPr>
        <w:ind w:left="0" w:firstLine="0"/>
        <w:rPr>
          <w:rFonts w:cs="Arial"/>
        </w:rPr>
      </w:pPr>
      <w:r>
        <w:rPr>
          <w:rFonts w:cs="Arial"/>
        </w:rPr>
        <w:t>All 27 consultation responses answered this question directly.  24 of the 27 responses (89%) thought that the proposals were not constitutionally significant.  The remaining 3 responses answered “Don’t know”.</w:t>
      </w:r>
      <w:r w:rsidDel="003D1915">
        <w:rPr>
          <w:rFonts w:cs="Arial"/>
          <w:b/>
        </w:rPr>
        <w:t xml:space="preserve"> </w:t>
      </w:r>
    </w:p>
    <w:p w:rsidR="003805EA" w:rsidRPr="003A7C64" w:rsidRDefault="003805EA" w:rsidP="003805EA">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sidRPr="003A7C64">
        <w:rPr>
          <w:rFonts w:cs="Arial"/>
          <w:b/>
          <w:color w:val="104F75"/>
          <w:sz w:val="28"/>
          <w:szCs w:val="28"/>
        </w:rPr>
        <w:t>Parliamentary procedure</w:t>
      </w:r>
    </w:p>
    <w:p w:rsidR="003805EA" w:rsidRDefault="003805EA" w:rsidP="003805EA">
      <w:pPr>
        <w:pStyle w:val="DeptOutNumbered"/>
        <w:numPr>
          <w:ilvl w:val="1"/>
          <w:numId w:val="10"/>
        </w:numPr>
        <w:ind w:left="0" w:firstLine="0"/>
        <w:rPr>
          <w:rFonts w:cs="Arial"/>
        </w:rPr>
      </w:pPr>
      <w:r w:rsidRPr="003805EA">
        <w:rPr>
          <w:rFonts w:cs="Arial"/>
        </w:rPr>
        <w:t xml:space="preserve">The consultation document asked whether </w:t>
      </w:r>
      <w:r>
        <w:rPr>
          <w:rFonts w:cs="Arial"/>
        </w:rPr>
        <w:t>consultees</w:t>
      </w:r>
      <w:r w:rsidRPr="003805EA">
        <w:rPr>
          <w:rFonts w:cs="Arial"/>
        </w:rPr>
        <w:t xml:space="preserve"> </w:t>
      </w:r>
      <w:r>
        <w:rPr>
          <w:rFonts w:cs="Arial"/>
        </w:rPr>
        <w:t>agreed with the Government’s proposed use of the negative resolution parliamentary procedure for the draft Order</w:t>
      </w:r>
      <w:r w:rsidRPr="003805EA">
        <w:rPr>
          <w:rFonts w:cs="Arial"/>
        </w:rPr>
        <w:t>.</w:t>
      </w:r>
    </w:p>
    <w:p w:rsidR="003805EA" w:rsidRDefault="003D1915" w:rsidP="003805EA">
      <w:pPr>
        <w:pStyle w:val="DeptOutNumbered"/>
        <w:numPr>
          <w:ilvl w:val="1"/>
          <w:numId w:val="10"/>
        </w:numPr>
        <w:ind w:left="0" w:firstLine="0"/>
        <w:rPr>
          <w:rFonts w:cs="Arial"/>
        </w:rPr>
      </w:pPr>
      <w:r>
        <w:rPr>
          <w:rFonts w:cs="Arial"/>
        </w:rPr>
        <w:t>26 out of 27 consultation responses answered this question directly.  21 (81%) of these responses agreed with the proposed negative resolution parliamentary procedure for the LRO.  The remaining 5 responses answered “Don’t know”.  There were no consultation responses that suggested that a different parliamentary procedure should be used.</w:t>
      </w:r>
      <w:r w:rsidDel="003D1915">
        <w:rPr>
          <w:rFonts w:cs="Arial"/>
          <w:b/>
        </w:rPr>
        <w:t xml:space="preserve"> </w:t>
      </w:r>
    </w:p>
    <w:p w:rsidR="008704C4" w:rsidRPr="003A7C64" w:rsidRDefault="008704C4" w:rsidP="00701EE4">
      <w:pPr>
        <w:pStyle w:val="Heading1"/>
        <w:rPr>
          <w:color w:val="104F75"/>
          <w:sz w:val="40"/>
          <w:szCs w:val="40"/>
        </w:rPr>
      </w:pPr>
      <w:r>
        <w:br w:type="page"/>
      </w:r>
      <w:bookmarkStart w:id="13" w:name="_Toc322499310"/>
      <w:r w:rsidR="00A91338" w:rsidRPr="003A7C64">
        <w:rPr>
          <w:color w:val="104F75"/>
          <w:sz w:val="40"/>
          <w:szCs w:val="40"/>
        </w:rPr>
        <w:lastRenderedPageBreak/>
        <w:t>Annex A:</w:t>
      </w:r>
      <w:r w:rsidRPr="003A7C64">
        <w:rPr>
          <w:color w:val="104F75"/>
          <w:sz w:val="40"/>
          <w:szCs w:val="40"/>
        </w:rPr>
        <w:t xml:space="preserve">  Impact assessment</w:t>
      </w:r>
      <w:bookmarkEnd w:id="13"/>
    </w:p>
    <w:p w:rsidR="001274BE" w:rsidRPr="00BC1983" w:rsidRDefault="001274BE" w:rsidP="00A91338">
      <w:pPr>
        <w:pStyle w:val="DeptOutNumbered"/>
        <w:widowControl w:val="0"/>
        <w:numPr>
          <w:ilvl w:val="0"/>
          <w:numId w:val="0"/>
        </w:numPr>
        <w:overflowPunct w:val="0"/>
        <w:autoSpaceDE w:val="0"/>
        <w:autoSpaceDN w:val="0"/>
        <w:adjustRightInd w:val="0"/>
        <w:textAlignment w:val="baseline"/>
        <w:rPr>
          <w:rFonts w:cs="Arial"/>
        </w:rPr>
      </w:pPr>
      <w:r w:rsidRPr="00344995">
        <w:t xml:space="preserve">An Impact Assessment has not been prepared for this Legislative Reform Order. </w:t>
      </w:r>
      <w:r w:rsidR="009E48FA">
        <w:t xml:space="preserve"> </w:t>
      </w:r>
      <w:r w:rsidRPr="00344995">
        <w:t xml:space="preserve">The </w:t>
      </w:r>
      <w:r>
        <w:t xml:space="preserve">repeal of section 138 </w:t>
      </w:r>
      <w:r w:rsidR="009A79FE">
        <w:t xml:space="preserve">of the Education and Inspections Act 2006 </w:t>
      </w:r>
      <w:r w:rsidRPr="00344995">
        <w:t xml:space="preserve">does not impact on the private or civil society sectors in any way. </w:t>
      </w:r>
      <w:r w:rsidR="009E48FA">
        <w:t xml:space="preserve"> </w:t>
      </w:r>
      <w:r w:rsidRPr="00344995">
        <w:t>The impact is solely on public sector orga</w:t>
      </w:r>
      <w:r>
        <w:t>nisations, predominantly Ofsted</w:t>
      </w:r>
      <w:r w:rsidRPr="00344995">
        <w:t xml:space="preserve"> and also local authorities. </w:t>
      </w:r>
      <w:r>
        <w:t xml:space="preserve"> </w:t>
      </w:r>
      <w:r w:rsidRPr="00344995">
        <w:t xml:space="preserve">The impact on the public sector has been assessed initially, and </w:t>
      </w:r>
      <w:r>
        <w:t xml:space="preserve">the Government can confirm </w:t>
      </w:r>
      <w:r w:rsidRPr="00344995">
        <w:t>that it does not breach any of the public sector thresholds set out by the Better Regulation Executive for which a formal Impact Assessment would be required.</w:t>
      </w:r>
      <w:r w:rsidR="009A79FE" w:rsidRPr="009A79FE">
        <w:rPr>
          <w:rFonts w:cs="Arial"/>
          <w:color w:val="000000"/>
          <w:szCs w:val="24"/>
        </w:rPr>
        <w:t xml:space="preserve"> </w:t>
      </w:r>
      <w:r w:rsidR="009A79FE">
        <w:rPr>
          <w:rFonts w:cs="Arial"/>
          <w:color w:val="000000"/>
          <w:szCs w:val="24"/>
        </w:rPr>
        <w:t xml:space="preserve"> </w:t>
      </w:r>
      <w:r w:rsidR="009A79FE" w:rsidRPr="00612E93">
        <w:rPr>
          <w:rFonts w:cs="Arial"/>
          <w:color w:val="000000"/>
          <w:szCs w:val="24"/>
        </w:rPr>
        <w:t xml:space="preserve">The </w:t>
      </w:r>
      <w:r w:rsidR="009A79FE">
        <w:rPr>
          <w:rFonts w:cs="Arial"/>
          <w:color w:val="000000"/>
          <w:szCs w:val="24"/>
        </w:rPr>
        <w:t>proposed Order</w:t>
      </w:r>
      <w:r w:rsidR="009A79FE" w:rsidRPr="00612E93">
        <w:rPr>
          <w:rFonts w:cs="Arial"/>
          <w:color w:val="000000"/>
          <w:szCs w:val="24"/>
        </w:rPr>
        <w:t xml:space="preserve"> would not result in any new administrative costs, unfunded policy costs or information obligations, any of which would trigger the threshold for an </w:t>
      </w:r>
      <w:r w:rsidR="009A79FE">
        <w:rPr>
          <w:rFonts w:cs="Arial"/>
          <w:color w:val="000000"/>
          <w:szCs w:val="24"/>
        </w:rPr>
        <w:t>impact assessment</w:t>
      </w:r>
      <w:r w:rsidR="009A79FE" w:rsidRPr="00612E93">
        <w:rPr>
          <w:rFonts w:cs="Arial"/>
          <w:color w:val="000000"/>
          <w:szCs w:val="24"/>
        </w:rPr>
        <w:t>.</w:t>
      </w:r>
    </w:p>
    <w:p w:rsidR="00BC1983" w:rsidRPr="003A7C64" w:rsidRDefault="00820CBC" w:rsidP="00BC1983">
      <w:pPr>
        <w:pStyle w:val="DeptOutNumbered"/>
        <w:widowControl w:val="0"/>
        <w:numPr>
          <w:ilvl w:val="0"/>
          <w:numId w:val="0"/>
        </w:numPr>
        <w:overflowPunct w:val="0"/>
        <w:autoSpaceDE w:val="0"/>
        <w:autoSpaceDN w:val="0"/>
        <w:adjustRightInd w:val="0"/>
        <w:textAlignment w:val="baseline"/>
        <w:rPr>
          <w:rFonts w:cs="Arial"/>
          <w:b/>
          <w:color w:val="104F75"/>
          <w:sz w:val="28"/>
          <w:szCs w:val="28"/>
        </w:rPr>
      </w:pPr>
      <w:r>
        <w:rPr>
          <w:rFonts w:cs="Arial"/>
          <w:b/>
          <w:color w:val="104F75"/>
          <w:sz w:val="28"/>
          <w:szCs w:val="28"/>
        </w:rPr>
        <w:t>Equality and d</w:t>
      </w:r>
      <w:r w:rsidR="00BC1983" w:rsidRPr="003A7C64">
        <w:rPr>
          <w:rFonts w:cs="Arial"/>
          <w:b/>
          <w:color w:val="104F75"/>
          <w:sz w:val="28"/>
          <w:szCs w:val="28"/>
        </w:rPr>
        <w:t>iversity</w:t>
      </w:r>
    </w:p>
    <w:p w:rsidR="009A79FE" w:rsidRDefault="009A79FE" w:rsidP="00A91338">
      <w:pPr>
        <w:pStyle w:val="DeptOutNumbered"/>
        <w:widowControl w:val="0"/>
        <w:numPr>
          <w:ilvl w:val="0"/>
          <w:numId w:val="0"/>
        </w:numPr>
        <w:overflowPunct w:val="0"/>
        <w:autoSpaceDE w:val="0"/>
        <w:autoSpaceDN w:val="0"/>
        <w:adjustRightInd w:val="0"/>
        <w:textAlignment w:val="baseline"/>
        <w:rPr>
          <w:rFonts w:cs="Arial"/>
          <w:szCs w:val="24"/>
          <w:lang w:val="en-US"/>
        </w:rPr>
      </w:pPr>
      <w:r>
        <w:t xml:space="preserve">The Government has </w:t>
      </w:r>
      <w:r w:rsidR="00BC1983">
        <w:t xml:space="preserve">also </w:t>
      </w:r>
      <w:r>
        <w:t xml:space="preserve">had due regard to its obligations under the </w:t>
      </w:r>
      <w:r w:rsidRPr="00FF644B">
        <w:t>Public Sector Equality Duty</w:t>
      </w:r>
      <w:r>
        <w:t xml:space="preserve"> to </w:t>
      </w:r>
      <w:r w:rsidRPr="00FF644B">
        <w:rPr>
          <w:lang w:val="en-US"/>
        </w:rPr>
        <w:t>eliminate discrimination</w:t>
      </w:r>
      <w:r>
        <w:rPr>
          <w:lang w:val="en-US"/>
        </w:rPr>
        <w:t xml:space="preserve">, </w:t>
      </w:r>
      <w:r w:rsidRPr="00FF644B">
        <w:rPr>
          <w:rFonts w:cs="Arial"/>
          <w:lang w:val="en-US"/>
        </w:rPr>
        <w:t xml:space="preserve">advance equality of opportunity </w:t>
      </w:r>
      <w:r>
        <w:rPr>
          <w:rFonts w:cs="Arial"/>
          <w:lang w:val="en-US"/>
        </w:rPr>
        <w:t xml:space="preserve">and </w:t>
      </w:r>
      <w:r w:rsidRPr="00FF644B">
        <w:rPr>
          <w:rFonts w:cs="Arial"/>
          <w:szCs w:val="24"/>
          <w:lang w:val="en-US"/>
        </w:rPr>
        <w:t xml:space="preserve">foster good relations </w:t>
      </w:r>
      <w:r w:rsidR="00BC1983">
        <w:rPr>
          <w:rFonts w:cs="Arial"/>
          <w:szCs w:val="24"/>
          <w:lang w:val="en-US"/>
        </w:rPr>
        <w:t xml:space="preserve">and can confirm that the repeal of section 138 of the Education and Inspections Act </w:t>
      </w:r>
      <w:r w:rsidR="00985BF4">
        <w:rPr>
          <w:rFonts w:cs="Arial"/>
          <w:szCs w:val="24"/>
          <w:lang w:val="en-US"/>
        </w:rPr>
        <w:t xml:space="preserve">2006 </w:t>
      </w:r>
      <w:r w:rsidR="00BC1983">
        <w:rPr>
          <w:rFonts w:cs="Arial"/>
          <w:szCs w:val="24"/>
          <w:lang w:val="en-US"/>
        </w:rPr>
        <w:t>will not have any negative impact on equality or diversity.</w:t>
      </w:r>
    </w:p>
    <w:p w:rsidR="00A91338" w:rsidRPr="003A7C64" w:rsidRDefault="00A91338" w:rsidP="00701EE4">
      <w:pPr>
        <w:pStyle w:val="Heading1"/>
        <w:rPr>
          <w:color w:val="104F75"/>
          <w:sz w:val="40"/>
          <w:szCs w:val="40"/>
        </w:rPr>
      </w:pPr>
      <w:r>
        <w:rPr>
          <w:szCs w:val="24"/>
          <w:lang w:val="en-US"/>
        </w:rPr>
        <w:br w:type="page"/>
      </w:r>
      <w:bookmarkStart w:id="14" w:name="_Toc322499311"/>
      <w:r w:rsidR="00820CBC">
        <w:rPr>
          <w:color w:val="104F75"/>
          <w:sz w:val="40"/>
          <w:szCs w:val="40"/>
        </w:rPr>
        <w:lastRenderedPageBreak/>
        <w:t>Annex B:  List of respondents to the c</w:t>
      </w:r>
      <w:r w:rsidRPr="003A7C64">
        <w:rPr>
          <w:color w:val="104F75"/>
          <w:sz w:val="40"/>
          <w:szCs w:val="40"/>
        </w:rPr>
        <w:t>onsultation</w:t>
      </w:r>
      <w:bookmarkEnd w:id="14"/>
    </w:p>
    <w:p w:rsidR="003E6CD5" w:rsidRDefault="003E6CD5"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r>
        <w:rPr>
          <w:rFonts w:cs="Arial"/>
          <w:szCs w:val="24"/>
          <w:lang w:val="en-US"/>
        </w:rPr>
        <w:t>Association of Directors of Children’s Services (ADCS)</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place">
        <w:smartTag w:uri="urn:schemas-microsoft-com:office:smarttags" w:element="PlaceName">
          <w:r>
            <w:rPr>
              <w:rFonts w:cs="Arial"/>
              <w:szCs w:val="24"/>
              <w:lang w:val="en-US"/>
            </w:rPr>
            <w:t>Bracknell</w:t>
          </w:r>
        </w:smartTag>
        <w:r>
          <w:rPr>
            <w:rFonts w:cs="Arial"/>
            <w:szCs w:val="24"/>
            <w:lang w:val="en-US"/>
          </w:rPr>
          <w:t xml:space="preserve"> </w:t>
        </w:r>
        <w:smartTag w:uri="urn:schemas-microsoft-com:office:smarttags" w:element="PlaceType">
          <w:r>
            <w:rPr>
              <w:rFonts w:cs="Arial"/>
              <w:szCs w:val="24"/>
              <w:lang w:val="en-US"/>
            </w:rPr>
            <w:t>Forest</w:t>
          </w:r>
        </w:smartTag>
      </w:smartTag>
      <w:r>
        <w:rPr>
          <w:rFonts w:cs="Arial"/>
          <w:szCs w:val="24"/>
          <w:lang w:val="en-US"/>
        </w:rPr>
        <w:t xml:space="preserve"> Council</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rPr>
      </w:pPr>
      <w:r w:rsidRPr="004115EA">
        <w:rPr>
          <w:rFonts w:cs="Arial"/>
          <w:szCs w:val="24"/>
        </w:rPr>
        <w:t>Central Bedfordshire Council</w:t>
      </w:r>
    </w:p>
    <w:p w:rsidR="0079663A" w:rsidRDefault="0079663A" w:rsidP="004115EA">
      <w:pPr>
        <w:pStyle w:val="DeptOutNumbered"/>
        <w:widowControl w:val="0"/>
        <w:numPr>
          <w:ilvl w:val="0"/>
          <w:numId w:val="0"/>
        </w:numPr>
        <w:overflowPunct w:val="0"/>
        <w:autoSpaceDE w:val="0"/>
        <w:autoSpaceDN w:val="0"/>
        <w:adjustRightInd w:val="0"/>
        <w:spacing w:after="0"/>
        <w:textAlignment w:val="baseline"/>
        <w:rPr>
          <w:rFonts w:cs="Arial"/>
          <w:szCs w:val="24"/>
        </w:rPr>
      </w:pPr>
      <w:r>
        <w:rPr>
          <w:rFonts w:cs="Arial"/>
          <w:szCs w:val="24"/>
        </w:rPr>
        <w:t xml:space="preserve">Children </w:t>
      </w:r>
      <w:smartTag w:uri="urn:schemas-microsoft-com:office:smarttags" w:element="country-region">
        <w:smartTag w:uri="urn:schemas-microsoft-com:office:smarttags" w:element="place">
          <w:r>
            <w:rPr>
              <w:rFonts w:cs="Arial"/>
              <w:szCs w:val="24"/>
            </w:rPr>
            <w:t>England</w:t>
          </w:r>
        </w:smartTag>
      </w:smartTag>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rPr>
      </w:pPr>
      <w:r>
        <w:rPr>
          <w:rFonts w:cs="Arial"/>
          <w:szCs w:val="24"/>
        </w:rPr>
        <w:t xml:space="preserve">City of </w:t>
      </w:r>
      <w:r w:rsidRPr="004115EA">
        <w:rPr>
          <w:rFonts w:cs="Arial"/>
          <w:szCs w:val="24"/>
        </w:rPr>
        <w:t>Bradford Metropolitan District Council</w:t>
      </w:r>
    </w:p>
    <w:p w:rsidR="00751206" w:rsidRDefault="00751206"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country-region">
        <w:smartTag w:uri="urn:schemas-microsoft-com:office:smarttags" w:element="place">
          <w:r>
            <w:t>Cumbria</w:t>
          </w:r>
        </w:smartTag>
      </w:smartTag>
      <w:r>
        <w:t xml:space="preserve"> County Council</w:t>
      </w:r>
      <w:r>
        <w:rPr>
          <w:rFonts w:cs="Arial"/>
          <w:szCs w:val="24"/>
          <w:lang w:val="en-US"/>
        </w:rPr>
        <w:t xml:space="preserve"> </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City">
        <w:smartTag w:uri="urn:schemas-microsoft-com:office:smarttags" w:element="place">
          <w:r>
            <w:rPr>
              <w:rFonts w:cs="Arial"/>
              <w:szCs w:val="24"/>
              <w:lang w:val="en-US"/>
            </w:rPr>
            <w:t>Durham</w:t>
          </w:r>
        </w:smartTag>
      </w:smartTag>
      <w:r>
        <w:rPr>
          <w:rFonts w:cs="Arial"/>
          <w:szCs w:val="24"/>
          <w:lang w:val="en-US"/>
        </w:rPr>
        <w:t xml:space="preserve"> County Council</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rPr>
      </w:pPr>
      <w:r w:rsidRPr="004115EA">
        <w:rPr>
          <w:rFonts w:cs="Arial"/>
          <w:szCs w:val="24"/>
          <w:lang w:val="en-US"/>
        </w:rPr>
        <w:t xml:space="preserve">East Riding of </w:t>
      </w:r>
      <w:smartTag w:uri="urn:schemas-microsoft-com:office:smarttags" w:element="place">
        <w:r w:rsidRPr="004115EA">
          <w:rPr>
            <w:rFonts w:cs="Arial"/>
            <w:szCs w:val="24"/>
            <w:lang w:val="en-US"/>
          </w:rPr>
          <w:t>Yorkshire</w:t>
        </w:r>
      </w:smartTag>
      <w:r w:rsidRPr="004115EA">
        <w:rPr>
          <w:rFonts w:cs="Arial"/>
          <w:szCs w:val="24"/>
          <w:lang w:val="en-US"/>
        </w:rPr>
        <w:t xml:space="preserve"> Council</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place">
        <w:r>
          <w:rPr>
            <w:rFonts w:cs="Arial"/>
            <w:szCs w:val="24"/>
            <w:lang w:val="en-US"/>
          </w:rPr>
          <w:t>Hartlepool</w:t>
        </w:r>
      </w:smartTag>
      <w:r>
        <w:rPr>
          <w:rFonts w:cs="Arial"/>
          <w:szCs w:val="24"/>
          <w:lang w:val="en-US"/>
        </w:rPr>
        <w:t xml:space="preserve"> Borough Council</w:t>
      </w:r>
    </w:p>
    <w:p w:rsidR="00CD3E7D" w:rsidRPr="004115EA"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rPr>
      </w:pPr>
      <w:smartTag w:uri="urn:schemas-microsoft-com:office:smarttags" w:element="place">
        <w:r w:rsidRPr="004115EA">
          <w:rPr>
            <w:rFonts w:cs="Arial"/>
            <w:szCs w:val="24"/>
          </w:rPr>
          <w:t>Lancashire</w:t>
        </w:r>
      </w:smartTag>
      <w:r w:rsidRPr="004115EA">
        <w:rPr>
          <w:rFonts w:cs="Arial"/>
          <w:szCs w:val="24"/>
        </w:rPr>
        <w:t xml:space="preserve"> County Council</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rPr>
      </w:pPr>
      <w:r>
        <w:rPr>
          <w:rFonts w:cs="Arial"/>
          <w:szCs w:val="24"/>
        </w:rPr>
        <w:t>Local Government Association</w:t>
      </w:r>
      <w:r w:rsidR="003E6CD5">
        <w:rPr>
          <w:rFonts w:cs="Arial"/>
          <w:szCs w:val="24"/>
        </w:rPr>
        <w:t xml:space="preserve"> (LGA)</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place">
        <w:smartTag w:uri="urn:schemas-microsoft-com:office:smarttags" w:element="City">
          <w:r>
            <w:rPr>
              <w:rFonts w:cs="Arial"/>
              <w:szCs w:val="24"/>
              <w:lang w:val="en-US"/>
            </w:rPr>
            <w:t>London</w:t>
          </w:r>
        </w:smartTag>
      </w:smartTag>
      <w:r>
        <w:rPr>
          <w:rFonts w:cs="Arial"/>
          <w:szCs w:val="24"/>
          <w:lang w:val="en-US"/>
        </w:rPr>
        <w:t xml:space="preserve"> Borough of Barnet</w:t>
      </w:r>
    </w:p>
    <w:p w:rsidR="00E75A47" w:rsidRDefault="00E75A47"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City">
        <w:smartTag w:uri="urn:schemas-microsoft-com:office:smarttags" w:element="place">
          <w:r>
            <w:rPr>
              <w:rFonts w:cs="Arial"/>
              <w:szCs w:val="24"/>
              <w:lang w:val="en-US"/>
            </w:rPr>
            <w:t>London</w:t>
          </w:r>
        </w:smartTag>
      </w:smartTag>
      <w:r>
        <w:rPr>
          <w:rFonts w:cs="Arial"/>
          <w:szCs w:val="24"/>
          <w:lang w:val="en-US"/>
        </w:rPr>
        <w:t xml:space="preserve"> Borough of Brent</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place">
        <w:smartTag w:uri="urn:schemas-microsoft-com:office:smarttags" w:element="City">
          <w:r>
            <w:rPr>
              <w:rFonts w:cs="Arial"/>
              <w:szCs w:val="24"/>
              <w:lang w:val="en-US"/>
            </w:rPr>
            <w:t>London</w:t>
          </w:r>
        </w:smartTag>
      </w:smartTag>
      <w:r>
        <w:rPr>
          <w:rFonts w:cs="Arial"/>
          <w:szCs w:val="24"/>
          <w:lang w:val="en-US"/>
        </w:rPr>
        <w:t xml:space="preserve"> Borough of Hackney</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place">
        <w:smartTag w:uri="urn:schemas-microsoft-com:office:smarttags" w:element="City">
          <w:r>
            <w:rPr>
              <w:rFonts w:cs="Arial"/>
              <w:szCs w:val="24"/>
              <w:lang w:val="en-US"/>
            </w:rPr>
            <w:t>London</w:t>
          </w:r>
        </w:smartTag>
      </w:smartTag>
      <w:r>
        <w:rPr>
          <w:rFonts w:cs="Arial"/>
          <w:szCs w:val="24"/>
          <w:lang w:val="en-US"/>
        </w:rPr>
        <w:t xml:space="preserve"> Borough of Islington</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place">
        <w:r>
          <w:rPr>
            <w:rFonts w:cs="Arial"/>
            <w:szCs w:val="24"/>
            <w:lang w:val="en-US"/>
          </w:rPr>
          <w:t>Middlesbrough</w:t>
        </w:r>
      </w:smartTag>
      <w:r>
        <w:rPr>
          <w:rFonts w:cs="Arial"/>
          <w:szCs w:val="24"/>
          <w:lang w:val="en-US"/>
        </w:rPr>
        <w:t xml:space="preserve"> Council</w:t>
      </w:r>
    </w:p>
    <w:p w:rsidR="0079663A" w:rsidRDefault="0079663A" w:rsidP="004115EA">
      <w:pPr>
        <w:pStyle w:val="DeptOutNumbered"/>
        <w:widowControl w:val="0"/>
        <w:numPr>
          <w:ilvl w:val="0"/>
          <w:numId w:val="0"/>
        </w:numPr>
        <w:overflowPunct w:val="0"/>
        <w:autoSpaceDE w:val="0"/>
        <w:autoSpaceDN w:val="0"/>
        <w:adjustRightInd w:val="0"/>
        <w:spacing w:after="0"/>
        <w:textAlignment w:val="baseline"/>
      </w:pPr>
      <w:smartTag w:uri="urn:schemas-microsoft-com:office:smarttags" w:element="place">
        <w:r>
          <w:t>Milton Keynes</w:t>
        </w:r>
      </w:smartTag>
      <w:r>
        <w:t xml:space="preserve"> Council</w:t>
      </w:r>
    </w:p>
    <w:p w:rsidR="005505B9" w:rsidRDefault="005505B9"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r w:rsidRPr="00006FB9">
        <w:t>National Society for the Prevention of Cruelty to Children</w:t>
      </w:r>
      <w:r w:rsidRPr="005D1091">
        <w:rPr>
          <w:rFonts w:cs="Arial"/>
          <w:szCs w:val="24"/>
          <w:lang w:val="en-US"/>
        </w:rPr>
        <w:t xml:space="preserve"> </w:t>
      </w:r>
      <w:r>
        <w:rPr>
          <w:rFonts w:cs="Arial"/>
          <w:szCs w:val="24"/>
          <w:lang w:val="en-US"/>
        </w:rPr>
        <w:t>(NSPCC)</w:t>
      </w:r>
    </w:p>
    <w:p w:rsidR="00601CCA" w:rsidRDefault="00601CCA"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place">
        <w:r w:rsidRPr="00601CCA">
          <w:rPr>
            <w:rFonts w:cs="Arial"/>
            <w:szCs w:val="24"/>
            <w:lang/>
          </w:rPr>
          <w:t>North Somerset</w:t>
        </w:r>
      </w:smartTag>
      <w:r w:rsidRPr="00601CCA">
        <w:rPr>
          <w:rFonts w:cs="Arial"/>
          <w:szCs w:val="24"/>
          <w:lang/>
        </w:rPr>
        <w:t xml:space="preserve"> Council</w:t>
      </w:r>
    </w:p>
    <w:p w:rsidR="006B6FA2" w:rsidRDefault="006B6FA2" w:rsidP="004115EA">
      <w:pPr>
        <w:pStyle w:val="DeptOutNumbered"/>
        <w:widowControl w:val="0"/>
        <w:numPr>
          <w:ilvl w:val="0"/>
          <w:numId w:val="0"/>
        </w:numPr>
        <w:overflowPunct w:val="0"/>
        <w:autoSpaceDE w:val="0"/>
        <w:autoSpaceDN w:val="0"/>
        <w:adjustRightInd w:val="0"/>
        <w:spacing w:after="0"/>
        <w:textAlignment w:val="baseline"/>
      </w:pPr>
      <w:r>
        <w:t>Nottinghamshire County Council</w:t>
      </w:r>
    </w:p>
    <w:p w:rsidR="005D1091" w:rsidRPr="005D1091" w:rsidRDefault="005D1091" w:rsidP="004115EA">
      <w:pPr>
        <w:pStyle w:val="DeptOutNumbered"/>
        <w:widowControl w:val="0"/>
        <w:numPr>
          <w:ilvl w:val="0"/>
          <w:numId w:val="0"/>
        </w:numPr>
        <w:overflowPunct w:val="0"/>
        <w:autoSpaceDE w:val="0"/>
        <w:autoSpaceDN w:val="0"/>
        <w:adjustRightInd w:val="0"/>
        <w:spacing w:after="0"/>
        <w:textAlignment w:val="baseline"/>
        <w:rPr>
          <w:rFonts w:cs="Arial"/>
          <w:szCs w:val="24"/>
        </w:rPr>
      </w:pPr>
      <w:r w:rsidRPr="005D1091">
        <w:rPr>
          <w:rFonts w:cs="Arial"/>
          <w:szCs w:val="24"/>
          <w:lang w:val="en-US"/>
        </w:rPr>
        <w:t>Office for Standards in Education, Children’s Services and Skills</w:t>
      </w:r>
      <w:r>
        <w:rPr>
          <w:rFonts w:cs="Arial"/>
          <w:szCs w:val="24"/>
        </w:rPr>
        <w:t xml:space="preserve"> (Ofsted)</w:t>
      </w:r>
    </w:p>
    <w:p w:rsidR="00DB346C" w:rsidRDefault="00DB346C"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place">
        <w:r>
          <w:rPr>
            <w:noProof/>
          </w:rPr>
          <w:t>Rotherham</w:t>
        </w:r>
      </w:smartTag>
      <w:r>
        <w:rPr>
          <w:noProof/>
        </w:rPr>
        <w:t xml:space="preserve"> Metropolitan Borough Council</w:t>
      </w:r>
    </w:p>
    <w:p w:rsidR="0079663A" w:rsidRPr="0079663A" w:rsidRDefault="0079663A" w:rsidP="004115EA">
      <w:pPr>
        <w:pStyle w:val="DeptOutNumbered"/>
        <w:widowControl w:val="0"/>
        <w:numPr>
          <w:ilvl w:val="0"/>
          <w:numId w:val="0"/>
        </w:numPr>
        <w:overflowPunct w:val="0"/>
        <w:autoSpaceDE w:val="0"/>
        <w:autoSpaceDN w:val="0"/>
        <w:adjustRightInd w:val="0"/>
        <w:spacing w:after="0"/>
        <w:textAlignment w:val="baseline"/>
        <w:rPr>
          <w:rFonts w:cs="Arial"/>
          <w:szCs w:val="24"/>
        </w:rPr>
      </w:pPr>
      <w:r>
        <w:rPr>
          <w:rFonts w:cs="Arial"/>
          <w:szCs w:val="24"/>
        </w:rPr>
        <w:t xml:space="preserve">Sefton </w:t>
      </w:r>
      <w:r w:rsidRPr="0079663A">
        <w:rPr>
          <w:rFonts w:cs="Arial"/>
          <w:szCs w:val="24"/>
        </w:rPr>
        <w:t>Metropolitan Borough Council</w:t>
      </w:r>
    </w:p>
    <w:p w:rsidR="00DA2DC2" w:rsidRDefault="00DA2DC2"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r w:rsidRPr="00DA2DC2">
        <w:rPr>
          <w:rFonts w:cs="Arial"/>
          <w:szCs w:val="24"/>
        </w:rPr>
        <w:t>Society of Local Authority Chief Executives and Senior Managers</w:t>
      </w:r>
      <w:r>
        <w:rPr>
          <w:rFonts w:cs="Arial"/>
          <w:szCs w:val="24"/>
        </w:rPr>
        <w:t xml:space="preserve"> (SOLACE)</w:t>
      </w:r>
    </w:p>
    <w:p w:rsidR="00B97DB4" w:rsidRDefault="00B97DB4"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r>
        <w:rPr>
          <w:rFonts w:cs="Arial"/>
          <w:szCs w:val="24"/>
          <w:lang w:val="en-US"/>
        </w:rPr>
        <w:t>Staffordshire County Council</w:t>
      </w:r>
    </w:p>
    <w:p w:rsidR="00CD3E7D" w:rsidRDefault="00CD3E7D" w:rsidP="004115EA">
      <w:pPr>
        <w:pStyle w:val="DeptOutNumbered"/>
        <w:widowControl w:val="0"/>
        <w:numPr>
          <w:ilvl w:val="0"/>
          <w:numId w:val="0"/>
        </w:numPr>
        <w:overflowPunct w:val="0"/>
        <w:autoSpaceDE w:val="0"/>
        <w:autoSpaceDN w:val="0"/>
        <w:adjustRightInd w:val="0"/>
        <w:spacing w:after="0"/>
        <w:textAlignment w:val="baseline"/>
        <w:rPr>
          <w:rFonts w:cs="Arial"/>
          <w:szCs w:val="24"/>
          <w:lang w:val="en-US"/>
        </w:rPr>
      </w:pPr>
      <w:smartTag w:uri="urn:schemas-microsoft-com:office:smarttags" w:element="place">
        <w:r>
          <w:rPr>
            <w:rFonts w:cs="Arial"/>
            <w:szCs w:val="24"/>
            <w:lang w:val="en-US"/>
          </w:rPr>
          <w:t>Torbay</w:t>
        </w:r>
      </w:smartTag>
      <w:r>
        <w:rPr>
          <w:rFonts w:cs="Arial"/>
          <w:szCs w:val="24"/>
          <w:lang w:val="en-US"/>
        </w:rPr>
        <w:t xml:space="preserve"> Council</w:t>
      </w:r>
    </w:p>
    <w:p w:rsidR="004115EA" w:rsidRDefault="009B6DD5" w:rsidP="004115EA">
      <w:pPr>
        <w:pStyle w:val="DeptOutNumbered"/>
        <w:widowControl w:val="0"/>
        <w:numPr>
          <w:ilvl w:val="0"/>
          <w:numId w:val="0"/>
        </w:numPr>
        <w:overflowPunct w:val="0"/>
        <w:autoSpaceDE w:val="0"/>
        <w:autoSpaceDN w:val="0"/>
        <w:adjustRightInd w:val="0"/>
        <w:spacing w:after="0"/>
        <w:textAlignment w:val="baseline"/>
        <w:rPr>
          <w:noProof/>
        </w:rPr>
      </w:pPr>
      <w:smartTag w:uri="urn:schemas-microsoft-com:office:smarttags" w:element="place">
        <w:smartTag w:uri="urn:schemas-microsoft-com:office:smarttags" w:element="City">
          <w:r>
            <w:rPr>
              <w:noProof/>
            </w:rPr>
            <w:t>Warrington</w:t>
          </w:r>
        </w:smartTag>
      </w:smartTag>
      <w:r>
        <w:rPr>
          <w:noProof/>
        </w:rPr>
        <w:t xml:space="preserve"> Borough Council</w:t>
      </w:r>
    </w:p>
    <w:p w:rsidR="00AC6DB0" w:rsidRPr="003A7C64" w:rsidRDefault="00AC6DB0" w:rsidP="00AC6DB0">
      <w:pPr>
        <w:pStyle w:val="Heading1"/>
        <w:rPr>
          <w:color w:val="104F75"/>
          <w:sz w:val="40"/>
          <w:szCs w:val="40"/>
        </w:rPr>
      </w:pPr>
      <w:r>
        <w:rPr>
          <w:noProof/>
        </w:rPr>
        <w:br w:type="page"/>
      </w:r>
      <w:bookmarkStart w:id="15" w:name="_Toc322499312"/>
      <w:r>
        <w:rPr>
          <w:color w:val="104F75"/>
          <w:sz w:val="40"/>
          <w:szCs w:val="40"/>
        </w:rPr>
        <w:lastRenderedPageBreak/>
        <w:t>Annex C:  List of relevant statutes</w:t>
      </w:r>
      <w:bookmarkEnd w:id="15"/>
    </w:p>
    <w:p w:rsidR="00AC6DB0" w:rsidRDefault="00AC6DB0" w:rsidP="004115EA">
      <w:pPr>
        <w:pStyle w:val="DeptOutNumbered"/>
        <w:widowControl w:val="0"/>
        <w:numPr>
          <w:ilvl w:val="0"/>
          <w:numId w:val="0"/>
        </w:numPr>
        <w:overflowPunct w:val="0"/>
        <w:autoSpaceDE w:val="0"/>
        <w:autoSpaceDN w:val="0"/>
        <w:adjustRightInd w:val="0"/>
        <w:spacing w:after="0"/>
        <w:textAlignment w:val="baseline"/>
        <w:rPr>
          <w:noProof/>
        </w:rPr>
      </w:pPr>
      <w:r>
        <w:rPr>
          <w:noProof/>
        </w:rPr>
        <w:t xml:space="preserve">Education </w:t>
      </w:r>
      <w:r w:rsidRPr="00AC6DB0">
        <w:rPr>
          <w:noProof/>
        </w:rPr>
        <w:t xml:space="preserve">and Inspections Act 2006 </w:t>
      </w:r>
    </w:p>
    <w:p w:rsidR="00AC6DB0" w:rsidRPr="00AC6DB0" w:rsidRDefault="00AC6DB0" w:rsidP="004115EA">
      <w:pPr>
        <w:pStyle w:val="DeptOutNumbered"/>
        <w:widowControl w:val="0"/>
        <w:numPr>
          <w:ilvl w:val="0"/>
          <w:numId w:val="0"/>
        </w:numPr>
        <w:overflowPunct w:val="0"/>
        <w:autoSpaceDE w:val="0"/>
        <w:autoSpaceDN w:val="0"/>
        <w:adjustRightInd w:val="0"/>
        <w:spacing w:after="0"/>
        <w:textAlignment w:val="baseline"/>
        <w:rPr>
          <w:noProof/>
        </w:rPr>
      </w:pPr>
      <w:r w:rsidRPr="00AC6DB0">
        <w:rPr>
          <w:noProof/>
        </w:rPr>
        <w:t>Safeguarding Vulnerable Groups Act 2006</w:t>
      </w:r>
    </w:p>
    <w:sectPr w:rsidR="00AC6DB0" w:rsidRPr="00AC6DB0" w:rsidSect="006069A2">
      <w:footerReference w:type="even" r:id="rId8"/>
      <w:footerReference w:type="default" r:id="rId9"/>
      <w:pgSz w:w="11906" w:h="16838"/>
      <w:pgMar w:top="1440" w:right="1800" w:bottom="1440" w:left="1800" w:header="708" w:footer="708" w:gutter="0"/>
      <w:pgBorders w:display="firstPage" w:offsetFrom="page">
        <w:top w:val="single" w:sz="48" w:space="24" w:color="104F75"/>
        <w:left w:val="single" w:sz="48" w:space="24" w:color="104F75"/>
        <w:bottom w:val="single" w:sz="48" w:space="24" w:color="104F75"/>
        <w:right w:val="single" w:sz="48" w:space="24" w:color="104F75"/>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983" w:rsidRDefault="00DB5983">
      <w:r>
        <w:separator/>
      </w:r>
    </w:p>
  </w:endnote>
  <w:endnote w:type="continuationSeparator" w:id="0">
    <w:p w:rsidR="00DB5983" w:rsidRDefault="00DB59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DD" w:rsidRDefault="00323CDD" w:rsidP="00904F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323CDD" w:rsidRDefault="00323CDD" w:rsidP="005531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CDD" w:rsidRDefault="00323CDD" w:rsidP="00904F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14BE">
      <w:rPr>
        <w:rStyle w:val="PageNumber"/>
        <w:noProof/>
      </w:rPr>
      <w:t>2</w:t>
    </w:r>
    <w:r>
      <w:rPr>
        <w:rStyle w:val="PageNumber"/>
      </w:rPr>
      <w:fldChar w:fldCharType="end"/>
    </w:r>
  </w:p>
  <w:p w:rsidR="00323CDD" w:rsidRDefault="00323CDD" w:rsidP="005531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983" w:rsidRDefault="00DB5983">
      <w:r>
        <w:separator/>
      </w:r>
    </w:p>
  </w:footnote>
  <w:footnote w:type="continuationSeparator" w:id="0">
    <w:p w:rsidR="00DB5983" w:rsidRDefault="00DB5983">
      <w:r>
        <w:continuationSeparator/>
      </w:r>
    </w:p>
  </w:footnote>
  <w:footnote w:id="1">
    <w:p w:rsidR="00323CDD" w:rsidRPr="001B1FC5" w:rsidRDefault="00323CDD" w:rsidP="00D97C9C">
      <w:pPr>
        <w:pStyle w:val="Footer"/>
        <w:rPr>
          <w:sz w:val="20"/>
        </w:rPr>
      </w:pPr>
      <w:r w:rsidRPr="001B1FC5">
        <w:rPr>
          <w:rStyle w:val="FootnoteReference"/>
          <w:sz w:val="20"/>
        </w:rPr>
        <w:footnoteRef/>
      </w:r>
      <w:r w:rsidRPr="001B1FC5">
        <w:rPr>
          <w:sz w:val="20"/>
        </w:rPr>
        <w:t xml:space="preserve"> </w:t>
      </w:r>
      <w:r w:rsidRPr="001B1FC5">
        <w:rPr>
          <w:sz w:val="20"/>
        </w:rPr>
        <w:tab/>
      </w:r>
      <w:r w:rsidRPr="00934EE2">
        <w:rPr>
          <w:rFonts w:cs="Arial"/>
          <w:sz w:val="20"/>
        </w:rPr>
        <w:t>Where the full inspection of safeguarding and looked after children services has not taken place, inspectors will consider the evidence of the joint area review where it took place after 1 April 2007 (joint area review blocks 12 to 21).</w:t>
      </w:r>
    </w:p>
  </w:footnote>
  <w:footnote w:id="2">
    <w:p w:rsidR="00323CDD" w:rsidRPr="00292EBD" w:rsidRDefault="00323CDD">
      <w:pPr>
        <w:pStyle w:val="FootnoteText"/>
      </w:pPr>
      <w:r>
        <w:rPr>
          <w:rStyle w:val="FootnoteReference"/>
        </w:rPr>
        <w:footnoteRef/>
      </w:r>
      <w:r>
        <w:t xml:space="preserve"> </w:t>
      </w:r>
      <w:hyperlink r:id="rId1" w:history="1">
        <w:r w:rsidRPr="00C14CBA">
          <w:rPr>
            <w:rStyle w:val="Hyperlink"/>
          </w:rPr>
          <w:t>http://www.ofsted.gov.uk/resources/new-inspection-arrangements-for-inspection-of-local-authority-childrens-services-letter-sent-all-dir</w:t>
        </w:r>
      </w:hyperlink>
      <w:r>
        <w:t xml:space="preserve"> </w:t>
      </w:r>
    </w:p>
  </w:footnote>
  <w:footnote w:id="3">
    <w:p w:rsidR="00323CDD" w:rsidRDefault="00323CDD">
      <w:pPr>
        <w:pStyle w:val="FootnoteText"/>
      </w:pPr>
      <w:r>
        <w:rPr>
          <w:rStyle w:val="FootnoteReference"/>
        </w:rPr>
        <w:footnoteRef/>
      </w:r>
      <w:r>
        <w:t xml:space="preserve"> Following consideration by the House of Lords Delegated Powers and Regulatory Reform Committee and the House of </w:t>
      </w:r>
      <w:r w:rsidR="00147563">
        <w:t>Commons</w:t>
      </w:r>
      <w:r>
        <w:t xml:space="preserve"> Regulatory Reform Committee, this LRO was upgraded from negative to affirmative resolution procedure.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E79"/>
    <w:multiLevelType w:val="multilevel"/>
    <w:tmpl w:val="36F8507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104F75"/>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813943"/>
    <w:multiLevelType w:val="hybridMultilevel"/>
    <w:tmpl w:val="17822B78"/>
    <w:lvl w:ilvl="0" w:tplc="2990C406">
      <w:start w:val="1"/>
      <w:numFmt w:val="bullet"/>
      <w:lvlText w:val=""/>
      <w:lvlJc w:val="left"/>
      <w:pPr>
        <w:tabs>
          <w:tab w:val="num" w:pos="1440"/>
        </w:tabs>
        <w:ind w:left="1800" w:hanging="108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0FF4A0F"/>
    <w:multiLevelType w:val="multilevel"/>
    <w:tmpl w:val="8C8A0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294EC3"/>
    <w:multiLevelType w:val="hybridMultilevel"/>
    <w:tmpl w:val="EDCAFB3A"/>
    <w:lvl w:ilvl="0" w:tplc="97FAD4E4">
      <w:start w:val="1"/>
      <w:numFmt w:val="bullet"/>
      <w:lvlRestart w:val="0"/>
      <w:lvlText w:val=""/>
      <w:lvlJc w:val="left"/>
      <w:pPr>
        <w:tabs>
          <w:tab w:val="num" w:pos="1440"/>
        </w:tabs>
        <w:ind w:left="1440" w:hanging="360"/>
      </w:pPr>
      <w:rPr>
        <w:rFonts w:ascii="Symbol" w:hAnsi="Symbol" w:hint="default"/>
        <w:b/>
        <w:color w:val="104F75"/>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902208C"/>
    <w:multiLevelType w:val="multilevel"/>
    <w:tmpl w:val="8C8A0EE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nsid w:val="405532A9"/>
    <w:multiLevelType w:val="multilevel"/>
    <w:tmpl w:val="640CB2E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104F75"/>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4AF2297"/>
    <w:multiLevelType w:val="multilevel"/>
    <w:tmpl w:val="220EC6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104F75"/>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nsid w:val="4EE624EA"/>
    <w:multiLevelType w:val="multilevel"/>
    <w:tmpl w:val="8C8A0EE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5ADD2597"/>
    <w:multiLevelType w:val="multilevel"/>
    <w:tmpl w:val="DFD8EE7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104F75"/>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AEA0C64"/>
    <w:multiLevelType w:val="multilevel"/>
    <w:tmpl w:val="8C8A0EE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BAB4B96"/>
    <w:multiLevelType w:val="multilevel"/>
    <w:tmpl w:val="8C8A0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1022F09"/>
    <w:multiLevelType w:val="multilevel"/>
    <w:tmpl w:val="8C8A0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6"/>
  </w:num>
  <w:num w:numId="3">
    <w:abstractNumId w:val="16"/>
  </w:num>
  <w:num w:numId="4">
    <w:abstractNumId w:val="5"/>
  </w:num>
  <w:num w:numId="5">
    <w:abstractNumId w:val="11"/>
  </w:num>
  <w:num w:numId="6">
    <w:abstractNumId w:val="8"/>
  </w:num>
  <w:num w:numId="7">
    <w:abstractNumId w:val="7"/>
  </w:num>
  <w:num w:numId="8">
    <w:abstractNumId w:val="3"/>
  </w:num>
  <w:num w:numId="9">
    <w:abstractNumId w:val="0"/>
  </w:num>
  <w:num w:numId="10">
    <w:abstractNumId w:val="12"/>
  </w:num>
  <w:num w:numId="11">
    <w:abstractNumId w:val="10"/>
  </w:num>
  <w:num w:numId="12">
    <w:abstractNumId w:val="15"/>
  </w:num>
  <w:num w:numId="13">
    <w:abstractNumId w:val="14"/>
  </w:num>
  <w:num w:numId="14">
    <w:abstractNumId w:val="2"/>
  </w:num>
  <w:num w:numId="15">
    <w:abstractNumId w:val="13"/>
  </w:num>
  <w:num w:numId="16">
    <w:abstractNumId w:val="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500584"/>
    <w:rsid w:val="00000C56"/>
    <w:rsid w:val="000012C6"/>
    <w:rsid w:val="00002ACE"/>
    <w:rsid w:val="00004011"/>
    <w:rsid w:val="00011F78"/>
    <w:rsid w:val="000137AD"/>
    <w:rsid w:val="0001772F"/>
    <w:rsid w:val="00022DB6"/>
    <w:rsid w:val="0002356B"/>
    <w:rsid w:val="00024C7D"/>
    <w:rsid w:val="00025F94"/>
    <w:rsid w:val="00026AA7"/>
    <w:rsid w:val="00040008"/>
    <w:rsid w:val="00040CBA"/>
    <w:rsid w:val="00040FA3"/>
    <w:rsid w:val="00041864"/>
    <w:rsid w:val="00042374"/>
    <w:rsid w:val="000440E5"/>
    <w:rsid w:val="00047078"/>
    <w:rsid w:val="0004776A"/>
    <w:rsid w:val="00054F57"/>
    <w:rsid w:val="00055A2F"/>
    <w:rsid w:val="000570C5"/>
    <w:rsid w:val="00060F6F"/>
    <w:rsid w:val="00065B0E"/>
    <w:rsid w:val="00067366"/>
    <w:rsid w:val="00070115"/>
    <w:rsid w:val="000711E9"/>
    <w:rsid w:val="000753AA"/>
    <w:rsid w:val="000769F7"/>
    <w:rsid w:val="00077654"/>
    <w:rsid w:val="00082566"/>
    <w:rsid w:val="00082FF4"/>
    <w:rsid w:val="000833EF"/>
    <w:rsid w:val="00083CBC"/>
    <w:rsid w:val="000849C0"/>
    <w:rsid w:val="000911E5"/>
    <w:rsid w:val="00093DD8"/>
    <w:rsid w:val="00094621"/>
    <w:rsid w:val="00095B3B"/>
    <w:rsid w:val="000A0C1B"/>
    <w:rsid w:val="000A1AA5"/>
    <w:rsid w:val="000A49E3"/>
    <w:rsid w:val="000A4EA8"/>
    <w:rsid w:val="000A6C17"/>
    <w:rsid w:val="000B1468"/>
    <w:rsid w:val="000B7652"/>
    <w:rsid w:val="000B7D54"/>
    <w:rsid w:val="000C0593"/>
    <w:rsid w:val="000C1D9C"/>
    <w:rsid w:val="000C24F3"/>
    <w:rsid w:val="000C2595"/>
    <w:rsid w:val="000C4FDA"/>
    <w:rsid w:val="000C574A"/>
    <w:rsid w:val="000C5830"/>
    <w:rsid w:val="000C652C"/>
    <w:rsid w:val="000C662B"/>
    <w:rsid w:val="000D3A60"/>
    <w:rsid w:val="000D3C1F"/>
    <w:rsid w:val="000D573D"/>
    <w:rsid w:val="000E249C"/>
    <w:rsid w:val="000E2627"/>
    <w:rsid w:val="000E7F29"/>
    <w:rsid w:val="000F0B71"/>
    <w:rsid w:val="000F3CCB"/>
    <w:rsid w:val="000F4E59"/>
    <w:rsid w:val="001029EE"/>
    <w:rsid w:val="001036E1"/>
    <w:rsid w:val="001039A7"/>
    <w:rsid w:val="001056B7"/>
    <w:rsid w:val="00116F59"/>
    <w:rsid w:val="0012024C"/>
    <w:rsid w:val="0012295D"/>
    <w:rsid w:val="00122B24"/>
    <w:rsid w:val="0012408D"/>
    <w:rsid w:val="0012515B"/>
    <w:rsid w:val="001274BE"/>
    <w:rsid w:val="00127BD9"/>
    <w:rsid w:val="0013085A"/>
    <w:rsid w:val="00131B9B"/>
    <w:rsid w:val="001362FD"/>
    <w:rsid w:val="001364E2"/>
    <w:rsid w:val="001366BB"/>
    <w:rsid w:val="001372F2"/>
    <w:rsid w:val="00137C0F"/>
    <w:rsid w:val="00145C50"/>
    <w:rsid w:val="00147563"/>
    <w:rsid w:val="00153F85"/>
    <w:rsid w:val="00157A56"/>
    <w:rsid w:val="00165242"/>
    <w:rsid w:val="0017010B"/>
    <w:rsid w:val="00170967"/>
    <w:rsid w:val="001712F2"/>
    <w:rsid w:val="00175537"/>
    <w:rsid w:val="001802C4"/>
    <w:rsid w:val="00180A06"/>
    <w:rsid w:val="0018217E"/>
    <w:rsid w:val="00182783"/>
    <w:rsid w:val="0018411A"/>
    <w:rsid w:val="00185A65"/>
    <w:rsid w:val="00194589"/>
    <w:rsid w:val="00194D37"/>
    <w:rsid w:val="00195F8E"/>
    <w:rsid w:val="001973F4"/>
    <w:rsid w:val="001A14DC"/>
    <w:rsid w:val="001A17D6"/>
    <w:rsid w:val="001A33F9"/>
    <w:rsid w:val="001A54FA"/>
    <w:rsid w:val="001A7021"/>
    <w:rsid w:val="001B05C8"/>
    <w:rsid w:val="001B6DF9"/>
    <w:rsid w:val="001C089F"/>
    <w:rsid w:val="001C2F7F"/>
    <w:rsid w:val="001D6B13"/>
    <w:rsid w:val="001D7FB3"/>
    <w:rsid w:val="001E0F77"/>
    <w:rsid w:val="001E2D41"/>
    <w:rsid w:val="001F19A6"/>
    <w:rsid w:val="001F54E5"/>
    <w:rsid w:val="001F55A0"/>
    <w:rsid w:val="001F61E8"/>
    <w:rsid w:val="002009C2"/>
    <w:rsid w:val="002013D1"/>
    <w:rsid w:val="00211970"/>
    <w:rsid w:val="00211C37"/>
    <w:rsid w:val="002123B2"/>
    <w:rsid w:val="00212D24"/>
    <w:rsid w:val="002163A1"/>
    <w:rsid w:val="00217581"/>
    <w:rsid w:val="002239C4"/>
    <w:rsid w:val="002254D5"/>
    <w:rsid w:val="00225A0C"/>
    <w:rsid w:val="00230DDC"/>
    <w:rsid w:val="00231637"/>
    <w:rsid w:val="002335B0"/>
    <w:rsid w:val="002338A1"/>
    <w:rsid w:val="002345A2"/>
    <w:rsid w:val="00235486"/>
    <w:rsid w:val="00246E2C"/>
    <w:rsid w:val="00252E00"/>
    <w:rsid w:val="00260A3C"/>
    <w:rsid w:val="002626CD"/>
    <w:rsid w:val="002632B8"/>
    <w:rsid w:val="002678D3"/>
    <w:rsid w:val="002700C8"/>
    <w:rsid w:val="00271338"/>
    <w:rsid w:val="002743F6"/>
    <w:rsid w:val="0027611C"/>
    <w:rsid w:val="00277154"/>
    <w:rsid w:val="00282135"/>
    <w:rsid w:val="00282EA4"/>
    <w:rsid w:val="002840D0"/>
    <w:rsid w:val="0028708F"/>
    <w:rsid w:val="00292EBD"/>
    <w:rsid w:val="00294D9D"/>
    <w:rsid w:val="00295EFC"/>
    <w:rsid w:val="002A3F94"/>
    <w:rsid w:val="002A47CB"/>
    <w:rsid w:val="002A58EC"/>
    <w:rsid w:val="002A685D"/>
    <w:rsid w:val="002B0E45"/>
    <w:rsid w:val="002B1817"/>
    <w:rsid w:val="002B3DE9"/>
    <w:rsid w:val="002B651E"/>
    <w:rsid w:val="002C094C"/>
    <w:rsid w:val="002C23F1"/>
    <w:rsid w:val="002C30E3"/>
    <w:rsid w:val="002C4A92"/>
    <w:rsid w:val="002D2A7A"/>
    <w:rsid w:val="002D4E7D"/>
    <w:rsid w:val="002E202F"/>
    <w:rsid w:val="002E28FA"/>
    <w:rsid w:val="002E6C52"/>
    <w:rsid w:val="002F350A"/>
    <w:rsid w:val="002F3FE1"/>
    <w:rsid w:val="002F5CF1"/>
    <w:rsid w:val="00300DF8"/>
    <w:rsid w:val="00302653"/>
    <w:rsid w:val="003053B0"/>
    <w:rsid w:val="00307658"/>
    <w:rsid w:val="00310708"/>
    <w:rsid w:val="003107CB"/>
    <w:rsid w:val="00311D5F"/>
    <w:rsid w:val="00312BD3"/>
    <w:rsid w:val="00315427"/>
    <w:rsid w:val="003159E9"/>
    <w:rsid w:val="00317F32"/>
    <w:rsid w:val="00323218"/>
    <w:rsid w:val="003233CE"/>
    <w:rsid w:val="00323CDD"/>
    <w:rsid w:val="00330E9F"/>
    <w:rsid w:val="00331502"/>
    <w:rsid w:val="00332174"/>
    <w:rsid w:val="0033235E"/>
    <w:rsid w:val="00334692"/>
    <w:rsid w:val="00337117"/>
    <w:rsid w:val="003402FF"/>
    <w:rsid w:val="00341BA4"/>
    <w:rsid w:val="003450D4"/>
    <w:rsid w:val="0034651C"/>
    <w:rsid w:val="00346E64"/>
    <w:rsid w:val="00347A3B"/>
    <w:rsid w:val="00351EEF"/>
    <w:rsid w:val="0035353F"/>
    <w:rsid w:val="0036349A"/>
    <w:rsid w:val="003634C9"/>
    <w:rsid w:val="003640D0"/>
    <w:rsid w:val="003641B2"/>
    <w:rsid w:val="00367EEB"/>
    <w:rsid w:val="00370895"/>
    <w:rsid w:val="00370BD7"/>
    <w:rsid w:val="00376641"/>
    <w:rsid w:val="003805EA"/>
    <w:rsid w:val="0038420C"/>
    <w:rsid w:val="00384496"/>
    <w:rsid w:val="00387025"/>
    <w:rsid w:val="00387F83"/>
    <w:rsid w:val="00390078"/>
    <w:rsid w:val="00390B8A"/>
    <w:rsid w:val="00392AE9"/>
    <w:rsid w:val="00392C83"/>
    <w:rsid w:val="003937CF"/>
    <w:rsid w:val="003962EE"/>
    <w:rsid w:val="0039723C"/>
    <w:rsid w:val="00397FE6"/>
    <w:rsid w:val="003A6F05"/>
    <w:rsid w:val="003A7C64"/>
    <w:rsid w:val="003B0B94"/>
    <w:rsid w:val="003B0D28"/>
    <w:rsid w:val="003B2CAB"/>
    <w:rsid w:val="003B3DFD"/>
    <w:rsid w:val="003B5BBB"/>
    <w:rsid w:val="003B6A81"/>
    <w:rsid w:val="003B71C2"/>
    <w:rsid w:val="003C319D"/>
    <w:rsid w:val="003C3383"/>
    <w:rsid w:val="003C36E3"/>
    <w:rsid w:val="003D0F33"/>
    <w:rsid w:val="003D1915"/>
    <w:rsid w:val="003D3A73"/>
    <w:rsid w:val="003D3B81"/>
    <w:rsid w:val="003D5424"/>
    <w:rsid w:val="003D5B6A"/>
    <w:rsid w:val="003D6D5B"/>
    <w:rsid w:val="003D74A2"/>
    <w:rsid w:val="003D7A13"/>
    <w:rsid w:val="003E1B86"/>
    <w:rsid w:val="003E6CD5"/>
    <w:rsid w:val="003E7DDB"/>
    <w:rsid w:val="003F0165"/>
    <w:rsid w:val="003F0EB4"/>
    <w:rsid w:val="003F2DBD"/>
    <w:rsid w:val="003F3987"/>
    <w:rsid w:val="003F51B6"/>
    <w:rsid w:val="003F7974"/>
    <w:rsid w:val="00400195"/>
    <w:rsid w:val="00402829"/>
    <w:rsid w:val="00404008"/>
    <w:rsid w:val="004050DA"/>
    <w:rsid w:val="00405876"/>
    <w:rsid w:val="00405EEF"/>
    <w:rsid w:val="00406AE6"/>
    <w:rsid w:val="004115EA"/>
    <w:rsid w:val="0041168A"/>
    <w:rsid w:val="004146C1"/>
    <w:rsid w:val="004151BE"/>
    <w:rsid w:val="0041573A"/>
    <w:rsid w:val="00416868"/>
    <w:rsid w:val="00425990"/>
    <w:rsid w:val="004278DE"/>
    <w:rsid w:val="00430DC5"/>
    <w:rsid w:val="0043232F"/>
    <w:rsid w:val="00432AF7"/>
    <w:rsid w:val="0044012F"/>
    <w:rsid w:val="0044135A"/>
    <w:rsid w:val="00443355"/>
    <w:rsid w:val="00443C94"/>
    <w:rsid w:val="00444196"/>
    <w:rsid w:val="00444A92"/>
    <w:rsid w:val="004460C1"/>
    <w:rsid w:val="00446E93"/>
    <w:rsid w:val="00450D89"/>
    <w:rsid w:val="00452F6B"/>
    <w:rsid w:val="004533A7"/>
    <w:rsid w:val="00456FDD"/>
    <w:rsid w:val="00460067"/>
    <w:rsid w:val="00460505"/>
    <w:rsid w:val="00461C20"/>
    <w:rsid w:val="00461FDB"/>
    <w:rsid w:val="00463122"/>
    <w:rsid w:val="0046412D"/>
    <w:rsid w:val="00464B96"/>
    <w:rsid w:val="004776D0"/>
    <w:rsid w:val="004779AB"/>
    <w:rsid w:val="00480E77"/>
    <w:rsid w:val="00482AB1"/>
    <w:rsid w:val="004839BD"/>
    <w:rsid w:val="00484C39"/>
    <w:rsid w:val="00487377"/>
    <w:rsid w:val="0049161C"/>
    <w:rsid w:val="00493272"/>
    <w:rsid w:val="004955D9"/>
    <w:rsid w:val="004976A0"/>
    <w:rsid w:val="004A2138"/>
    <w:rsid w:val="004A5A22"/>
    <w:rsid w:val="004A5FC1"/>
    <w:rsid w:val="004B4611"/>
    <w:rsid w:val="004B5130"/>
    <w:rsid w:val="004B5B3A"/>
    <w:rsid w:val="004C1353"/>
    <w:rsid w:val="004C2032"/>
    <w:rsid w:val="004C43A6"/>
    <w:rsid w:val="004C798A"/>
    <w:rsid w:val="004D1A77"/>
    <w:rsid w:val="004D694D"/>
    <w:rsid w:val="004E250F"/>
    <w:rsid w:val="004E4745"/>
    <w:rsid w:val="004E633C"/>
    <w:rsid w:val="004F16DD"/>
    <w:rsid w:val="004F2BD0"/>
    <w:rsid w:val="004F33CD"/>
    <w:rsid w:val="004F5D53"/>
    <w:rsid w:val="004F7875"/>
    <w:rsid w:val="004F7D7A"/>
    <w:rsid w:val="00500584"/>
    <w:rsid w:val="00511CA5"/>
    <w:rsid w:val="00512BA3"/>
    <w:rsid w:val="005150CE"/>
    <w:rsid w:val="00516566"/>
    <w:rsid w:val="005166B3"/>
    <w:rsid w:val="005172AA"/>
    <w:rsid w:val="0052331E"/>
    <w:rsid w:val="0052361E"/>
    <w:rsid w:val="00525229"/>
    <w:rsid w:val="00525C91"/>
    <w:rsid w:val="00526545"/>
    <w:rsid w:val="00527C77"/>
    <w:rsid w:val="005302AD"/>
    <w:rsid w:val="00530814"/>
    <w:rsid w:val="00532293"/>
    <w:rsid w:val="005356D8"/>
    <w:rsid w:val="00535F71"/>
    <w:rsid w:val="005401EA"/>
    <w:rsid w:val="0054405B"/>
    <w:rsid w:val="00545301"/>
    <w:rsid w:val="00546105"/>
    <w:rsid w:val="00546DF0"/>
    <w:rsid w:val="005505B9"/>
    <w:rsid w:val="00553141"/>
    <w:rsid w:val="00553564"/>
    <w:rsid w:val="00565333"/>
    <w:rsid w:val="0056590B"/>
    <w:rsid w:val="00565C6E"/>
    <w:rsid w:val="005677F1"/>
    <w:rsid w:val="0057320E"/>
    <w:rsid w:val="0057459B"/>
    <w:rsid w:val="005772A0"/>
    <w:rsid w:val="00582005"/>
    <w:rsid w:val="00583BE8"/>
    <w:rsid w:val="00583D57"/>
    <w:rsid w:val="00584E09"/>
    <w:rsid w:val="00587580"/>
    <w:rsid w:val="00591B39"/>
    <w:rsid w:val="00597899"/>
    <w:rsid w:val="005A7530"/>
    <w:rsid w:val="005B1CC3"/>
    <w:rsid w:val="005B5A07"/>
    <w:rsid w:val="005C1372"/>
    <w:rsid w:val="005C28C5"/>
    <w:rsid w:val="005C3F33"/>
    <w:rsid w:val="005C4668"/>
    <w:rsid w:val="005C6808"/>
    <w:rsid w:val="005D1091"/>
    <w:rsid w:val="005D53DC"/>
    <w:rsid w:val="005E1B05"/>
    <w:rsid w:val="005E2347"/>
    <w:rsid w:val="005E4D58"/>
    <w:rsid w:val="005E587D"/>
    <w:rsid w:val="005E5B31"/>
    <w:rsid w:val="005E740C"/>
    <w:rsid w:val="005F002F"/>
    <w:rsid w:val="005F116D"/>
    <w:rsid w:val="005F2AF8"/>
    <w:rsid w:val="005F523E"/>
    <w:rsid w:val="005F5D08"/>
    <w:rsid w:val="00601CCA"/>
    <w:rsid w:val="0060578D"/>
    <w:rsid w:val="00605A09"/>
    <w:rsid w:val="006069A2"/>
    <w:rsid w:val="00607A4B"/>
    <w:rsid w:val="00607CBD"/>
    <w:rsid w:val="00611B3E"/>
    <w:rsid w:val="006128A2"/>
    <w:rsid w:val="006152C0"/>
    <w:rsid w:val="0061683B"/>
    <w:rsid w:val="00624358"/>
    <w:rsid w:val="006250E5"/>
    <w:rsid w:val="0062704E"/>
    <w:rsid w:val="00634682"/>
    <w:rsid w:val="0063507E"/>
    <w:rsid w:val="006363E9"/>
    <w:rsid w:val="006442AF"/>
    <w:rsid w:val="00647939"/>
    <w:rsid w:val="00654E3E"/>
    <w:rsid w:val="006561BA"/>
    <w:rsid w:val="00656CEB"/>
    <w:rsid w:val="00660E0F"/>
    <w:rsid w:val="00661D1D"/>
    <w:rsid w:val="00662FC3"/>
    <w:rsid w:val="00663601"/>
    <w:rsid w:val="00664227"/>
    <w:rsid w:val="0066466D"/>
    <w:rsid w:val="0066494E"/>
    <w:rsid w:val="00665318"/>
    <w:rsid w:val="0066692F"/>
    <w:rsid w:val="0066797B"/>
    <w:rsid w:val="0067334D"/>
    <w:rsid w:val="006819ED"/>
    <w:rsid w:val="006858D6"/>
    <w:rsid w:val="00687908"/>
    <w:rsid w:val="00692734"/>
    <w:rsid w:val="00694069"/>
    <w:rsid w:val="00696A0C"/>
    <w:rsid w:val="00697AE3"/>
    <w:rsid w:val="006A0189"/>
    <w:rsid w:val="006A1127"/>
    <w:rsid w:val="006A1E5F"/>
    <w:rsid w:val="006A2F72"/>
    <w:rsid w:val="006A669B"/>
    <w:rsid w:val="006B49C7"/>
    <w:rsid w:val="006B531B"/>
    <w:rsid w:val="006B5ED7"/>
    <w:rsid w:val="006B6FA2"/>
    <w:rsid w:val="006B72F7"/>
    <w:rsid w:val="006C3CB9"/>
    <w:rsid w:val="006C7E79"/>
    <w:rsid w:val="006D39AC"/>
    <w:rsid w:val="006D3BAA"/>
    <w:rsid w:val="006D3EBD"/>
    <w:rsid w:val="006D4DC5"/>
    <w:rsid w:val="006D6120"/>
    <w:rsid w:val="006E0A1A"/>
    <w:rsid w:val="006E0E03"/>
    <w:rsid w:val="006E112C"/>
    <w:rsid w:val="006E1928"/>
    <w:rsid w:val="006E3F06"/>
    <w:rsid w:val="006E50E4"/>
    <w:rsid w:val="006E6374"/>
    <w:rsid w:val="006E6F0B"/>
    <w:rsid w:val="006F0B58"/>
    <w:rsid w:val="006F0B6D"/>
    <w:rsid w:val="006F19CC"/>
    <w:rsid w:val="00701EE4"/>
    <w:rsid w:val="00702F65"/>
    <w:rsid w:val="00705792"/>
    <w:rsid w:val="007104E4"/>
    <w:rsid w:val="00712032"/>
    <w:rsid w:val="00713AA8"/>
    <w:rsid w:val="0071491E"/>
    <w:rsid w:val="007172AA"/>
    <w:rsid w:val="007219F3"/>
    <w:rsid w:val="007251F5"/>
    <w:rsid w:val="00725260"/>
    <w:rsid w:val="00734254"/>
    <w:rsid w:val="007401CA"/>
    <w:rsid w:val="007442BB"/>
    <w:rsid w:val="00745EC1"/>
    <w:rsid w:val="007461B8"/>
    <w:rsid w:val="00746846"/>
    <w:rsid w:val="007510C3"/>
    <w:rsid w:val="00751206"/>
    <w:rsid w:val="0075187B"/>
    <w:rsid w:val="00754F5A"/>
    <w:rsid w:val="00763B9F"/>
    <w:rsid w:val="0076458E"/>
    <w:rsid w:val="00774441"/>
    <w:rsid w:val="00777CA2"/>
    <w:rsid w:val="00777FE3"/>
    <w:rsid w:val="0078245B"/>
    <w:rsid w:val="007854A4"/>
    <w:rsid w:val="00786505"/>
    <w:rsid w:val="007940AE"/>
    <w:rsid w:val="007945C8"/>
    <w:rsid w:val="007945E8"/>
    <w:rsid w:val="00794B6D"/>
    <w:rsid w:val="00794D43"/>
    <w:rsid w:val="00795F5E"/>
    <w:rsid w:val="007963A3"/>
    <w:rsid w:val="0079663A"/>
    <w:rsid w:val="007A10F9"/>
    <w:rsid w:val="007A3343"/>
    <w:rsid w:val="007A4C02"/>
    <w:rsid w:val="007A5F0B"/>
    <w:rsid w:val="007B029C"/>
    <w:rsid w:val="007B02E8"/>
    <w:rsid w:val="007B49CD"/>
    <w:rsid w:val="007B5206"/>
    <w:rsid w:val="007B5A46"/>
    <w:rsid w:val="007D0DBA"/>
    <w:rsid w:val="007D4DB0"/>
    <w:rsid w:val="007E1CBF"/>
    <w:rsid w:val="007E604C"/>
    <w:rsid w:val="007E6549"/>
    <w:rsid w:val="007F073B"/>
    <w:rsid w:val="007F1679"/>
    <w:rsid w:val="007F221E"/>
    <w:rsid w:val="007F4358"/>
    <w:rsid w:val="007F5AF4"/>
    <w:rsid w:val="00800766"/>
    <w:rsid w:val="00802345"/>
    <w:rsid w:val="00804787"/>
    <w:rsid w:val="00805C72"/>
    <w:rsid w:val="00807BCB"/>
    <w:rsid w:val="008201D4"/>
    <w:rsid w:val="00820CBC"/>
    <w:rsid w:val="00820D29"/>
    <w:rsid w:val="00820EEF"/>
    <w:rsid w:val="00821128"/>
    <w:rsid w:val="00821174"/>
    <w:rsid w:val="008233EF"/>
    <w:rsid w:val="008234BF"/>
    <w:rsid w:val="00825975"/>
    <w:rsid w:val="00831225"/>
    <w:rsid w:val="00831466"/>
    <w:rsid w:val="0083183A"/>
    <w:rsid w:val="00833D1D"/>
    <w:rsid w:val="00834750"/>
    <w:rsid w:val="00836074"/>
    <w:rsid w:val="00836391"/>
    <w:rsid w:val="00841F2B"/>
    <w:rsid w:val="008428AB"/>
    <w:rsid w:val="00844333"/>
    <w:rsid w:val="00847587"/>
    <w:rsid w:val="00852B26"/>
    <w:rsid w:val="00853266"/>
    <w:rsid w:val="0086077D"/>
    <w:rsid w:val="00863664"/>
    <w:rsid w:val="00863D3E"/>
    <w:rsid w:val="00864C39"/>
    <w:rsid w:val="0086662D"/>
    <w:rsid w:val="008704C4"/>
    <w:rsid w:val="00871B94"/>
    <w:rsid w:val="00874A97"/>
    <w:rsid w:val="008757DC"/>
    <w:rsid w:val="00877AE5"/>
    <w:rsid w:val="00877CB2"/>
    <w:rsid w:val="008802C6"/>
    <w:rsid w:val="0088124A"/>
    <w:rsid w:val="008813BB"/>
    <w:rsid w:val="0088151C"/>
    <w:rsid w:val="008817AB"/>
    <w:rsid w:val="008832BA"/>
    <w:rsid w:val="008843A4"/>
    <w:rsid w:val="008863DD"/>
    <w:rsid w:val="0089219B"/>
    <w:rsid w:val="0089603A"/>
    <w:rsid w:val="00896704"/>
    <w:rsid w:val="008A3342"/>
    <w:rsid w:val="008A4C44"/>
    <w:rsid w:val="008A4D90"/>
    <w:rsid w:val="008A556E"/>
    <w:rsid w:val="008A5CC2"/>
    <w:rsid w:val="008A6D49"/>
    <w:rsid w:val="008A7D21"/>
    <w:rsid w:val="008B1C49"/>
    <w:rsid w:val="008B282E"/>
    <w:rsid w:val="008B32C3"/>
    <w:rsid w:val="008B36CE"/>
    <w:rsid w:val="008B4950"/>
    <w:rsid w:val="008B5730"/>
    <w:rsid w:val="008B6485"/>
    <w:rsid w:val="008B67CC"/>
    <w:rsid w:val="008C6872"/>
    <w:rsid w:val="008D1228"/>
    <w:rsid w:val="008D23F9"/>
    <w:rsid w:val="008D2AC5"/>
    <w:rsid w:val="008D3B1F"/>
    <w:rsid w:val="008D7022"/>
    <w:rsid w:val="008E3ACF"/>
    <w:rsid w:val="008E3BDA"/>
    <w:rsid w:val="008E5BC6"/>
    <w:rsid w:val="008F08A4"/>
    <w:rsid w:val="008F132B"/>
    <w:rsid w:val="008F40FE"/>
    <w:rsid w:val="008F452F"/>
    <w:rsid w:val="008F4CF6"/>
    <w:rsid w:val="008F5896"/>
    <w:rsid w:val="00900D0F"/>
    <w:rsid w:val="00904F2A"/>
    <w:rsid w:val="00905ADC"/>
    <w:rsid w:val="00906C33"/>
    <w:rsid w:val="009071A3"/>
    <w:rsid w:val="00911DC6"/>
    <w:rsid w:val="0091340A"/>
    <w:rsid w:val="00913B90"/>
    <w:rsid w:val="00916096"/>
    <w:rsid w:val="009173AF"/>
    <w:rsid w:val="009256C6"/>
    <w:rsid w:val="00932946"/>
    <w:rsid w:val="00936BD6"/>
    <w:rsid w:val="009426CB"/>
    <w:rsid w:val="00942DED"/>
    <w:rsid w:val="0094554D"/>
    <w:rsid w:val="0094770A"/>
    <w:rsid w:val="009512B3"/>
    <w:rsid w:val="009515A2"/>
    <w:rsid w:val="00953097"/>
    <w:rsid w:val="00954FE7"/>
    <w:rsid w:val="00955204"/>
    <w:rsid w:val="00957082"/>
    <w:rsid w:val="009574E6"/>
    <w:rsid w:val="0095777F"/>
    <w:rsid w:val="00960C23"/>
    <w:rsid w:val="00963073"/>
    <w:rsid w:val="00967C38"/>
    <w:rsid w:val="00971D6E"/>
    <w:rsid w:val="00971E7A"/>
    <w:rsid w:val="00972C63"/>
    <w:rsid w:val="00972DF7"/>
    <w:rsid w:val="0097315A"/>
    <w:rsid w:val="0097765C"/>
    <w:rsid w:val="009776A7"/>
    <w:rsid w:val="0098085B"/>
    <w:rsid w:val="009808E7"/>
    <w:rsid w:val="00985BF4"/>
    <w:rsid w:val="0098741F"/>
    <w:rsid w:val="00990332"/>
    <w:rsid w:val="009919F2"/>
    <w:rsid w:val="0099455A"/>
    <w:rsid w:val="00995525"/>
    <w:rsid w:val="009A3F0A"/>
    <w:rsid w:val="009A41FE"/>
    <w:rsid w:val="009A6BF3"/>
    <w:rsid w:val="009A79FE"/>
    <w:rsid w:val="009B26C1"/>
    <w:rsid w:val="009B3EFE"/>
    <w:rsid w:val="009B493A"/>
    <w:rsid w:val="009B5ABC"/>
    <w:rsid w:val="009B6DD5"/>
    <w:rsid w:val="009B718B"/>
    <w:rsid w:val="009C1899"/>
    <w:rsid w:val="009C20CA"/>
    <w:rsid w:val="009C27CF"/>
    <w:rsid w:val="009C34B2"/>
    <w:rsid w:val="009C4DB0"/>
    <w:rsid w:val="009D0470"/>
    <w:rsid w:val="009D24DB"/>
    <w:rsid w:val="009D3D73"/>
    <w:rsid w:val="009D5326"/>
    <w:rsid w:val="009D740A"/>
    <w:rsid w:val="009E0556"/>
    <w:rsid w:val="009E0AF8"/>
    <w:rsid w:val="009E48FA"/>
    <w:rsid w:val="009E54BC"/>
    <w:rsid w:val="009E73AD"/>
    <w:rsid w:val="009F04B0"/>
    <w:rsid w:val="009F0A87"/>
    <w:rsid w:val="009F0E66"/>
    <w:rsid w:val="009F3C0E"/>
    <w:rsid w:val="009F5357"/>
    <w:rsid w:val="009F6330"/>
    <w:rsid w:val="009F7118"/>
    <w:rsid w:val="009F7653"/>
    <w:rsid w:val="009F7D51"/>
    <w:rsid w:val="00A00569"/>
    <w:rsid w:val="00A00F3F"/>
    <w:rsid w:val="00A04641"/>
    <w:rsid w:val="00A1178C"/>
    <w:rsid w:val="00A1183B"/>
    <w:rsid w:val="00A16C26"/>
    <w:rsid w:val="00A2712A"/>
    <w:rsid w:val="00A31490"/>
    <w:rsid w:val="00A3209E"/>
    <w:rsid w:val="00A339A7"/>
    <w:rsid w:val="00A34A7F"/>
    <w:rsid w:val="00A351DD"/>
    <w:rsid w:val="00A35507"/>
    <w:rsid w:val="00A36044"/>
    <w:rsid w:val="00A366A9"/>
    <w:rsid w:val="00A3781E"/>
    <w:rsid w:val="00A40031"/>
    <w:rsid w:val="00A445D8"/>
    <w:rsid w:val="00A4494F"/>
    <w:rsid w:val="00A46912"/>
    <w:rsid w:val="00A47AE0"/>
    <w:rsid w:val="00A50564"/>
    <w:rsid w:val="00A51E58"/>
    <w:rsid w:val="00A53050"/>
    <w:rsid w:val="00A57ACD"/>
    <w:rsid w:val="00A57DF4"/>
    <w:rsid w:val="00A607A4"/>
    <w:rsid w:val="00A62FAB"/>
    <w:rsid w:val="00A64099"/>
    <w:rsid w:val="00A643E1"/>
    <w:rsid w:val="00A80109"/>
    <w:rsid w:val="00A80536"/>
    <w:rsid w:val="00A854F2"/>
    <w:rsid w:val="00A86497"/>
    <w:rsid w:val="00A86CB7"/>
    <w:rsid w:val="00A901AD"/>
    <w:rsid w:val="00A91209"/>
    <w:rsid w:val="00A91338"/>
    <w:rsid w:val="00A96425"/>
    <w:rsid w:val="00AA2C4B"/>
    <w:rsid w:val="00AA368F"/>
    <w:rsid w:val="00AA4B34"/>
    <w:rsid w:val="00AB0C54"/>
    <w:rsid w:val="00AB4893"/>
    <w:rsid w:val="00AB6016"/>
    <w:rsid w:val="00AB67AE"/>
    <w:rsid w:val="00AB68C8"/>
    <w:rsid w:val="00AC0068"/>
    <w:rsid w:val="00AC16D8"/>
    <w:rsid w:val="00AC2A37"/>
    <w:rsid w:val="00AC310B"/>
    <w:rsid w:val="00AC60AA"/>
    <w:rsid w:val="00AC6DB0"/>
    <w:rsid w:val="00AD0E50"/>
    <w:rsid w:val="00AD4FD3"/>
    <w:rsid w:val="00AD54CD"/>
    <w:rsid w:val="00AD632D"/>
    <w:rsid w:val="00AD6757"/>
    <w:rsid w:val="00AD7245"/>
    <w:rsid w:val="00AE1C8B"/>
    <w:rsid w:val="00AE3C68"/>
    <w:rsid w:val="00AE6397"/>
    <w:rsid w:val="00AF0554"/>
    <w:rsid w:val="00AF1E88"/>
    <w:rsid w:val="00AF2B82"/>
    <w:rsid w:val="00AF700E"/>
    <w:rsid w:val="00B006DF"/>
    <w:rsid w:val="00B0522A"/>
    <w:rsid w:val="00B052B9"/>
    <w:rsid w:val="00B05ECD"/>
    <w:rsid w:val="00B0612C"/>
    <w:rsid w:val="00B06172"/>
    <w:rsid w:val="00B1027B"/>
    <w:rsid w:val="00B1098F"/>
    <w:rsid w:val="00B12EA8"/>
    <w:rsid w:val="00B14102"/>
    <w:rsid w:val="00B14452"/>
    <w:rsid w:val="00B154B7"/>
    <w:rsid w:val="00B1626D"/>
    <w:rsid w:val="00B16A24"/>
    <w:rsid w:val="00B16A8C"/>
    <w:rsid w:val="00B20429"/>
    <w:rsid w:val="00B209AD"/>
    <w:rsid w:val="00B21C19"/>
    <w:rsid w:val="00B224B4"/>
    <w:rsid w:val="00B275C1"/>
    <w:rsid w:val="00B3107B"/>
    <w:rsid w:val="00B4239D"/>
    <w:rsid w:val="00B42F87"/>
    <w:rsid w:val="00B465F8"/>
    <w:rsid w:val="00B47DA9"/>
    <w:rsid w:val="00B512A7"/>
    <w:rsid w:val="00B5144F"/>
    <w:rsid w:val="00B56A93"/>
    <w:rsid w:val="00B57907"/>
    <w:rsid w:val="00B61A0C"/>
    <w:rsid w:val="00B6522B"/>
    <w:rsid w:val="00B65709"/>
    <w:rsid w:val="00B6746F"/>
    <w:rsid w:val="00B67DF2"/>
    <w:rsid w:val="00B71FAF"/>
    <w:rsid w:val="00B751E0"/>
    <w:rsid w:val="00B8448A"/>
    <w:rsid w:val="00B86E00"/>
    <w:rsid w:val="00B91737"/>
    <w:rsid w:val="00B921C3"/>
    <w:rsid w:val="00B939CC"/>
    <w:rsid w:val="00B93B0F"/>
    <w:rsid w:val="00B96507"/>
    <w:rsid w:val="00B97DB4"/>
    <w:rsid w:val="00BA092C"/>
    <w:rsid w:val="00BA5109"/>
    <w:rsid w:val="00BA5714"/>
    <w:rsid w:val="00BA6E45"/>
    <w:rsid w:val="00BB0CD3"/>
    <w:rsid w:val="00BB7E8F"/>
    <w:rsid w:val="00BC1375"/>
    <w:rsid w:val="00BC1956"/>
    <w:rsid w:val="00BC1983"/>
    <w:rsid w:val="00BC49C7"/>
    <w:rsid w:val="00BC547B"/>
    <w:rsid w:val="00BC6C18"/>
    <w:rsid w:val="00BD07B8"/>
    <w:rsid w:val="00BD09A3"/>
    <w:rsid w:val="00BD4444"/>
    <w:rsid w:val="00BD4B6C"/>
    <w:rsid w:val="00BD5812"/>
    <w:rsid w:val="00BE3313"/>
    <w:rsid w:val="00BE3789"/>
    <w:rsid w:val="00BE752A"/>
    <w:rsid w:val="00BF0394"/>
    <w:rsid w:val="00BF2D05"/>
    <w:rsid w:val="00BF4762"/>
    <w:rsid w:val="00C0496E"/>
    <w:rsid w:val="00C04B7B"/>
    <w:rsid w:val="00C06836"/>
    <w:rsid w:val="00C0704E"/>
    <w:rsid w:val="00C0763B"/>
    <w:rsid w:val="00C127E6"/>
    <w:rsid w:val="00C14400"/>
    <w:rsid w:val="00C1575D"/>
    <w:rsid w:val="00C17587"/>
    <w:rsid w:val="00C203C3"/>
    <w:rsid w:val="00C22B5E"/>
    <w:rsid w:val="00C24426"/>
    <w:rsid w:val="00C2620A"/>
    <w:rsid w:val="00C311E8"/>
    <w:rsid w:val="00C32DAC"/>
    <w:rsid w:val="00C343E8"/>
    <w:rsid w:val="00C36F46"/>
    <w:rsid w:val="00C37933"/>
    <w:rsid w:val="00C442CE"/>
    <w:rsid w:val="00C46FAB"/>
    <w:rsid w:val="00C47EEA"/>
    <w:rsid w:val="00C519D0"/>
    <w:rsid w:val="00C52437"/>
    <w:rsid w:val="00C529C6"/>
    <w:rsid w:val="00C55A96"/>
    <w:rsid w:val="00C579F0"/>
    <w:rsid w:val="00C6036D"/>
    <w:rsid w:val="00C60CDD"/>
    <w:rsid w:val="00C658F9"/>
    <w:rsid w:val="00C70ACB"/>
    <w:rsid w:val="00C77DE2"/>
    <w:rsid w:val="00C909BF"/>
    <w:rsid w:val="00C93D22"/>
    <w:rsid w:val="00CA0F18"/>
    <w:rsid w:val="00CA248D"/>
    <w:rsid w:val="00CA4760"/>
    <w:rsid w:val="00CA4A89"/>
    <w:rsid w:val="00CA4FEC"/>
    <w:rsid w:val="00CA60D7"/>
    <w:rsid w:val="00CA73DA"/>
    <w:rsid w:val="00CB193B"/>
    <w:rsid w:val="00CB4431"/>
    <w:rsid w:val="00CB49A8"/>
    <w:rsid w:val="00CB61AA"/>
    <w:rsid w:val="00CB6308"/>
    <w:rsid w:val="00CC16D2"/>
    <w:rsid w:val="00CC2910"/>
    <w:rsid w:val="00CC431E"/>
    <w:rsid w:val="00CD0A7B"/>
    <w:rsid w:val="00CD271D"/>
    <w:rsid w:val="00CD2B91"/>
    <w:rsid w:val="00CD3E7D"/>
    <w:rsid w:val="00CE084B"/>
    <w:rsid w:val="00CE2ACD"/>
    <w:rsid w:val="00CE6675"/>
    <w:rsid w:val="00D0239C"/>
    <w:rsid w:val="00D02D57"/>
    <w:rsid w:val="00D03AD6"/>
    <w:rsid w:val="00D05DBB"/>
    <w:rsid w:val="00D060E8"/>
    <w:rsid w:val="00D06587"/>
    <w:rsid w:val="00D069D7"/>
    <w:rsid w:val="00D06E04"/>
    <w:rsid w:val="00D10BDF"/>
    <w:rsid w:val="00D10D2B"/>
    <w:rsid w:val="00D118D6"/>
    <w:rsid w:val="00D20266"/>
    <w:rsid w:val="00D205D2"/>
    <w:rsid w:val="00D20C29"/>
    <w:rsid w:val="00D2427A"/>
    <w:rsid w:val="00D324EC"/>
    <w:rsid w:val="00D32F73"/>
    <w:rsid w:val="00D33842"/>
    <w:rsid w:val="00D42C35"/>
    <w:rsid w:val="00D448B1"/>
    <w:rsid w:val="00D44926"/>
    <w:rsid w:val="00D47915"/>
    <w:rsid w:val="00D54B67"/>
    <w:rsid w:val="00D5762B"/>
    <w:rsid w:val="00D63D23"/>
    <w:rsid w:val="00D658D4"/>
    <w:rsid w:val="00D65B81"/>
    <w:rsid w:val="00D65F52"/>
    <w:rsid w:val="00D66EA2"/>
    <w:rsid w:val="00D66F5A"/>
    <w:rsid w:val="00D679FA"/>
    <w:rsid w:val="00D714BE"/>
    <w:rsid w:val="00D77886"/>
    <w:rsid w:val="00D80D85"/>
    <w:rsid w:val="00D95F6D"/>
    <w:rsid w:val="00D97C9C"/>
    <w:rsid w:val="00DA2394"/>
    <w:rsid w:val="00DA24E4"/>
    <w:rsid w:val="00DA2CC3"/>
    <w:rsid w:val="00DA2DC2"/>
    <w:rsid w:val="00DA5AB1"/>
    <w:rsid w:val="00DA5B39"/>
    <w:rsid w:val="00DB30FC"/>
    <w:rsid w:val="00DB346C"/>
    <w:rsid w:val="00DB420D"/>
    <w:rsid w:val="00DB4B1B"/>
    <w:rsid w:val="00DB51DB"/>
    <w:rsid w:val="00DB5983"/>
    <w:rsid w:val="00DB5F04"/>
    <w:rsid w:val="00DB6EE1"/>
    <w:rsid w:val="00DC20C9"/>
    <w:rsid w:val="00DC308A"/>
    <w:rsid w:val="00DC350D"/>
    <w:rsid w:val="00DC3FA7"/>
    <w:rsid w:val="00DC4D02"/>
    <w:rsid w:val="00DC597B"/>
    <w:rsid w:val="00DD0463"/>
    <w:rsid w:val="00DD128D"/>
    <w:rsid w:val="00DD44C3"/>
    <w:rsid w:val="00DD6411"/>
    <w:rsid w:val="00DD7414"/>
    <w:rsid w:val="00DE2DF8"/>
    <w:rsid w:val="00DE54AD"/>
    <w:rsid w:val="00DE6D0F"/>
    <w:rsid w:val="00DF0EB3"/>
    <w:rsid w:val="00DF1493"/>
    <w:rsid w:val="00DF2455"/>
    <w:rsid w:val="00DF2ADE"/>
    <w:rsid w:val="00DF4B9E"/>
    <w:rsid w:val="00DF60FB"/>
    <w:rsid w:val="00E0081E"/>
    <w:rsid w:val="00E02094"/>
    <w:rsid w:val="00E05EBD"/>
    <w:rsid w:val="00E064C0"/>
    <w:rsid w:val="00E102AA"/>
    <w:rsid w:val="00E10F4C"/>
    <w:rsid w:val="00E15863"/>
    <w:rsid w:val="00E17A59"/>
    <w:rsid w:val="00E21461"/>
    <w:rsid w:val="00E21D1B"/>
    <w:rsid w:val="00E2419F"/>
    <w:rsid w:val="00E26BC8"/>
    <w:rsid w:val="00E30A49"/>
    <w:rsid w:val="00E33F51"/>
    <w:rsid w:val="00E34DF2"/>
    <w:rsid w:val="00E34F55"/>
    <w:rsid w:val="00E366D6"/>
    <w:rsid w:val="00E37B1E"/>
    <w:rsid w:val="00E40DEB"/>
    <w:rsid w:val="00E45303"/>
    <w:rsid w:val="00E46C3F"/>
    <w:rsid w:val="00E51349"/>
    <w:rsid w:val="00E5241B"/>
    <w:rsid w:val="00E52E8C"/>
    <w:rsid w:val="00E52EC0"/>
    <w:rsid w:val="00E55556"/>
    <w:rsid w:val="00E56BA9"/>
    <w:rsid w:val="00E56F12"/>
    <w:rsid w:val="00E6117D"/>
    <w:rsid w:val="00E62053"/>
    <w:rsid w:val="00E63D8B"/>
    <w:rsid w:val="00E65717"/>
    <w:rsid w:val="00E67A86"/>
    <w:rsid w:val="00E700DD"/>
    <w:rsid w:val="00E752D7"/>
    <w:rsid w:val="00E75A47"/>
    <w:rsid w:val="00E76C48"/>
    <w:rsid w:val="00E81F4B"/>
    <w:rsid w:val="00E84AAE"/>
    <w:rsid w:val="00E909A9"/>
    <w:rsid w:val="00E93F06"/>
    <w:rsid w:val="00EA11BE"/>
    <w:rsid w:val="00EA31CF"/>
    <w:rsid w:val="00EA3A6A"/>
    <w:rsid w:val="00EA709B"/>
    <w:rsid w:val="00EB5406"/>
    <w:rsid w:val="00EB7B66"/>
    <w:rsid w:val="00EC2BBA"/>
    <w:rsid w:val="00EC51F1"/>
    <w:rsid w:val="00EC644A"/>
    <w:rsid w:val="00EC6A3F"/>
    <w:rsid w:val="00EC6FC9"/>
    <w:rsid w:val="00ED0C5D"/>
    <w:rsid w:val="00ED34AF"/>
    <w:rsid w:val="00ED435C"/>
    <w:rsid w:val="00ED5CC1"/>
    <w:rsid w:val="00ED5CF1"/>
    <w:rsid w:val="00ED7BC4"/>
    <w:rsid w:val="00EE17CA"/>
    <w:rsid w:val="00EF60BA"/>
    <w:rsid w:val="00F00B11"/>
    <w:rsid w:val="00F03789"/>
    <w:rsid w:val="00F07EE9"/>
    <w:rsid w:val="00F21266"/>
    <w:rsid w:val="00F215E5"/>
    <w:rsid w:val="00F30554"/>
    <w:rsid w:val="00F348D2"/>
    <w:rsid w:val="00F35916"/>
    <w:rsid w:val="00F405FB"/>
    <w:rsid w:val="00F42B6C"/>
    <w:rsid w:val="00F43A1D"/>
    <w:rsid w:val="00F443F0"/>
    <w:rsid w:val="00F44844"/>
    <w:rsid w:val="00F4485F"/>
    <w:rsid w:val="00F44B6A"/>
    <w:rsid w:val="00F4589A"/>
    <w:rsid w:val="00F4649F"/>
    <w:rsid w:val="00F51DC9"/>
    <w:rsid w:val="00F521C7"/>
    <w:rsid w:val="00F52989"/>
    <w:rsid w:val="00F559A9"/>
    <w:rsid w:val="00F55CFA"/>
    <w:rsid w:val="00F60500"/>
    <w:rsid w:val="00F64863"/>
    <w:rsid w:val="00F655A0"/>
    <w:rsid w:val="00F65DFE"/>
    <w:rsid w:val="00F66924"/>
    <w:rsid w:val="00F757FD"/>
    <w:rsid w:val="00F77463"/>
    <w:rsid w:val="00F83038"/>
    <w:rsid w:val="00F86959"/>
    <w:rsid w:val="00F8715F"/>
    <w:rsid w:val="00F879AB"/>
    <w:rsid w:val="00F93ACF"/>
    <w:rsid w:val="00F960C1"/>
    <w:rsid w:val="00FA0331"/>
    <w:rsid w:val="00FA1241"/>
    <w:rsid w:val="00FB558A"/>
    <w:rsid w:val="00FB70CB"/>
    <w:rsid w:val="00FC049C"/>
    <w:rsid w:val="00FC1C0E"/>
    <w:rsid w:val="00FC20EB"/>
    <w:rsid w:val="00FC299A"/>
    <w:rsid w:val="00FC5ED8"/>
    <w:rsid w:val="00FD2D1E"/>
    <w:rsid w:val="00FD3454"/>
    <w:rsid w:val="00FD7D2F"/>
    <w:rsid w:val="00FE1871"/>
    <w:rsid w:val="00FE2E63"/>
    <w:rsid w:val="00FE34F0"/>
    <w:rsid w:val="00FE38EA"/>
    <w:rsid w:val="00FE3B87"/>
    <w:rsid w:val="00FE71E2"/>
    <w:rsid w:val="00FF115C"/>
    <w:rsid w:val="00FF35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84"/>
    <w:rPr>
      <w:rFonts w:ascii="Arial" w:hAnsi="Arial"/>
      <w:sz w:val="24"/>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AlphaPara"/>
    <w:basedOn w:val="Heading1"/>
    <w:next w:val="Normal"/>
    <w:link w:val="Heading2Char"/>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customStyle="1" w:styleId="Heading2Char">
    <w:name w:val="Heading 2 Char"/>
    <w:aliases w:val="Numbered - 2 Char,AlphaPara Char"/>
    <w:basedOn w:val="DefaultParagraphFont"/>
    <w:link w:val="Heading2"/>
    <w:rsid w:val="00500584"/>
    <w:rPr>
      <w:rFonts w:ascii="Arial" w:hAnsi="Arial"/>
      <w:b/>
      <w:kern w:val="28"/>
      <w:sz w:val="24"/>
      <w:lang w:val="en-GB" w:eastAsia="en-US" w:bidi="ar-SA"/>
    </w:rPr>
  </w:style>
  <w:style w:type="paragraph" w:customStyle="1" w:styleId="CharChar2Char">
    <w:name w:val="Char Char2 Char"/>
    <w:basedOn w:val="Normal"/>
    <w:rsid w:val="00500584"/>
    <w:pPr>
      <w:widowControl w:val="0"/>
      <w:adjustRightInd w:val="0"/>
      <w:spacing w:after="160" w:line="240" w:lineRule="exact"/>
      <w:jc w:val="both"/>
      <w:textAlignment w:val="baseline"/>
    </w:pPr>
    <w:rPr>
      <w:rFonts w:ascii="Verdana" w:hAnsi="Verdana" w:cs="Verdana"/>
      <w:sz w:val="20"/>
      <w:lang w:val="en-US" w:eastAsia="en-US"/>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customStyle="1" w:styleId="DfESOutNumbered">
    <w:name w:val="DfESOutNumbered"/>
    <w:basedOn w:val="Normal"/>
    <w:rsid w:val="00F4485F"/>
    <w:pPr>
      <w:numPr>
        <w:numId w:val="4"/>
      </w:numPr>
      <w:spacing w:after="240"/>
    </w:pPr>
    <w:rPr>
      <w:rFonts w:cs="Arial"/>
      <w:sz w:val="22"/>
    </w:rPr>
  </w:style>
  <w:style w:type="paragraph" w:customStyle="1" w:styleId="DfESBullets">
    <w:name w:val="DfESBullets"/>
    <w:basedOn w:val="Normal"/>
    <w:rsid w:val="00F4485F"/>
    <w:pPr>
      <w:numPr>
        <w:numId w:val="5"/>
      </w:numPr>
      <w:spacing w:after="240"/>
    </w:pPr>
    <w:rPr>
      <w:rFonts w:cs="Arial"/>
      <w:sz w:val="22"/>
    </w:rPr>
  </w:style>
  <w:style w:type="character" w:styleId="FootnoteReference">
    <w:name w:val="footnote reference"/>
    <w:basedOn w:val="DefaultParagraphFont"/>
    <w:semiHidden/>
    <w:rsid w:val="00D97C9C"/>
    <w:rPr>
      <w:vertAlign w:val="superscript"/>
    </w:rPr>
  </w:style>
  <w:style w:type="paragraph" w:customStyle="1" w:styleId="Char">
    <w:name w:val="Char"/>
    <w:basedOn w:val="Normal"/>
    <w:rsid w:val="009A79FE"/>
    <w:pPr>
      <w:spacing w:after="160" w:line="240" w:lineRule="exact"/>
    </w:pPr>
    <w:rPr>
      <w:rFonts w:ascii="Verdana" w:eastAsia="MS Mincho" w:hAnsi="Verdana"/>
      <w:sz w:val="20"/>
      <w:lang w:eastAsia="en-US"/>
    </w:rPr>
  </w:style>
  <w:style w:type="paragraph" w:styleId="TOC1">
    <w:name w:val="toc 1"/>
    <w:basedOn w:val="Normal"/>
    <w:next w:val="Normal"/>
    <w:autoRedefine/>
    <w:semiHidden/>
    <w:rsid w:val="00701EE4"/>
  </w:style>
  <w:style w:type="character" w:styleId="Hyperlink">
    <w:name w:val="Hyperlink"/>
    <w:basedOn w:val="DefaultParagraphFont"/>
    <w:rsid w:val="00701EE4"/>
    <w:rPr>
      <w:color w:val="0000FF"/>
      <w:u w:val="single"/>
    </w:rPr>
  </w:style>
  <w:style w:type="paragraph" w:styleId="BalloonText">
    <w:name w:val="Balloon Text"/>
    <w:basedOn w:val="Normal"/>
    <w:semiHidden/>
    <w:rsid w:val="00916096"/>
    <w:rPr>
      <w:rFonts w:cs="Arial"/>
      <w:sz w:val="16"/>
      <w:szCs w:val="16"/>
    </w:rPr>
  </w:style>
  <w:style w:type="paragraph" w:styleId="FootnoteText">
    <w:name w:val="footnote text"/>
    <w:basedOn w:val="Normal"/>
    <w:semiHidden/>
    <w:rsid w:val="00292EBD"/>
    <w:rPr>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fsted.gov.uk/resources/new-inspection-arrangements-for-inspection-of-local-authority-childrens-services-letter-sent-all-d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3237</Words>
  <Characters>18454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The Legislative Reform (Annual Review of Local Authorities) Order 2012</vt:lpstr>
    </vt:vector>
  </TitlesOfParts>
  <Company>.</Company>
  <LinksUpToDate>false</LinksUpToDate>
  <CharactersWithSpaces>21648</CharactersWithSpaces>
  <SharedDoc>false</SharedDoc>
  <HLinks>
    <vt:vector size="6" baseType="variant">
      <vt:variant>
        <vt:i4>7798840</vt:i4>
      </vt:variant>
      <vt:variant>
        <vt:i4>0</vt:i4>
      </vt:variant>
      <vt:variant>
        <vt:i4>0</vt:i4>
      </vt:variant>
      <vt:variant>
        <vt:i4>5</vt:i4>
      </vt:variant>
      <vt:variant>
        <vt:lpwstr>http://www.ofsted.gov.uk/resources/new-inspection-arrangements-for-inspection-of-local-authority-childrens-services-letter-sent-all-dir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Legislative Reform (Annual Review of Local Authorities) Order 2012</dc:title>
  <dc:creator>ROB MYERS</dc:creator>
  <cp:lastModifiedBy>ICS</cp:lastModifiedBy>
  <cp:revision>2</cp:revision>
  <dcterms:created xsi:type="dcterms:W3CDTF">2012-07-19T10:40:00Z</dcterms:created>
  <dcterms:modified xsi:type="dcterms:W3CDTF">2012-07-19T10:40:00Z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158077575</vt:i4>
  </property>
  <property fmtid="{D5CDD505-2E9C-101B-9397-08002B2CF9AE}" pid="3" name="_NewReviewCycle">
    <vt:lpwstr/>
  </property>
  <property fmtid="{D5CDD505-2E9C-101B-9397-08002B2CF9AE}" pid="4" name="_EmailSubject">
    <vt:lpwstr>DfE Parliamentary Forward Look</vt:lpwstr>
  </property>
  <property fmtid="{D5CDD505-2E9C-101B-9397-08002B2CF9AE}" pid="5" name="_AuthorEmail">
    <vt:lpwstr>Rob.MYERS@education.gsi.gov.uk</vt:lpwstr>
  </property>
  <property fmtid="{D5CDD505-2E9C-101B-9397-08002B2CF9AE}" pid="6" name="_AuthorEmailDisplayName">
    <vt:lpwstr>MYERS, Rob</vt:lpwstr>
  </property>
  <property fmtid="{D5CDD505-2E9C-101B-9397-08002B2CF9AE}" pid="7" name="_ReviewingToolsShownOnce">
    <vt:lpwstr/>
  </property>
</Properties>
</file>