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1C6" w:rsidRDefault="00B761C6" w:rsidP="001C3BE8">
      <w:pPr>
        <w:pStyle w:val="Heading1"/>
        <w:spacing w:before="3240" w:after="100" w:afterAutospacing="1"/>
        <w:contextualSpacing/>
        <w:rPr>
          <w:szCs w:val="52"/>
          <w:lang w:eastAsia="en-GB"/>
        </w:rPr>
      </w:pPr>
      <w:bookmarkStart w:id="0" w:name="_Toc341193298"/>
      <w:r>
        <w:rPr>
          <w:szCs w:val="52"/>
          <w:lang w:eastAsia="en-GB"/>
        </w:rPr>
        <w:t>The Equality Act</w:t>
      </w:r>
      <w:bookmarkEnd w:id="0"/>
    </w:p>
    <w:p w:rsidR="00B761C6" w:rsidRDefault="00030F42" w:rsidP="001C3BE8">
      <w:pPr>
        <w:pStyle w:val="Heading1"/>
        <w:spacing w:before="0" w:after="100" w:afterAutospacing="1"/>
        <w:contextualSpacing/>
        <w:rPr>
          <w:szCs w:val="52"/>
          <w:lang w:eastAsia="en-GB"/>
        </w:rPr>
      </w:pPr>
      <w:bookmarkStart w:id="1" w:name="_Toc341193299"/>
      <w:r w:rsidRPr="00B761C6">
        <w:rPr>
          <w:szCs w:val="52"/>
          <w:lang w:eastAsia="en-GB"/>
        </w:rPr>
        <w:t>Further and Higher Education</w:t>
      </w:r>
      <w:r w:rsidR="00AA0FD1" w:rsidRPr="00B761C6">
        <w:rPr>
          <w:szCs w:val="52"/>
          <w:lang w:eastAsia="en-GB"/>
        </w:rPr>
        <w:t xml:space="preserve"> </w:t>
      </w:r>
      <w:r w:rsidR="008356FB" w:rsidRPr="00B761C6">
        <w:rPr>
          <w:szCs w:val="52"/>
          <w:lang w:eastAsia="en-GB"/>
        </w:rPr>
        <w:t>Technical Guidance</w:t>
      </w:r>
      <w:bookmarkEnd w:id="1"/>
    </w:p>
    <w:p w:rsidR="00AA0FD1" w:rsidRPr="00B761C6" w:rsidRDefault="003F15F9" w:rsidP="001C3BE8">
      <w:pPr>
        <w:pStyle w:val="Heading1"/>
        <w:spacing w:before="0" w:after="100" w:afterAutospacing="1"/>
        <w:contextualSpacing/>
        <w:rPr>
          <w:szCs w:val="52"/>
          <w:lang w:eastAsia="en-GB"/>
        </w:rPr>
      </w:pPr>
      <w:bookmarkStart w:id="2" w:name="_Toc341193300"/>
      <w:r w:rsidRPr="00B761C6">
        <w:rPr>
          <w:szCs w:val="52"/>
          <w:lang w:eastAsia="en-GB"/>
        </w:rPr>
        <w:t>p</w:t>
      </w:r>
      <w:r w:rsidR="00AA0FD1" w:rsidRPr="00B761C6">
        <w:rPr>
          <w:szCs w:val="52"/>
          <w:lang w:eastAsia="en-GB"/>
        </w:rPr>
        <w:t>ost</w:t>
      </w:r>
      <w:r w:rsidR="00030F42" w:rsidRPr="00B761C6">
        <w:rPr>
          <w:szCs w:val="52"/>
          <w:lang w:eastAsia="en-GB"/>
        </w:rPr>
        <w:t>-</w:t>
      </w:r>
      <w:r w:rsidR="00AA0FD1" w:rsidRPr="00B761C6">
        <w:rPr>
          <w:szCs w:val="52"/>
          <w:lang w:eastAsia="en-GB"/>
        </w:rPr>
        <w:t>consultation report</w:t>
      </w:r>
      <w:bookmarkEnd w:id="2"/>
    </w:p>
    <w:p w:rsidR="008356FB" w:rsidRDefault="009D4DA5" w:rsidP="001C3BE8">
      <w:pPr>
        <w:spacing w:before="6480" w:after="0"/>
        <w:rPr>
          <w:color w:val="000000"/>
          <w:sz w:val="104"/>
          <w:szCs w:val="104"/>
        </w:rPr>
      </w:pPr>
      <w:bookmarkStart w:id="3" w:name="_Toc329870611"/>
      <w:r>
        <w:rPr>
          <w:noProof/>
          <w:color w:val="000000"/>
          <w:sz w:val="104"/>
          <w:szCs w:val="104"/>
          <w:lang w:eastAsia="en-GB"/>
        </w:rPr>
        <w:drawing>
          <wp:inline distT="0" distB="0" distL="0" distR="0">
            <wp:extent cx="3032125" cy="758190"/>
            <wp:effectExtent l="19050" t="0" r="0" b="0"/>
            <wp:docPr id="1" name="Picture 1" descr="EHRC_logo_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RC_logo_grey.jpg"/>
                    <pic:cNvPicPr>
                      <a:picLocks noChangeAspect="1" noChangeArrowheads="1"/>
                    </pic:cNvPicPr>
                  </pic:nvPicPr>
                  <pic:blipFill>
                    <a:blip r:embed="rId8" cstate="print"/>
                    <a:srcRect/>
                    <a:stretch>
                      <a:fillRect/>
                    </a:stretch>
                  </pic:blipFill>
                  <pic:spPr bwMode="auto">
                    <a:xfrm>
                      <a:off x="0" y="0"/>
                      <a:ext cx="3032125" cy="758190"/>
                    </a:xfrm>
                    <a:prstGeom prst="rect">
                      <a:avLst/>
                    </a:prstGeom>
                    <a:noFill/>
                    <a:ln w="9525">
                      <a:noFill/>
                      <a:miter lim="800000"/>
                      <a:headEnd/>
                      <a:tailEnd/>
                    </a:ln>
                  </pic:spPr>
                </pic:pic>
              </a:graphicData>
            </a:graphic>
          </wp:inline>
        </w:drawing>
      </w:r>
      <w:r w:rsidR="008356FB">
        <w:rPr>
          <w:color w:val="000000"/>
          <w:sz w:val="104"/>
          <w:szCs w:val="104"/>
        </w:rPr>
        <w:br w:type="page"/>
      </w:r>
    </w:p>
    <w:bookmarkEnd w:id="3"/>
    <w:p w:rsidR="00092CA7" w:rsidRDefault="001C3350" w:rsidP="00092CA7">
      <w:pPr>
        <w:pStyle w:val="Heading2"/>
        <w:rPr>
          <w:rFonts w:ascii="Calibri" w:hAnsi="Calibri"/>
          <w:noProof/>
          <w:sz w:val="22"/>
          <w:lang w:eastAsia="en-GB"/>
        </w:rPr>
      </w:pPr>
      <w:r w:rsidRPr="001C3350">
        <w:fldChar w:fldCharType="begin"/>
      </w:r>
      <w:r w:rsidR="00092CA7">
        <w:instrText xml:space="preserve"> TOC \o "1-2" \h \z \u </w:instrText>
      </w:r>
      <w:r w:rsidRPr="001C3350">
        <w:fldChar w:fldCharType="separate"/>
      </w:r>
      <w:r w:rsidR="00092CA7">
        <w:rPr>
          <w:noProof/>
        </w:rPr>
        <w:t>Contents</w:t>
      </w:r>
    </w:p>
    <w:p w:rsidR="00092CA7" w:rsidRDefault="00092CA7">
      <w:pPr>
        <w:pStyle w:val="TOC1"/>
        <w:tabs>
          <w:tab w:val="right" w:leader="dot" w:pos="9016"/>
        </w:tabs>
        <w:rPr>
          <w:rFonts w:ascii="Calibri" w:eastAsia="Times New Roman" w:hAnsi="Calibri"/>
          <w:noProof/>
          <w:sz w:val="22"/>
          <w:lang w:eastAsia="en-GB"/>
        </w:rPr>
      </w:pPr>
    </w:p>
    <w:p w:rsidR="00092CA7" w:rsidRDefault="001C3350">
      <w:pPr>
        <w:pStyle w:val="TOC2"/>
        <w:tabs>
          <w:tab w:val="right" w:leader="dot" w:pos="9016"/>
        </w:tabs>
        <w:rPr>
          <w:rFonts w:ascii="Calibri" w:eastAsia="Times New Roman" w:hAnsi="Calibri"/>
          <w:noProof/>
          <w:sz w:val="22"/>
          <w:lang w:eastAsia="en-GB"/>
        </w:rPr>
      </w:pPr>
      <w:hyperlink w:anchor="_Toc341193301" w:history="1">
        <w:r w:rsidR="00092CA7" w:rsidRPr="00177AA9">
          <w:rPr>
            <w:rStyle w:val="Hyperlink"/>
            <w:noProof/>
          </w:rPr>
          <w:t>The Equality Act 2010</w:t>
        </w:r>
        <w:r w:rsidR="00092CA7">
          <w:rPr>
            <w:noProof/>
            <w:webHidden/>
          </w:rPr>
          <w:tab/>
        </w:r>
        <w:r>
          <w:rPr>
            <w:noProof/>
            <w:webHidden/>
          </w:rPr>
          <w:fldChar w:fldCharType="begin"/>
        </w:r>
        <w:r w:rsidR="00092CA7">
          <w:rPr>
            <w:noProof/>
            <w:webHidden/>
          </w:rPr>
          <w:instrText xml:space="preserve"> PAGEREF _Toc341193301 \h </w:instrText>
        </w:r>
        <w:r>
          <w:rPr>
            <w:noProof/>
            <w:webHidden/>
          </w:rPr>
        </w:r>
        <w:r>
          <w:rPr>
            <w:noProof/>
            <w:webHidden/>
          </w:rPr>
          <w:fldChar w:fldCharType="separate"/>
        </w:r>
        <w:r w:rsidR="005C2F41">
          <w:rPr>
            <w:noProof/>
            <w:webHidden/>
          </w:rPr>
          <w:t>3</w:t>
        </w:r>
        <w:r>
          <w:rPr>
            <w:noProof/>
            <w:webHidden/>
          </w:rPr>
          <w:fldChar w:fldCharType="end"/>
        </w:r>
      </w:hyperlink>
    </w:p>
    <w:p w:rsidR="00092CA7" w:rsidRDefault="001C3350">
      <w:pPr>
        <w:pStyle w:val="TOC2"/>
        <w:tabs>
          <w:tab w:val="right" w:leader="dot" w:pos="9016"/>
        </w:tabs>
        <w:rPr>
          <w:rFonts w:ascii="Calibri" w:eastAsia="Times New Roman" w:hAnsi="Calibri"/>
          <w:noProof/>
          <w:sz w:val="22"/>
          <w:lang w:eastAsia="en-GB"/>
        </w:rPr>
      </w:pPr>
      <w:hyperlink w:anchor="_Toc341193302" w:history="1">
        <w:r w:rsidR="00092CA7" w:rsidRPr="00177AA9">
          <w:rPr>
            <w:rStyle w:val="Hyperlink"/>
            <w:noProof/>
          </w:rPr>
          <w:t>Codes of Practice and Technical Guidance</w:t>
        </w:r>
        <w:r w:rsidR="00092CA7">
          <w:rPr>
            <w:noProof/>
            <w:webHidden/>
          </w:rPr>
          <w:tab/>
        </w:r>
        <w:r>
          <w:rPr>
            <w:noProof/>
            <w:webHidden/>
          </w:rPr>
          <w:fldChar w:fldCharType="begin"/>
        </w:r>
        <w:r w:rsidR="00092CA7">
          <w:rPr>
            <w:noProof/>
            <w:webHidden/>
          </w:rPr>
          <w:instrText xml:space="preserve"> PAGEREF _Toc341193302 \h </w:instrText>
        </w:r>
        <w:r>
          <w:rPr>
            <w:noProof/>
            <w:webHidden/>
          </w:rPr>
        </w:r>
        <w:r>
          <w:rPr>
            <w:noProof/>
            <w:webHidden/>
          </w:rPr>
          <w:fldChar w:fldCharType="separate"/>
        </w:r>
        <w:r w:rsidR="005C2F41">
          <w:rPr>
            <w:noProof/>
            <w:webHidden/>
          </w:rPr>
          <w:t>3</w:t>
        </w:r>
        <w:r>
          <w:rPr>
            <w:noProof/>
            <w:webHidden/>
          </w:rPr>
          <w:fldChar w:fldCharType="end"/>
        </w:r>
      </w:hyperlink>
    </w:p>
    <w:p w:rsidR="00092CA7" w:rsidRDefault="001C3350">
      <w:pPr>
        <w:pStyle w:val="TOC2"/>
        <w:tabs>
          <w:tab w:val="right" w:leader="dot" w:pos="9016"/>
        </w:tabs>
        <w:rPr>
          <w:rFonts w:ascii="Calibri" w:eastAsia="Times New Roman" w:hAnsi="Calibri"/>
          <w:noProof/>
          <w:sz w:val="22"/>
          <w:lang w:eastAsia="en-GB"/>
        </w:rPr>
      </w:pPr>
      <w:hyperlink w:anchor="_Toc341193303" w:history="1">
        <w:r w:rsidR="00092CA7" w:rsidRPr="00177AA9">
          <w:rPr>
            <w:rStyle w:val="Hyperlink"/>
            <w:noProof/>
          </w:rPr>
          <w:t>Consultation methodology</w:t>
        </w:r>
        <w:r w:rsidR="00092CA7">
          <w:rPr>
            <w:noProof/>
            <w:webHidden/>
          </w:rPr>
          <w:tab/>
        </w:r>
        <w:r>
          <w:rPr>
            <w:noProof/>
            <w:webHidden/>
          </w:rPr>
          <w:fldChar w:fldCharType="begin"/>
        </w:r>
        <w:r w:rsidR="00092CA7">
          <w:rPr>
            <w:noProof/>
            <w:webHidden/>
          </w:rPr>
          <w:instrText xml:space="preserve"> PAGEREF _Toc341193303 \h </w:instrText>
        </w:r>
        <w:r>
          <w:rPr>
            <w:noProof/>
            <w:webHidden/>
          </w:rPr>
        </w:r>
        <w:r>
          <w:rPr>
            <w:noProof/>
            <w:webHidden/>
          </w:rPr>
          <w:fldChar w:fldCharType="separate"/>
        </w:r>
        <w:r w:rsidR="005C2F41">
          <w:rPr>
            <w:noProof/>
            <w:webHidden/>
          </w:rPr>
          <w:t>5</w:t>
        </w:r>
        <w:r>
          <w:rPr>
            <w:noProof/>
            <w:webHidden/>
          </w:rPr>
          <w:fldChar w:fldCharType="end"/>
        </w:r>
      </w:hyperlink>
    </w:p>
    <w:p w:rsidR="00092CA7" w:rsidRDefault="001C3350">
      <w:pPr>
        <w:pStyle w:val="TOC2"/>
        <w:tabs>
          <w:tab w:val="right" w:leader="dot" w:pos="9016"/>
        </w:tabs>
        <w:rPr>
          <w:rFonts w:ascii="Calibri" w:eastAsia="Times New Roman" w:hAnsi="Calibri"/>
          <w:noProof/>
          <w:sz w:val="22"/>
          <w:lang w:eastAsia="en-GB"/>
        </w:rPr>
      </w:pPr>
      <w:hyperlink w:anchor="_Toc341193304" w:history="1">
        <w:r w:rsidR="00092CA7" w:rsidRPr="00177AA9">
          <w:rPr>
            <w:rStyle w:val="Hyperlink"/>
            <w:noProof/>
          </w:rPr>
          <w:t>Statutory consultation</w:t>
        </w:r>
        <w:r w:rsidR="00092CA7">
          <w:rPr>
            <w:noProof/>
            <w:webHidden/>
          </w:rPr>
          <w:tab/>
        </w:r>
        <w:r>
          <w:rPr>
            <w:noProof/>
            <w:webHidden/>
          </w:rPr>
          <w:fldChar w:fldCharType="begin"/>
        </w:r>
        <w:r w:rsidR="00092CA7">
          <w:rPr>
            <w:noProof/>
            <w:webHidden/>
          </w:rPr>
          <w:instrText xml:space="preserve"> PAGEREF _Toc341193304 \h </w:instrText>
        </w:r>
        <w:r>
          <w:rPr>
            <w:noProof/>
            <w:webHidden/>
          </w:rPr>
        </w:r>
        <w:r>
          <w:rPr>
            <w:noProof/>
            <w:webHidden/>
          </w:rPr>
          <w:fldChar w:fldCharType="separate"/>
        </w:r>
        <w:r w:rsidR="005C2F41">
          <w:rPr>
            <w:noProof/>
            <w:webHidden/>
          </w:rPr>
          <w:t>6</w:t>
        </w:r>
        <w:r>
          <w:rPr>
            <w:noProof/>
            <w:webHidden/>
          </w:rPr>
          <w:fldChar w:fldCharType="end"/>
        </w:r>
      </w:hyperlink>
    </w:p>
    <w:p w:rsidR="00092CA7" w:rsidRDefault="001C3350">
      <w:pPr>
        <w:pStyle w:val="TOC2"/>
        <w:tabs>
          <w:tab w:val="right" w:leader="dot" w:pos="9016"/>
        </w:tabs>
        <w:rPr>
          <w:rFonts w:ascii="Calibri" w:eastAsia="Times New Roman" w:hAnsi="Calibri"/>
          <w:noProof/>
          <w:sz w:val="22"/>
          <w:lang w:eastAsia="en-GB"/>
        </w:rPr>
      </w:pPr>
      <w:hyperlink w:anchor="_Toc341193305" w:history="1">
        <w:r w:rsidR="00092CA7" w:rsidRPr="00177AA9">
          <w:rPr>
            <w:rStyle w:val="Hyperlink"/>
            <w:noProof/>
          </w:rPr>
          <w:t>Stakeholder participation</w:t>
        </w:r>
        <w:r w:rsidR="00092CA7">
          <w:rPr>
            <w:noProof/>
            <w:webHidden/>
          </w:rPr>
          <w:tab/>
        </w:r>
        <w:r>
          <w:rPr>
            <w:noProof/>
            <w:webHidden/>
          </w:rPr>
          <w:fldChar w:fldCharType="begin"/>
        </w:r>
        <w:r w:rsidR="00092CA7">
          <w:rPr>
            <w:noProof/>
            <w:webHidden/>
          </w:rPr>
          <w:instrText xml:space="preserve"> PAGEREF _Toc341193305 \h </w:instrText>
        </w:r>
        <w:r>
          <w:rPr>
            <w:noProof/>
            <w:webHidden/>
          </w:rPr>
        </w:r>
        <w:r>
          <w:rPr>
            <w:noProof/>
            <w:webHidden/>
          </w:rPr>
          <w:fldChar w:fldCharType="separate"/>
        </w:r>
        <w:r w:rsidR="005C2F41">
          <w:rPr>
            <w:noProof/>
            <w:webHidden/>
          </w:rPr>
          <w:t>6</w:t>
        </w:r>
        <w:r>
          <w:rPr>
            <w:noProof/>
            <w:webHidden/>
          </w:rPr>
          <w:fldChar w:fldCharType="end"/>
        </w:r>
      </w:hyperlink>
    </w:p>
    <w:p w:rsidR="00092CA7" w:rsidRDefault="001C3350">
      <w:pPr>
        <w:pStyle w:val="TOC2"/>
        <w:tabs>
          <w:tab w:val="right" w:leader="dot" w:pos="9016"/>
        </w:tabs>
        <w:rPr>
          <w:rFonts w:ascii="Calibri" w:eastAsia="Times New Roman" w:hAnsi="Calibri"/>
          <w:noProof/>
          <w:sz w:val="22"/>
          <w:lang w:eastAsia="en-GB"/>
        </w:rPr>
      </w:pPr>
      <w:hyperlink w:anchor="_Toc341193306" w:history="1">
        <w:r w:rsidR="00092CA7" w:rsidRPr="00177AA9">
          <w:rPr>
            <w:rStyle w:val="Hyperlink"/>
            <w:noProof/>
          </w:rPr>
          <w:t>Post-consultation revisions to the Technical Guidance</w:t>
        </w:r>
        <w:r w:rsidR="00092CA7">
          <w:rPr>
            <w:noProof/>
            <w:webHidden/>
          </w:rPr>
          <w:tab/>
        </w:r>
        <w:r>
          <w:rPr>
            <w:noProof/>
            <w:webHidden/>
          </w:rPr>
          <w:fldChar w:fldCharType="begin"/>
        </w:r>
        <w:r w:rsidR="00092CA7">
          <w:rPr>
            <w:noProof/>
            <w:webHidden/>
          </w:rPr>
          <w:instrText xml:space="preserve"> PAGEREF _Toc341193306 \h </w:instrText>
        </w:r>
        <w:r>
          <w:rPr>
            <w:noProof/>
            <w:webHidden/>
          </w:rPr>
        </w:r>
        <w:r>
          <w:rPr>
            <w:noProof/>
            <w:webHidden/>
          </w:rPr>
          <w:fldChar w:fldCharType="separate"/>
        </w:r>
        <w:r w:rsidR="005C2F41">
          <w:rPr>
            <w:noProof/>
            <w:webHidden/>
          </w:rPr>
          <w:t>7</w:t>
        </w:r>
        <w:r>
          <w:rPr>
            <w:noProof/>
            <w:webHidden/>
          </w:rPr>
          <w:fldChar w:fldCharType="end"/>
        </w:r>
      </w:hyperlink>
    </w:p>
    <w:p w:rsidR="00092CA7" w:rsidRDefault="001C3350">
      <w:pPr>
        <w:pStyle w:val="TOC2"/>
        <w:tabs>
          <w:tab w:val="right" w:leader="dot" w:pos="9016"/>
        </w:tabs>
        <w:rPr>
          <w:rFonts w:ascii="Calibri" w:eastAsia="Times New Roman" w:hAnsi="Calibri"/>
          <w:noProof/>
          <w:sz w:val="22"/>
          <w:lang w:eastAsia="en-GB"/>
        </w:rPr>
      </w:pPr>
      <w:hyperlink w:anchor="_Toc341193307" w:history="1">
        <w:r w:rsidR="00092CA7" w:rsidRPr="00177AA9">
          <w:rPr>
            <w:rStyle w:val="Hyperlink"/>
            <w:noProof/>
          </w:rPr>
          <w:t>External stakeholder concerns – generic issues</w:t>
        </w:r>
        <w:r w:rsidR="00092CA7">
          <w:rPr>
            <w:noProof/>
            <w:webHidden/>
          </w:rPr>
          <w:tab/>
        </w:r>
        <w:r>
          <w:rPr>
            <w:noProof/>
            <w:webHidden/>
          </w:rPr>
          <w:fldChar w:fldCharType="begin"/>
        </w:r>
        <w:r w:rsidR="00092CA7">
          <w:rPr>
            <w:noProof/>
            <w:webHidden/>
          </w:rPr>
          <w:instrText xml:space="preserve"> PAGEREF _Toc341193307 \h </w:instrText>
        </w:r>
        <w:r>
          <w:rPr>
            <w:noProof/>
            <w:webHidden/>
          </w:rPr>
        </w:r>
        <w:r>
          <w:rPr>
            <w:noProof/>
            <w:webHidden/>
          </w:rPr>
          <w:fldChar w:fldCharType="separate"/>
        </w:r>
        <w:r w:rsidR="005C2F41">
          <w:rPr>
            <w:noProof/>
            <w:webHidden/>
          </w:rPr>
          <w:t>7</w:t>
        </w:r>
        <w:r>
          <w:rPr>
            <w:noProof/>
            <w:webHidden/>
          </w:rPr>
          <w:fldChar w:fldCharType="end"/>
        </w:r>
      </w:hyperlink>
    </w:p>
    <w:p w:rsidR="00092CA7" w:rsidRDefault="001C3350">
      <w:pPr>
        <w:pStyle w:val="TOC2"/>
        <w:tabs>
          <w:tab w:val="right" w:leader="dot" w:pos="9016"/>
        </w:tabs>
        <w:rPr>
          <w:rFonts w:ascii="Calibri" w:eastAsia="Times New Roman" w:hAnsi="Calibri"/>
          <w:noProof/>
          <w:sz w:val="22"/>
          <w:lang w:eastAsia="en-GB"/>
        </w:rPr>
      </w:pPr>
      <w:hyperlink w:anchor="_Toc341193308" w:history="1">
        <w:r w:rsidR="00092CA7" w:rsidRPr="00177AA9">
          <w:rPr>
            <w:rStyle w:val="Hyperlink"/>
            <w:noProof/>
          </w:rPr>
          <w:t>Appendix 1 Respondents</w:t>
        </w:r>
        <w:r w:rsidR="00092CA7">
          <w:rPr>
            <w:noProof/>
            <w:webHidden/>
          </w:rPr>
          <w:tab/>
        </w:r>
        <w:r>
          <w:rPr>
            <w:noProof/>
            <w:webHidden/>
          </w:rPr>
          <w:fldChar w:fldCharType="begin"/>
        </w:r>
        <w:r w:rsidR="00092CA7">
          <w:rPr>
            <w:noProof/>
            <w:webHidden/>
          </w:rPr>
          <w:instrText xml:space="preserve"> PAGEREF _Toc341193308 \h </w:instrText>
        </w:r>
        <w:r>
          <w:rPr>
            <w:noProof/>
            <w:webHidden/>
          </w:rPr>
        </w:r>
        <w:r>
          <w:rPr>
            <w:noProof/>
            <w:webHidden/>
          </w:rPr>
          <w:fldChar w:fldCharType="separate"/>
        </w:r>
        <w:r w:rsidR="005C2F41">
          <w:rPr>
            <w:noProof/>
            <w:webHidden/>
          </w:rPr>
          <w:t>12</w:t>
        </w:r>
        <w:r>
          <w:rPr>
            <w:noProof/>
            <w:webHidden/>
          </w:rPr>
          <w:fldChar w:fldCharType="end"/>
        </w:r>
      </w:hyperlink>
    </w:p>
    <w:p w:rsidR="00092CA7" w:rsidRDefault="001C3350">
      <w:pPr>
        <w:pStyle w:val="TOC2"/>
        <w:tabs>
          <w:tab w:val="right" w:leader="dot" w:pos="9016"/>
        </w:tabs>
        <w:rPr>
          <w:rFonts w:ascii="Calibri" w:eastAsia="Times New Roman" w:hAnsi="Calibri"/>
          <w:noProof/>
          <w:sz w:val="22"/>
          <w:lang w:eastAsia="en-GB"/>
        </w:rPr>
      </w:pPr>
      <w:hyperlink w:anchor="_Toc341193309" w:history="1">
        <w:r w:rsidR="00092CA7" w:rsidRPr="00177AA9">
          <w:rPr>
            <w:rStyle w:val="Hyperlink"/>
            <w:noProof/>
            <w:lang w:eastAsia="en-GB"/>
          </w:rPr>
          <w:t>Contacts</w:t>
        </w:r>
        <w:r w:rsidR="00092CA7">
          <w:rPr>
            <w:noProof/>
            <w:webHidden/>
          </w:rPr>
          <w:tab/>
        </w:r>
        <w:r>
          <w:rPr>
            <w:noProof/>
            <w:webHidden/>
          </w:rPr>
          <w:fldChar w:fldCharType="begin"/>
        </w:r>
        <w:r w:rsidR="00092CA7">
          <w:rPr>
            <w:noProof/>
            <w:webHidden/>
          </w:rPr>
          <w:instrText xml:space="preserve"> PAGEREF _Toc341193309 \h </w:instrText>
        </w:r>
        <w:r>
          <w:rPr>
            <w:noProof/>
            <w:webHidden/>
          </w:rPr>
        </w:r>
        <w:r>
          <w:rPr>
            <w:noProof/>
            <w:webHidden/>
          </w:rPr>
          <w:fldChar w:fldCharType="separate"/>
        </w:r>
        <w:r w:rsidR="005C2F41">
          <w:rPr>
            <w:noProof/>
            <w:webHidden/>
          </w:rPr>
          <w:t>14</w:t>
        </w:r>
        <w:r>
          <w:rPr>
            <w:noProof/>
            <w:webHidden/>
          </w:rPr>
          <w:fldChar w:fldCharType="end"/>
        </w:r>
      </w:hyperlink>
    </w:p>
    <w:p w:rsidR="00AA0FD1" w:rsidRDefault="001C3350" w:rsidP="00AA0FD1">
      <w:r>
        <w:fldChar w:fldCharType="end"/>
      </w:r>
    </w:p>
    <w:p w:rsidR="00AA0FD1" w:rsidRDefault="00AA0FD1" w:rsidP="00AA0FD1">
      <w:r>
        <w:br w:type="page"/>
      </w:r>
    </w:p>
    <w:p w:rsidR="00AA0FD1" w:rsidRPr="00301083" w:rsidRDefault="00AA0FD1" w:rsidP="008356FB">
      <w:pPr>
        <w:pStyle w:val="Heading2"/>
      </w:pPr>
      <w:bookmarkStart w:id="4" w:name="_Toc329870612"/>
      <w:bookmarkStart w:id="5" w:name="_Toc341193301"/>
      <w:r>
        <w:t>The Equality Act 2010</w:t>
      </w:r>
      <w:bookmarkEnd w:id="4"/>
      <w:bookmarkEnd w:id="5"/>
    </w:p>
    <w:p w:rsidR="00AA0FD1" w:rsidRDefault="00AA0FD1" w:rsidP="00AA0FD1">
      <w:r w:rsidRPr="00DF7E5E">
        <w:t>The Equality Act 2010 (the Act) brings together discrimination law introduced over four decades through legislation and regulations.</w:t>
      </w:r>
      <w:r w:rsidR="00132B11">
        <w:t xml:space="preserve"> </w:t>
      </w:r>
      <w:r w:rsidRPr="00DF7E5E">
        <w:t>It replaces most of the previous discrimination legislation, which is now repealed</w:t>
      </w:r>
      <w:r>
        <w:t>, and applies to England, Scotland and Wales</w:t>
      </w:r>
      <w:r w:rsidRPr="00DF7E5E">
        <w:t>. The Act covers discrimination because of age, disability, gender reassignment, marriage and civil partnership, pregnancy and maternity, race, religion or belief, sex and sexual orientation.</w:t>
      </w:r>
    </w:p>
    <w:p w:rsidR="00AA0FD1" w:rsidRDefault="00AA0FD1" w:rsidP="00AA0FD1">
      <w:r w:rsidRPr="00DF7E5E">
        <w:t>An important purpose of the Act is to create a single approach to discrimination against people with different protected characteristics, where this is appropriate. However, there are some important differences in the way that discrimination is defined</w:t>
      </w:r>
      <w:r>
        <w:t xml:space="preserve">, particularly for disability. </w:t>
      </w:r>
    </w:p>
    <w:p w:rsidR="00AA0FD1" w:rsidRDefault="00AA0FD1" w:rsidP="00AA0FD1">
      <w:r w:rsidRPr="00DF7E5E">
        <w:t>The Act has also brought in provisions to strengthen the law by making discrimination unlawful in circumstances not covered under previous discrimination law.</w:t>
      </w:r>
      <w:r w:rsidR="00132B11">
        <w:t xml:space="preserve"> </w:t>
      </w:r>
      <w:r w:rsidRPr="00DF7E5E">
        <w:t>Broadly speaking, discrimination in most areas of activity against people with protected characteristics</w:t>
      </w:r>
      <w:r>
        <w:t>,</w:t>
      </w:r>
      <w:r w:rsidRPr="00DF7E5E">
        <w:t xml:space="preserve"> </w:t>
      </w:r>
      <w:r>
        <w:t xml:space="preserve">as </w:t>
      </w:r>
      <w:r w:rsidRPr="00DF7E5E">
        <w:t>described in the Act, is now unlawful.</w:t>
      </w:r>
      <w:r w:rsidR="00132B11">
        <w:t xml:space="preserve"> </w:t>
      </w:r>
      <w:r w:rsidRPr="00DF7E5E">
        <w:t>These areas of activity include, for example, employment, education, housing, and the provision of services and the exercise of public functions. An organisation may have duties under more than one area of the Act, for example</w:t>
      </w:r>
      <w:r>
        <w:t xml:space="preserve"> if</w:t>
      </w:r>
      <w:r w:rsidRPr="00DF7E5E">
        <w:t xml:space="preserve"> it employs people and provides services to customers.</w:t>
      </w:r>
    </w:p>
    <w:p w:rsidR="00AA0FD1" w:rsidRDefault="00AA0FD1" w:rsidP="008356FB">
      <w:pPr>
        <w:pStyle w:val="Heading2"/>
      </w:pPr>
      <w:bookmarkStart w:id="6" w:name="_Toc329870613"/>
      <w:bookmarkStart w:id="7" w:name="_Toc341193302"/>
      <w:r>
        <w:t>Codes of Practice</w:t>
      </w:r>
      <w:r w:rsidR="00BD211D">
        <w:t xml:space="preserve"> and Technical Guidance</w:t>
      </w:r>
      <w:bookmarkEnd w:id="6"/>
      <w:bookmarkEnd w:id="7"/>
    </w:p>
    <w:p w:rsidR="00F3331C" w:rsidRDefault="00C47CF5" w:rsidP="00AA0FD1">
      <w:r>
        <w:t xml:space="preserve">The </w:t>
      </w:r>
      <w:r w:rsidR="00305416">
        <w:t xml:space="preserve">Commission </w:t>
      </w:r>
      <w:r>
        <w:t xml:space="preserve">has produced </w:t>
      </w:r>
      <w:r w:rsidR="00F3331C">
        <w:t xml:space="preserve">Codes of </w:t>
      </w:r>
      <w:r w:rsidR="00BD211D">
        <w:t>P</w:t>
      </w:r>
      <w:r w:rsidR="00F3331C">
        <w:t>ractice on Employment, Equal Pay, and Services, Public Functions and Associations</w:t>
      </w:r>
      <w:r w:rsidR="00CC47B2">
        <w:t xml:space="preserve"> (tranche 1 Codes)</w:t>
      </w:r>
      <w:r w:rsidR="00F3331C">
        <w:t xml:space="preserve">, and these Codes </w:t>
      </w:r>
      <w:r w:rsidR="00E43369">
        <w:t>c</w:t>
      </w:r>
      <w:r w:rsidR="00F3331C">
        <w:t xml:space="preserve">ame </w:t>
      </w:r>
      <w:r w:rsidR="00E43369">
        <w:t>into force o</w:t>
      </w:r>
      <w:r w:rsidR="00F3331C">
        <w:t xml:space="preserve">n 6 April 2011. </w:t>
      </w:r>
    </w:p>
    <w:p w:rsidR="00724E3C" w:rsidRPr="005C2F41" w:rsidRDefault="002B50DE" w:rsidP="00724E3C">
      <w:pPr>
        <w:rPr>
          <w:rFonts w:cs="Arial"/>
          <w:szCs w:val="28"/>
        </w:rPr>
      </w:pPr>
      <w:r w:rsidRPr="002B50DE">
        <w:rPr>
          <w:rFonts w:cs="Arial"/>
          <w:szCs w:val="28"/>
        </w:rPr>
        <w:t>The Commission is continuing to develop a range of guidance based on the Equality Act 2010 to support our stakeholders, and make it easier for them to make informed decisions about the Act.</w:t>
      </w:r>
      <w:r w:rsidR="005C2F41">
        <w:rPr>
          <w:rFonts w:cs="Arial"/>
          <w:szCs w:val="28"/>
        </w:rPr>
        <w:t xml:space="preserve"> </w:t>
      </w:r>
      <w:r w:rsidRPr="002B50DE">
        <w:rPr>
          <w:rFonts w:cs="Arial"/>
          <w:szCs w:val="28"/>
        </w:rPr>
        <w:t xml:space="preserve">A key element of this guidance is the suite of statutory </w:t>
      </w:r>
      <w:r w:rsidR="005C2F41">
        <w:rPr>
          <w:rFonts w:cs="Arial"/>
          <w:szCs w:val="28"/>
        </w:rPr>
        <w:t>C</w:t>
      </w:r>
      <w:r w:rsidRPr="002B50DE">
        <w:rPr>
          <w:rFonts w:cs="Arial"/>
          <w:szCs w:val="28"/>
        </w:rPr>
        <w:t xml:space="preserve">odes of </w:t>
      </w:r>
      <w:r w:rsidR="005C2F41">
        <w:rPr>
          <w:rFonts w:cs="Arial"/>
          <w:szCs w:val="28"/>
        </w:rPr>
        <w:t>P</w:t>
      </w:r>
      <w:r w:rsidRPr="002B50DE">
        <w:rPr>
          <w:rFonts w:cs="Arial"/>
          <w:szCs w:val="28"/>
        </w:rPr>
        <w:t xml:space="preserve">ractice, which explain the statutory provisions of the Equality Act 2010. </w:t>
      </w:r>
    </w:p>
    <w:p w:rsidR="00724E3C" w:rsidRPr="00724E3C" w:rsidRDefault="002B50DE" w:rsidP="00724E3C">
      <w:pPr>
        <w:rPr>
          <w:rFonts w:ascii="Times New Roman" w:hAnsi="Times New Roman"/>
          <w:szCs w:val="28"/>
        </w:rPr>
      </w:pPr>
      <w:r w:rsidRPr="002B50DE">
        <w:rPr>
          <w:rFonts w:cs="Arial"/>
          <w:szCs w:val="28"/>
        </w:rPr>
        <w:t>We had originally planned to produce</w:t>
      </w:r>
      <w:r w:rsidR="005C2F41">
        <w:rPr>
          <w:rFonts w:cs="Arial"/>
          <w:szCs w:val="28"/>
        </w:rPr>
        <w:t xml:space="preserve"> </w:t>
      </w:r>
      <w:r w:rsidRPr="002B50DE">
        <w:rPr>
          <w:rFonts w:cs="Arial"/>
          <w:szCs w:val="28"/>
        </w:rPr>
        <w:t xml:space="preserve">statutory </w:t>
      </w:r>
      <w:r w:rsidR="005C2F41">
        <w:rPr>
          <w:rFonts w:cs="Arial"/>
          <w:szCs w:val="28"/>
        </w:rPr>
        <w:t>C</w:t>
      </w:r>
      <w:r w:rsidRPr="002B50DE">
        <w:rPr>
          <w:rFonts w:cs="Arial"/>
          <w:szCs w:val="28"/>
        </w:rPr>
        <w:t xml:space="preserve">odes of </w:t>
      </w:r>
      <w:r w:rsidR="005C2F41">
        <w:rPr>
          <w:rFonts w:cs="Arial"/>
          <w:szCs w:val="28"/>
        </w:rPr>
        <w:t>P</w:t>
      </w:r>
      <w:r w:rsidRPr="002B50DE">
        <w:rPr>
          <w:rFonts w:cs="Arial"/>
          <w:szCs w:val="28"/>
        </w:rPr>
        <w:t xml:space="preserve">ractice on the Public Sector Equality Duty (PSED), which came into force on 5 April 2011, and for statutory </w:t>
      </w:r>
      <w:r w:rsidR="005C2F41">
        <w:rPr>
          <w:rFonts w:cs="Arial"/>
          <w:szCs w:val="28"/>
        </w:rPr>
        <w:t>C</w:t>
      </w:r>
      <w:r w:rsidRPr="002B50DE">
        <w:rPr>
          <w:rFonts w:cs="Arial"/>
          <w:szCs w:val="28"/>
        </w:rPr>
        <w:t xml:space="preserve">odes of </w:t>
      </w:r>
      <w:r w:rsidR="005C2F41">
        <w:rPr>
          <w:rFonts w:cs="Arial"/>
          <w:szCs w:val="28"/>
        </w:rPr>
        <w:t>P</w:t>
      </w:r>
      <w:r w:rsidRPr="002B50DE">
        <w:rPr>
          <w:rFonts w:cs="Arial"/>
          <w:szCs w:val="28"/>
        </w:rPr>
        <w:t xml:space="preserve">ractice for Schools and the Further and Higher Education (FEHE) sector. </w:t>
      </w:r>
      <w:r w:rsidRPr="002B50DE">
        <w:rPr>
          <w:rFonts w:eastAsia="Times New Roman" w:cs="Arial"/>
          <w:szCs w:val="28"/>
        </w:rPr>
        <w:t xml:space="preserve">In the light of the Government's position not to lay </w:t>
      </w:r>
      <w:r w:rsidR="005C2F41">
        <w:rPr>
          <w:rFonts w:eastAsia="Times New Roman" w:cs="Arial"/>
          <w:szCs w:val="28"/>
        </w:rPr>
        <w:t>C</w:t>
      </w:r>
      <w:r w:rsidRPr="002B50DE">
        <w:rPr>
          <w:rFonts w:eastAsia="Times New Roman" w:cs="Arial"/>
          <w:szCs w:val="28"/>
        </w:rPr>
        <w:t>odes before Parliament, the</w:t>
      </w:r>
      <w:r w:rsidR="005C2F41">
        <w:rPr>
          <w:rFonts w:eastAsia="Times New Roman" w:cs="Arial"/>
          <w:szCs w:val="28"/>
        </w:rPr>
        <w:t xml:space="preserve"> </w:t>
      </w:r>
      <w:r w:rsidRPr="002B50DE">
        <w:rPr>
          <w:rFonts w:eastAsia="Times New Roman" w:cs="Arial"/>
          <w:szCs w:val="28"/>
        </w:rPr>
        <w:t xml:space="preserve">Commission has </w:t>
      </w:r>
      <w:r w:rsidRPr="002B50DE">
        <w:rPr>
          <w:rFonts w:eastAsia="Times New Roman" w:cs="Arial"/>
          <w:szCs w:val="28"/>
        </w:rPr>
        <w:lastRenderedPageBreak/>
        <w:t xml:space="preserve">decided for now to produce </w:t>
      </w:r>
      <w:r w:rsidRPr="002B50DE">
        <w:rPr>
          <w:rFonts w:cs="Arial"/>
          <w:szCs w:val="28"/>
        </w:rPr>
        <w:t xml:space="preserve">the original text of these </w:t>
      </w:r>
      <w:r w:rsidR="005C2F41">
        <w:rPr>
          <w:rFonts w:cs="Arial"/>
          <w:szCs w:val="28"/>
        </w:rPr>
        <w:t>C</w:t>
      </w:r>
      <w:r w:rsidRPr="002B50DE">
        <w:rPr>
          <w:rFonts w:cs="Arial"/>
          <w:szCs w:val="28"/>
        </w:rPr>
        <w:t>odes as Technical Guidance.</w:t>
      </w:r>
      <w:r w:rsidRPr="002B50DE">
        <w:rPr>
          <w:rFonts w:ascii="Times New Roman" w:hAnsi="Times New Roman"/>
          <w:szCs w:val="28"/>
        </w:rPr>
        <w:t xml:space="preserve"> </w:t>
      </w:r>
    </w:p>
    <w:p w:rsidR="00724E3C" w:rsidRPr="00724E3C" w:rsidRDefault="00724E3C" w:rsidP="00724E3C">
      <w:pPr>
        <w:rPr>
          <w:rFonts w:ascii="Times New Roman" w:hAnsi="Times New Roman"/>
          <w:szCs w:val="28"/>
        </w:rPr>
      </w:pPr>
    </w:p>
    <w:p w:rsidR="00724E3C" w:rsidRPr="00724E3C" w:rsidRDefault="002B50DE" w:rsidP="00724E3C">
      <w:pPr>
        <w:rPr>
          <w:rFonts w:cs="Arial"/>
          <w:szCs w:val="28"/>
        </w:rPr>
      </w:pPr>
      <w:r w:rsidRPr="002B50DE">
        <w:rPr>
          <w:rFonts w:cs="Arial"/>
          <w:szCs w:val="28"/>
        </w:rPr>
        <w:t xml:space="preserve">Technical Guidance is a non-statutory version of a </w:t>
      </w:r>
      <w:r w:rsidR="005C2F41">
        <w:rPr>
          <w:rFonts w:cs="Arial"/>
          <w:szCs w:val="28"/>
        </w:rPr>
        <w:t>C</w:t>
      </w:r>
      <w:r w:rsidRPr="002B50DE">
        <w:rPr>
          <w:rFonts w:cs="Arial"/>
          <w:szCs w:val="28"/>
        </w:rPr>
        <w:t xml:space="preserve">ode, however it will still provide a formal, authoritative, and comprehensive legal interpretation of the PSED and education sections of the Act. It will also clarify the requirements of the legislation. </w:t>
      </w:r>
    </w:p>
    <w:p w:rsidR="00724E3C" w:rsidRPr="005C2F41" w:rsidRDefault="002B50DE" w:rsidP="0058194F">
      <w:pPr>
        <w:rPr>
          <w:rFonts w:cs="Arial"/>
          <w:i/>
          <w:color w:val="1F497D"/>
          <w:szCs w:val="28"/>
        </w:rPr>
      </w:pPr>
      <w:r w:rsidRPr="002B50DE">
        <w:rPr>
          <w:rFonts w:cs="Arial"/>
          <w:szCs w:val="28"/>
        </w:rPr>
        <w:t xml:space="preserve">Our </w:t>
      </w:r>
      <w:r w:rsidR="005C2F41">
        <w:rPr>
          <w:rFonts w:cs="Arial"/>
          <w:szCs w:val="28"/>
        </w:rPr>
        <w:t>T</w:t>
      </w:r>
      <w:r w:rsidRPr="002B50DE">
        <w:rPr>
          <w:rFonts w:cs="Arial"/>
          <w:szCs w:val="28"/>
        </w:rPr>
        <w:t xml:space="preserve">echnical </w:t>
      </w:r>
      <w:r w:rsidR="005C2F41">
        <w:rPr>
          <w:rFonts w:cs="Arial"/>
          <w:szCs w:val="28"/>
        </w:rPr>
        <w:t>G</w:t>
      </w:r>
      <w:r w:rsidRPr="002B50DE">
        <w:rPr>
          <w:rFonts w:cs="Arial"/>
          <w:szCs w:val="28"/>
        </w:rPr>
        <w:t xml:space="preserve">uidance will complement our existing suite of </w:t>
      </w:r>
      <w:r w:rsidR="005C2F41">
        <w:rPr>
          <w:rFonts w:cs="Arial"/>
          <w:szCs w:val="28"/>
        </w:rPr>
        <w:t>C</w:t>
      </w:r>
      <w:r w:rsidRPr="002B50DE">
        <w:rPr>
          <w:rFonts w:cs="Arial"/>
          <w:szCs w:val="28"/>
        </w:rPr>
        <w:t xml:space="preserve">odes of </w:t>
      </w:r>
      <w:r w:rsidR="005C2F41">
        <w:rPr>
          <w:rFonts w:cs="Arial"/>
          <w:szCs w:val="28"/>
        </w:rPr>
        <w:t>P</w:t>
      </w:r>
      <w:r w:rsidRPr="002B50DE">
        <w:rPr>
          <w:rFonts w:cs="Arial"/>
          <w:szCs w:val="28"/>
        </w:rPr>
        <w:t>ractice and non-statutory guidance</w:t>
      </w:r>
      <w:r w:rsidR="005C2F41">
        <w:rPr>
          <w:rFonts w:cs="Arial"/>
          <w:szCs w:val="28"/>
        </w:rPr>
        <w:t>.</w:t>
      </w:r>
    </w:p>
    <w:p w:rsidR="0058194F" w:rsidRDefault="0058194F" w:rsidP="0058194F">
      <w:r>
        <w:t>The F</w:t>
      </w:r>
      <w:r w:rsidR="001F067E">
        <w:t xml:space="preserve">urther and Higher Education Code </w:t>
      </w:r>
      <w:r>
        <w:t>underwent a full consultation in 201</w:t>
      </w:r>
      <w:r w:rsidR="00E966CB">
        <w:t>1</w:t>
      </w:r>
      <w:r w:rsidR="001F067E">
        <w:t xml:space="preserve"> </w:t>
      </w:r>
      <w:r w:rsidR="00E966CB">
        <w:t xml:space="preserve">with a view to </w:t>
      </w:r>
      <w:r w:rsidR="00D828D2">
        <w:t xml:space="preserve">its </w:t>
      </w:r>
      <w:r w:rsidR="00E966CB">
        <w:t xml:space="preserve">coming </w:t>
      </w:r>
      <w:r w:rsidR="007B3AAD">
        <w:t>i</w:t>
      </w:r>
      <w:r w:rsidR="00B16021">
        <w:t>nto force in September 2011. Ou</w:t>
      </w:r>
      <w:r w:rsidR="007B3AAD">
        <w:t xml:space="preserve">r intention now is to </w:t>
      </w:r>
      <w:r>
        <w:t xml:space="preserve">publish the </w:t>
      </w:r>
      <w:r w:rsidR="00D828D2">
        <w:t xml:space="preserve">post-consultation </w:t>
      </w:r>
      <w:r>
        <w:t>version as Technical Guidance</w:t>
      </w:r>
      <w:r w:rsidR="005A6570">
        <w:t>.</w:t>
      </w:r>
      <w:r>
        <w:t xml:space="preserve"> As with the Act, the Technical Guidance applies to England, Scotland and Wales.</w:t>
      </w:r>
    </w:p>
    <w:p w:rsidR="0058194F" w:rsidRDefault="0058194F" w:rsidP="0058194F">
      <w:r>
        <w:t xml:space="preserve">The </w:t>
      </w:r>
      <w:r w:rsidR="00DA386B">
        <w:t xml:space="preserve">Commission </w:t>
      </w:r>
      <w:r>
        <w:t xml:space="preserve">has already produced </w:t>
      </w:r>
      <w:r w:rsidRPr="00DF7E5E">
        <w:t xml:space="preserve">practical guidance </w:t>
      </w:r>
      <w:r>
        <w:t>for F</w:t>
      </w:r>
      <w:r w:rsidR="00DA386B">
        <w:t>E</w:t>
      </w:r>
      <w:r>
        <w:t xml:space="preserve">/HE providers which is available on our website: </w:t>
      </w:r>
      <w:hyperlink r:id="rId9" w:history="1">
        <w:r w:rsidR="001F067E" w:rsidRPr="00EB4FB1">
          <w:rPr>
            <w:rStyle w:val="Hyperlink"/>
          </w:rPr>
          <w:t>http://www.equalityhumanrights.com/advice-and-guidance/further-and-higher-education-providers-guidance/</w:t>
        </w:r>
      </w:hyperlink>
    </w:p>
    <w:p w:rsidR="00AA0FD1" w:rsidRDefault="00AA0FD1" w:rsidP="00AA0FD1">
      <w:r>
        <w:t xml:space="preserve">The </w:t>
      </w:r>
      <w:r w:rsidR="002C1F49">
        <w:t xml:space="preserve">Technical Guidance </w:t>
      </w:r>
      <w:r w:rsidR="00030F42">
        <w:t>i</w:t>
      </w:r>
      <w:r>
        <w:t>s a crucial component of the preventative framework and, t</w:t>
      </w:r>
      <w:r w:rsidRPr="00DF7E5E">
        <w:t xml:space="preserve">ogether with the practical guidance </w:t>
      </w:r>
      <w:r w:rsidR="00D828D2">
        <w:t xml:space="preserve">for providers and users </w:t>
      </w:r>
      <w:r w:rsidRPr="00DF7E5E">
        <w:t>produced by the Commission</w:t>
      </w:r>
      <w:r>
        <w:t>,</w:t>
      </w:r>
      <w:r w:rsidRPr="00DF7E5E">
        <w:t xml:space="preserve"> will:</w:t>
      </w:r>
    </w:p>
    <w:p w:rsidR="00AA0FD1" w:rsidRDefault="00AA0FD1" w:rsidP="00AA0FD1">
      <w:pPr>
        <w:numPr>
          <w:ilvl w:val="0"/>
          <w:numId w:val="5"/>
        </w:numPr>
      </w:pPr>
      <w:r w:rsidRPr="00DF7E5E">
        <w:t xml:space="preserve">help </w:t>
      </w:r>
      <w:r>
        <w:t>those</w:t>
      </w:r>
      <w:r w:rsidRPr="00DF7E5E">
        <w:t xml:space="preserve"> who have duties under the Equality Act to understand their responsibilities and how to avoid disputes</w:t>
      </w:r>
      <w:r w:rsidR="00132B11">
        <w:t xml:space="preserve"> </w:t>
      </w:r>
    </w:p>
    <w:p w:rsidR="00AA0FD1" w:rsidRDefault="00AA0FD1" w:rsidP="00AA0FD1">
      <w:pPr>
        <w:numPr>
          <w:ilvl w:val="0"/>
          <w:numId w:val="5"/>
        </w:numPr>
      </w:pPr>
      <w:r w:rsidRPr="00DF7E5E">
        <w:t xml:space="preserve">help </w:t>
      </w:r>
      <w:r w:rsidR="00031BC6">
        <w:t xml:space="preserve">parents, </w:t>
      </w:r>
      <w:r w:rsidR="00030F42">
        <w:t>students</w:t>
      </w:r>
      <w:r w:rsidR="00031BC6">
        <w:t xml:space="preserve"> and prospective </w:t>
      </w:r>
      <w:r w:rsidR="00030F42">
        <w:t>students</w:t>
      </w:r>
      <w:r w:rsidR="00031BC6" w:rsidRPr="00DF7E5E">
        <w:t xml:space="preserve"> </w:t>
      </w:r>
      <w:r w:rsidRPr="00DF7E5E">
        <w:t xml:space="preserve">to understand the law and what they can do if they believe they have been discriminated against because of a protected characteristic </w:t>
      </w:r>
    </w:p>
    <w:p w:rsidR="00AA0FD1" w:rsidRDefault="00AA0FD1" w:rsidP="00AA0FD1">
      <w:pPr>
        <w:numPr>
          <w:ilvl w:val="0"/>
          <w:numId w:val="5"/>
        </w:numPr>
      </w:pPr>
      <w:r w:rsidRPr="00DF7E5E">
        <w:t>help lawyers and other advisers to advise their clients</w:t>
      </w:r>
    </w:p>
    <w:p w:rsidR="00AA0FD1" w:rsidRDefault="00AA0FD1" w:rsidP="00AA0FD1">
      <w:pPr>
        <w:numPr>
          <w:ilvl w:val="0"/>
          <w:numId w:val="5"/>
        </w:numPr>
      </w:pPr>
      <w:r w:rsidRPr="00DF7E5E">
        <w:t xml:space="preserve">ensure that anyone who is considering bringing legal proceedings under the Equality Act 2010 understands the legislation and is aware of good practice in </w:t>
      </w:r>
      <w:r w:rsidR="00030F42">
        <w:t>further and higher education</w:t>
      </w:r>
      <w:r w:rsidRPr="00DF7E5E">
        <w:t>.</w:t>
      </w:r>
    </w:p>
    <w:p w:rsidR="0058194F" w:rsidRPr="0058194F" w:rsidRDefault="0058194F" w:rsidP="008356FB">
      <w:pPr>
        <w:pStyle w:val="Heading3"/>
      </w:pPr>
      <w:r w:rsidRPr="0058194F">
        <w:t>What is the status of Technical Guidance?</w:t>
      </w:r>
    </w:p>
    <w:p w:rsidR="00AA0FD1" w:rsidRDefault="00AA0FD1" w:rsidP="00AA0FD1">
      <w:r w:rsidRPr="00DF7E5E">
        <w:t xml:space="preserve">The </w:t>
      </w:r>
      <w:r w:rsidRPr="002A6078">
        <w:t xml:space="preserve">Commission </w:t>
      </w:r>
      <w:r w:rsidR="003F741A">
        <w:t xml:space="preserve">is issuing </w:t>
      </w:r>
      <w:r w:rsidR="0020248B">
        <w:t xml:space="preserve">non-statutory </w:t>
      </w:r>
      <w:r w:rsidR="003F741A">
        <w:t>F</w:t>
      </w:r>
      <w:r w:rsidR="00CE526F">
        <w:t xml:space="preserve">urther and Higher Education </w:t>
      </w:r>
      <w:r w:rsidR="003F741A">
        <w:t>Tec</w:t>
      </w:r>
      <w:r w:rsidR="002C1F49">
        <w:t>hnical Guidance</w:t>
      </w:r>
      <w:r w:rsidR="003F741A">
        <w:t xml:space="preserve"> </w:t>
      </w:r>
      <w:r w:rsidRPr="002A6078">
        <w:t>o the basis of its powers under the Equality Act 2006.</w:t>
      </w:r>
      <w:r w:rsidR="00132B11">
        <w:t xml:space="preserve"> </w:t>
      </w:r>
      <w:r>
        <w:t xml:space="preserve">The </w:t>
      </w:r>
      <w:r w:rsidR="002C1F49">
        <w:t>Technical Guidance</w:t>
      </w:r>
      <w:r w:rsidR="003F741A">
        <w:t xml:space="preserve"> </w:t>
      </w:r>
      <w:r>
        <w:t>do</w:t>
      </w:r>
      <w:r w:rsidR="00030F42">
        <w:t>es</w:t>
      </w:r>
      <w:r w:rsidRPr="00DF7E5E">
        <w:t xml:space="preserve"> not impose legal obligations</w:t>
      </w:r>
      <w:r w:rsidR="00030F42">
        <w:t>, and is</w:t>
      </w:r>
      <w:r w:rsidRPr="00DF7E5E">
        <w:t xml:space="preserve"> not an authoritative statement of the law; only the tribunals and the courts can provi</w:t>
      </w:r>
      <w:r>
        <w:t xml:space="preserve">de such authority. </w:t>
      </w:r>
      <w:r w:rsidR="00CE526F">
        <w:t>The Guidance may be used</w:t>
      </w:r>
      <w:r w:rsidR="0020248B">
        <w:t>,</w:t>
      </w:r>
      <w:r w:rsidR="00DA386B">
        <w:t xml:space="preserve"> </w:t>
      </w:r>
      <w:r w:rsidR="0020248B">
        <w:t>however,</w:t>
      </w:r>
      <w:r w:rsidR="00132B11">
        <w:t xml:space="preserve"> </w:t>
      </w:r>
      <w:r w:rsidR="00CE526F">
        <w:lastRenderedPageBreak/>
        <w:t>as evidence in legal proceedings.</w:t>
      </w:r>
      <w:r w:rsidR="00CE526F">
        <w:rPr>
          <w:szCs w:val="28"/>
        </w:rPr>
        <w:t xml:space="preserve"> Although there would be no obligation for courts or tribunals to take the Te</w:t>
      </w:r>
      <w:r w:rsidR="00B16021">
        <w:rPr>
          <w:szCs w:val="28"/>
        </w:rPr>
        <w:t>chnical Guidance into account,</w:t>
      </w:r>
      <w:r w:rsidR="00132B11">
        <w:rPr>
          <w:szCs w:val="28"/>
        </w:rPr>
        <w:t xml:space="preserve"> </w:t>
      </w:r>
      <w:r w:rsidR="00CE526F">
        <w:rPr>
          <w:szCs w:val="28"/>
        </w:rPr>
        <w:t>the previous experience</w:t>
      </w:r>
      <w:r w:rsidR="00CE526F" w:rsidRPr="00CE526F">
        <w:t xml:space="preserve"> </w:t>
      </w:r>
      <w:r w:rsidR="00CE526F">
        <w:rPr>
          <w:szCs w:val="28"/>
        </w:rPr>
        <w:t xml:space="preserve">with courts using the </w:t>
      </w:r>
      <w:r w:rsidR="00DA386B">
        <w:rPr>
          <w:szCs w:val="28"/>
        </w:rPr>
        <w:t xml:space="preserve">Commission’s </w:t>
      </w:r>
      <w:r w:rsidR="00CE526F">
        <w:rPr>
          <w:szCs w:val="28"/>
        </w:rPr>
        <w:t>‘Making Fair Financial Decisions’ guidance</w:t>
      </w:r>
      <w:r w:rsidR="00B16021">
        <w:rPr>
          <w:szCs w:val="28"/>
        </w:rPr>
        <w:t>,</w:t>
      </w:r>
      <w:r w:rsidR="00132B11">
        <w:rPr>
          <w:szCs w:val="28"/>
        </w:rPr>
        <w:t xml:space="preserve"> </w:t>
      </w:r>
      <w:r w:rsidR="00CE526F">
        <w:rPr>
          <w:szCs w:val="28"/>
        </w:rPr>
        <w:t>suggests that the legal profession will look to the Commission as an authoritative source of guidance.</w:t>
      </w:r>
      <w:r w:rsidR="00132B11">
        <w:rPr>
          <w:szCs w:val="28"/>
        </w:rPr>
        <w:t xml:space="preserve"> </w:t>
      </w:r>
      <w:r w:rsidR="00CE526F">
        <w:rPr>
          <w:szCs w:val="28"/>
        </w:rPr>
        <w:t xml:space="preserve">In addition, </w:t>
      </w:r>
      <w:r w:rsidR="003F741A">
        <w:t>i</w:t>
      </w:r>
      <w:r w:rsidRPr="00DF7E5E">
        <w:t xml:space="preserve">f </w:t>
      </w:r>
      <w:r>
        <w:t>those who</w:t>
      </w:r>
      <w:r w:rsidRPr="00DF7E5E">
        <w:t xml:space="preserve"> have duties under the Act's provision</w:t>
      </w:r>
      <w:r>
        <w:t>s follow the</w:t>
      </w:r>
      <w:r w:rsidR="00B16021">
        <w:t xml:space="preserve"> Technical Guidance</w:t>
      </w:r>
      <w:r w:rsidRPr="00DF7E5E">
        <w:t>, it may help to avoid an adverse decision by a tribunal or court in such proceedings.</w:t>
      </w:r>
    </w:p>
    <w:p w:rsidR="00AA0FD1" w:rsidRPr="00CE1D3E" w:rsidRDefault="00AA1BED" w:rsidP="008356FB">
      <w:pPr>
        <w:pStyle w:val="Heading2"/>
      </w:pPr>
      <w:bookmarkStart w:id="8" w:name="_Toc329870614"/>
      <w:bookmarkStart w:id="9" w:name="_Toc341193303"/>
      <w:r>
        <w:t>Consultation m</w:t>
      </w:r>
      <w:r w:rsidR="00AA0FD1" w:rsidRPr="00CE1D3E">
        <w:t>ethodology</w:t>
      </w:r>
      <w:bookmarkEnd w:id="8"/>
      <w:bookmarkEnd w:id="9"/>
      <w:r>
        <w:t xml:space="preserve"> </w:t>
      </w:r>
    </w:p>
    <w:p w:rsidR="00293889" w:rsidRDefault="00AA1BED" w:rsidP="00132B11">
      <w:pPr>
        <w:autoSpaceDE w:val="0"/>
        <w:autoSpaceDN w:val="0"/>
        <w:adjustRightInd w:val="0"/>
        <w:spacing w:before="200" w:after="0"/>
        <w:rPr>
          <w:rStyle w:val="ends2"/>
          <w:rFonts w:cs="Arial"/>
          <w:szCs w:val="28"/>
        </w:rPr>
      </w:pPr>
      <w:r>
        <w:rPr>
          <w:szCs w:val="28"/>
        </w:rPr>
        <w:t xml:space="preserve">Where the </w:t>
      </w:r>
      <w:r w:rsidR="00DA386B">
        <w:rPr>
          <w:szCs w:val="28"/>
        </w:rPr>
        <w:t xml:space="preserve">Commission </w:t>
      </w:r>
      <w:r>
        <w:rPr>
          <w:szCs w:val="28"/>
        </w:rPr>
        <w:t xml:space="preserve">decides to exercise its powers and to issue </w:t>
      </w:r>
      <w:r w:rsidR="00AA0FD1" w:rsidRPr="00213F18">
        <w:rPr>
          <w:rStyle w:val="ends2"/>
          <w:rFonts w:cs="Arial"/>
          <w:szCs w:val="28"/>
        </w:rPr>
        <w:t xml:space="preserve">a </w:t>
      </w:r>
      <w:r w:rsidR="00AA0FD1">
        <w:rPr>
          <w:rStyle w:val="ends2"/>
          <w:rFonts w:cs="Arial"/>
          <w:szCs w:val="28"/>
        </w:rPr>
        <w:t>C</w:t>
      </w:r>
      <w:r w:rsidR="00AA0FD1" w:rsidRPr="00213F18">
        <w:rPr>
          <w:rStyle w:val="ends2"/>
          <w:rFonts w:cs="Arial"/>
          <w:szCs w:val="28"/>
        </w:rPr>
        <w:t xml:space="preserve">ode of </w:t>
      </w:r>
      <w:r w:rsidR="00AA0FD1">
        <w:rPr>
          <w:rStyle w:val="ends2"/>
          <w:rFonts w:cs="Arial"/>
          <w:szCs w:val="28"/>
        </w:rPr>
        <w:t>P</w:t>
      </w:r>
      <w:r w:rsidR="00AA0FD1" w:rsidRPr="00213F18">
        <w:rPr>
          <w:rStyle w:val="ends2"/>
          <w:rFonts w:cs="Arial"/>
          <w:szCs w:val="28"/>
        </w:rPr>
        <w:t>ractice in respect of specified are</w:t>
      </w:r>
      <w:r>
        <w:rPr>
          <w:rStyle w:val="ends2"/>
          <w:rFonts w:cs="Arial"/>
          <w:szCs w:val="28"/>
        </w:rPr>
        <w:t>as of discrimination legislation, t</w:t>
      </w:r>
      <w:r w:rsidR="00AA0FD1" w:rsidRPr="00213F18">
        <w:rPr>
          <w:rStyle w:val="ends2"/>
          <w:rFonts w:cs="Arial"/>
          <w:szCs w:val="28"/>
        </w:rPr>
        <w:t xml:space="preserve">he </w:t>
      </w:r>
      <w:r w:rsidR="00AA0FD1">
        <w:rPr>
          <w:rStyle w:val="ends2"/>
          <w:rFonts w:cs="Arial"/>
          <w:szCs w:val="28"/>
        </w:rPr>
        <w:t>E</w:t>
      </w:r>
      <w:r w:rsidR="00DA386B">
        <w:rPr>
          <w:rStyle w:val="ends2"/>
          <w:rFonts w:cs="Arial"/>
          <w:szCs w:val="28"/>
        </w:rPr>
        <w:t xml:space="preserve">quality </w:t>
      </w:r>
      <w:r w:rsidR="00AA0FD1">
        <w:rPr>
          <w:rStyle w:val="ends2"/>
          <w:rFonts w:cs="Arial"/>
          <w:szCs w:val="28"/>
        </w:rPr>
        <w:t>A</w:t>
      </w:r>
      <w:r w:rsidR="00DA386B">
        <w:rPr>
          <w:rStyle w:val="ends2"/>
          <w:rFonts w:cs="Arial"/>
          <w:szCs w:val="28"/>
        </w:rPr>
        <w:t>ct</w:t>
      </w:r>
      <w:r w:rsidR="00AA0FD1">
        <w:rPr>
          <w:rStyle w:val="ends2"/>
          <w:rFonts w:cs="Arial"/>
          <w:szCs w:val="28"/>
        </w:rPr>
        <w:t xml:space="preserve"> 2006</w:t>
      </w:r>
      <w:r w:rsidR="00AA0FD1" w:rsidRPr="00213F18">
        <w:rPr>
          <w:rStyle w:val="ends2"/>
          <w:rFonts w:cs="Arial"/>
          <w:szCs w:val="28"/>
        </w:rPr>
        <w:t xml:space="preserve"> requires that we publish </w:t>
      </w:r>
      <w:r>
        <w:rPr>
          <w:rStyle w:val="ends2"/>
          <w:rFonts w:cs="Arial"/>
          <w:szCs w:val="28"/>
        </w:rPr>
        <w:t xml:space="preserve">and consult on our </w:t>
      </w:r>
      <w:r w:rsidR="00AA0FD1" w:rsidRPr="00213F18">
        <w:rPr>
          <w:rStyle w:val="ends2"/>
          <w:rFonts w:cs="Arial"/>
          <w:szCs w:val="28"/>
        </w:rPr>
        <w:t>proposals</w:t>
      </w:r>
      <w:r w:rsidR="00293889">
        <w:rPr>
          <w:rStyle w:val="ends2"/>
          <w:rFonts w:cs="Arial"/>
          <w:szCs w:val="28"/>
        </w:rPr>
        <w:t>.</w:t>
      </w:r>
      <w:r w:rsidR="00132B11">
        <w:rPr>
          <w:rStyle w:val="ends2"/>
          <w:rFonts w:cs="Arial"/>
          <w:szCs w:val="28"/>
        </w:rPr>
        <w:t xml:space="preserve"> </w:t>
      </w:r>
      <w:r w:rsidR="00293889">
        <w:rPr>
          <w:rStyle w:val="ends2"/>
          <w:rFonts w:cs="Arial"/>
          <w:szCs w:val="28"/>
        </w:rPr>
        <w:t xml:space="preserve">As the decision to publish this document as Technical Guidance was taken after the consultation process </w:t>
      </w:r>
      <w:r w:rsidR="00E43369">
        <w:rPr>
          <w:rStyle w:val="ends2"/>
          <w:rFonts w:cs="Arial"/>
          <w:szCs w:val="28"/>
        </w:rPr>
        <w:t xml:space="preserve">on the Further and Higher Education Code </w:t>
      </w:r>
      <w:r w:rsidR="00293889">
        <w:rPr>
          <w:rStyle w:val="ends2"/>
          <w:rFonts w:cs="Arial"/>
          <w:szCs w:val="28"/>
        </w:rPr>
        <w:t xml:space="preserve">had been completed, we have followed </w:t>
      </w:r>
      <w:r w:rsidR="00E953AB">
        <w:rPr>
          <w:rStyle w:val="ends2"/>
          <w:rFonts w:cs="Arial"/>
          <w:szCs w:val="28"/>
        </w:rPr>
        <w:t xml:space="preserve">and completed </w:t>
      </w:r>
      <w:r w:rsidR="00293889">
        <w:rPr>
          <w:rStyle w:val="ends2"/>
          <w:rFonts w:cs="Arial"/>
          <w:szCs w:val="28"/>
        </w:rPr>
        <w:t>the required consultation procedure for Codes of Practice</w:t>
      </w:r>
      <w:r w:rsidR="00E953AB">
        <w:rPr>
          <w:rStyle w:val="ends2"/>
          <w:rFonts w:cs="Arial"/>
          <w:szCs w:val="28"/>
        </w:rPr>
        <w:t>.</w:t>
      </w:r>
    </w:p>
    <w:p w:rsidR="00AA0FD1" w:rsidRDefault="00AA0FD1" w:rsidP="00132B11">
      <w:pPr>
        <w:autoSpaceDE w:val="0"/>
        <w:autoSpaceDN w:val="0"/>
        <w:adjustRightInd w:val="0"/>
        <w:spacing w:before="100" w:beforeAutospacing="1"/>
        <w:rPr>
          <w:rStyle w:val="ends2"/>
          <w:rFonts w:cs="Arial"/>
          <w:szCs w:val="28"/>
        </w:rPr>
      </w:pPr>
      <w:r w:rsidRPr="00213F18">
        <w:rPr>
          <w:rStyle w:val="ends2"/>
          <w:rFonts w:cs="Arial"/>
          <w:szCs w:val="28"/>
        </w:rPr>
        <w:t xml:space="preserve">We </w:t>
      </w:r>
      <w:r w:rsidR="00E43369">
        <w:rPr>
          <w:rStyle w:val="ends2"/>
          <w:rFonts w:cs="Arial"/>
          <w:szCs w:val="28"/>
        </w:rPr>
        <w:t xml:space="preserve">have </w:t>
      </w:r>
      <w:r w:rsidRPr="00213F18">
        <w:rPr>
          <w:rStyle w:val="ends2"/>
          <w:rFonts w:cs="Arial"/>
          <w:szCs w:val="28"/>
        </w:rPr>
        <w:t>also adhere</w:t>
      </w:r>
      <w:r w:rsidR="00E43369">
        <w:rPr>
          <w:rStyle w:val="ends2"/>
          <w:rFonts w:cs="Arial"/>
          <w:szCs w:val="28"/>
        </w:rPr>
        <w:t>d</w:t>
      </w:r>
      <w:r w:rsidRPr="00213F18">
        <w:rPr>
          <w:rStyle w:val="ends2"/>
          <w:rFonts w:cs="Arial"/>
          <w:szCs w:val="28"/>
        </w:rPr>
        <w:t xml:space="preserve"> to consultation criteria included in the Government's Code of Practice on Consultation</w:t>
      </w:r>
      <w:r>
        <w:rPr>
          <w:rStyle w:val="ends2"/>
          <w:rFonts w:cs="Arial"/>
          <w:szCs w:val="28"/>
        </w:rPr>
        <w:t>.</w:t>
      </w:r>
      <w:r w:rsidRPr="00213F18">
        <w:rPr>
          <w:rStyle w:val="FootnoteReference"/>
          <w:rFonts w:cs="Arial"/>
          <w:szCs w:val="28"/>
        </w:rPr>
        <w:footnoteReference w:id="1"/>
      </w:r>
      <w:r w:rsidR="00132B11">
        <w:rPr>
          <w:rStyle w:val="ends2"/>
          <w:rFonts w:cs="Arial"/>
          <w:szCs w:val="28"/>
        </w:rPr>
        <w:t xml:space="preserve"> </w:t>
      </w:r>
    </w:p>
    <w:p w:rsidR="00AA0FD1" w:rsidRDefault="00AA0FD1" w:rsidP="00132B11">
      <w:pPr>
        <w:autoSpaceDE w:val="0"/>
        <w:autoSpaceDN w:val="0"/>
        <w:adjustRightInd w:val="0"/>
        <w:spacing w:before="100" w:beforeAutospacing="1"/>
        <w:rPr>
          <w:rStyle w:val="ends2"/>
          <w:rFonts w:cs="Arial"/>
          <w:szCs w:val="28"/>
        </w:rPr>
      </w:pPr>
      <w:r>
        <w:rPr>
          <w:rStyle w:val="ends2"/>
          <w:rFonts w:cs="Arial"/>
          <w:szCs w:val="28"/>
        </w:rPr>
        <w:t>To meet our responsibilities under the E</w:t>
      </w:r>
      <w:r w:rsidR="00DA386B">
        <w:rPr>
          <w:rStyle w:val="ends2"/>
          <w:rFonts w:cs="Arial"/>
          <w:szCs w:val="28"/>
        </w:rPr>
        <w:t xml:space="preserve">quality </w:t>
      </w:r>
      <w:r>
        <w:rPr>
          <w:rStyle w:val="ends2"/>
          <w:rFonts w:cs="Arial"/>
          <w:szCs w:val="28"/>
        </w:rPr>
        <w:t>A</w:t>
      </w:r>
      <w:r w:rsidR="00DA386B">
        <w:rPr>
          <w:rStyle w:val="ends2"/>
          <w:rFonts w:cs="Arial"/>
          <w:szCs w:val="28"/>
        </w:rPr>
        <w:t>ct</w:t>
      </w:r>
      <w:r>
        <w:rPr>
          <w:rStyle w:val="ends2"/>
          <w:rFonts w:cs="Arial"/>
          <w:szCs w:val="28"/>
        </w:rPr>
        <w:t xml:space="preserve"> 2006 and </w:t>
      </w:r>
      <w:r w:rsidRPr="00213F18">
        <w:rPr>
          <w:rStyle w:val="ends2"/>
          <w:rFonts w:cs="Arial"/>
          <w:szCs w:val="28"/>
        </w:rPr>
        <w:t>Code of Practice on Consultation</w:t>
      </w:r>
      <w:r w:rsidR="00E953AB">
        <w:rPr>
          <w:rStyle w:val="ends2"/>
          <w:rFonts w:cs="Arial"/>
          <w:szCs w:val="28"/>
        </w:rPr>
        <w:t>,</w:t>
      </w:r>
      <w:r>
        <w:rPr>
          <w:rStyle w:val="ends2"/>
          <w:rFonts w:cs="Arial"/>
          <w:szCs w:val="28"/>
        </w:rPr>
        <w:t xml:space="preserve"> our methodology incorporated the following elements: </w:t>
      </w:r>
    </w:p>
    <w:p w:rsidR="002B169B" w:rsidRPr="002B169B" w:rsidRDefault="00471C9C" w:rsidP="00132B11">
      <w:pPr>
        <w:pStyle w:val="ListParagraph"/>
        <w:numPr>
          <w:ilvl w:val="0"/>
          <w:numId w:val="12"/>
        </w:numPr>
        <w:autoSpaceDE w:val="0"/>
        <w:autoSpaceDN w:val="0"/>
        <w:adjustRightInd w:val="0"/>
        <w:ind w:left="714" w:hanging="357"/>
        <w:contextualSpacing w:val="0"/>
        <w:rPr>
          <w:rStyle w:val="ends2"/>
          <w:rFonts w:cs="Arial"/>
          <w:szCs w:val="28"/>
        </w:rPr>
      </w:pPr>
      <w:r w:rsidRPr="002B169B">
        <w:rPr>
          <w:rStyle w:val="ends2"/>
          <w:rFonts w:cs="Arial"/>
          <w:szCs w:val="28"/>
        </w:rPr>
        <w:t xml:space="preserve">Incorporation </w:t>
      </w:r>
      <w:r w:rsidR="002B169B" w:rsidRPr="002B169B">
        <w:rPr>
          <w:rStyle w:val="ends2"/>
          <w:rFonts w:cs="Arial"/>
          <w:szCs w:val="28"/>
        </w:rPr>
        <w:t xml:space="preserve">into the consultation draft </w:t>
      </w:r>
      <w:r w:rsidR="002B169B">
        <w:rPr>
          <w:rStyle w:val="ends2"/>
          <w:rFonts w:cs="Arial"/>
          <w:szCs w:val="28"/>
        </w:rPr>
        <w:t xml:space="preserve">of </w:t>
      </w:r>
      <w:r w:rsidRPr="002B169B">
        <w:rPr>
          <w:rStyle w:val="ends2"/>
          <w:rFonts w:cs="Arial"/>
          <w:szCs w:val="28"/>
        </w:rPr>
        <w:t xml:space="preserve">feedback </w:t>
      </w:r>
      <w:r w:rsidR="002B169B" w:rsidRPr="002B169B">
        <w:rPr>
          <w:rStyle w:val="ends2"/>
          <w:rFonts w:cs="Arial"/>
          <w:szCs w:val="28"/>
        </w:rPr>
        <w:t xml:space="preserve">on Tranche </w:t>
      </w:r>
      <w:r w:rsidR="00DA386B">
        <w:rPr>
          <w:rStyle w:val="ends2"/>
          <w:rFonts w:cs="Arial"/>
          <w:szCs w:val="28"/>
        </w:rPr>
        <w:t>1</w:t>
      </w:r>
      <w:r w:rsidR="002B169B" w:rsidRPr="002B169B">
        <w:rPr>
          <w:rStyle w:val="ends2"/>
          <w:rFonts w:cs="Arial"/>
          <w:szCs w:val="28"/>
        </w:rPr>
        <w:t xml:space="preserve"> Codes </w:t>
      </w:r>
      <w:r w:rsidR="002B169B">
        <w:rPr>
          <w:rStyle w:val="ends2"/>
          <w:rFonts w:cs="Arial"/>
          <w:szCs w:val="28"/>
        </w:rPr>
        <w:t xml:space="preserve">from </w:t>
      </w:r>
      <w:r w:rsidRPr="002B169B">
        <w:rPr>
          <w:rStyle w:val="ends2"/>
          <w:rFonts w:cs="Arial"/>
          <w:szCs w:val="28"/>
        </w:rPr>
        <w:t>stakeholders</w:t>
      </w:r>
      <w:r w:rsidR="00DA386B">
        <w:rPr>
          <w:rStyle w:val="ends2"/>
          <w:rFonts w:cs="Arial"/>
          <w:szCs w:val="28"/>
        </w:rPr>
        <w:t>.</w:t>
      </w:r>
    </w:p>
    <w:p w:rsidR="005C47F4" w:rsidRPr="002B169B" w:rsidRDefault="005C47F4" w:rsidP="00132B11">
      <w:pPr>
        <w:pStyle w:val="ListParagraph"/>
        <w:numPr>
          <w:ilvl w:val="0"/>
          <w:numId w:val="12"/>
        </w:numPr>
        <w:autoSpaceDE w:val="0"/>
        <w:autoSpaceDN w:val="0"/>
        <w:adjustRightInd w:val="0"/>
        <w:ind w:left="714" w:hanging="357"/>
        <w:contextualSpacing w:val="0"/>
        <w:rPr>
          <w:rStyle w:val="ends2"/>
          <w:rFonts w:cs="Arial"/>
          <w:szCs w:val="28"/>
        </w:rPr>
      </w:pPr>
      <w:r w:rsidRPr="002B169B">
        <w:rPr>
          <w:rStyle w:val="ends2"/>
          <w:rFonts w:cs="Arial"/>
          <w:szCs w:val="28"/>
        </w:rPr>
        <w:t>Engagement with government departments at pre-consultation stage</w:t>
      </w:r>
      <w:r w:rsidR="002B169B" w:rsidRPr="002B169B">
        <w:rPr>
          <w:rStyle w:val="ends2"/>
          <w:rFonts w:cs="Arial"/>
          <w:szCs w:val="28"/>
        </w:rPr>
        <w:t xml:space="preserve"> on content, </w:t>
      </w:r>
      <w:r w:rsidR="002B169B">
        <w:rPr>
          <w:rStyle w:val="ends2"/>
          <w:rFonts w:cs="Arial"/>
          <w:szCs w:val="28"/>
        </w:rPr>
        <w:t xml:space="preserve">including </w:t>
      </w:r>
      <w:r w:rsidR="002B169B" w:rsidRPr="002B169B">
        <w:rPr>
          <w:rStyle w:val="ends2"/>
          <w:rFonts w:cs="Arial"/>
          <w:szCs w:val="28"/>
        </w:rPr>
        <w:t xml:space="preserve">core concepts, from Tranche </w:t>
      </w:r>
      <w:r w:rsidR="00DA386B">
        <w:rPr>
          <w:rStyle w:val="ends2"/>
          <w:rFonts w:cs="Arial"/>
          <w:szCs w:val="28"/>
        </w:rPr>
        <w:t>1</w:t>
      </w:r>
      <w:r w:rsidR="002B169B" w:rsidRPr="002B169B">
        <w:rPr>
          <w:rStyle w:val="ends2"/>
          <w:rFonts w:cs="Arial"/>
          <w:szCs w:val="28"/>
        </w:rPr>
        <w:t xml:space="preserve"> Codes.</w:t>
      </w:r>
    </w:p>
    <w:p w:rsidR="00AA0FD1" w:rsidRPr="002C1E4F" w:rsidRDefault="00AA0FD1" w:rsidP="00132B11">
      <w:pPr>
        <w:pStyle w:val="ListParagraph"/>
        <w:numPr>
          <w:ilvl w:val="0"/>
          <w:numId w:val="12"/>
        </w:numPr>
        <w:autoSpaceDE w:val="0"/>
        <w:autoSpaceDN w:val="0"/>
        <w:adjustRightInd w:val="0"/>
        <w:ind w:left="714" w:hanging="357"/>
        <w:contextualSpacing w:val="0"/>
        <w:rPr>
          <w:rStyle w:val="ends2"/>
          <w:rFonts w:cs="Arial"/>
          <w:szCs w:val="28"/>
        </w:rPr>
      </w:pPr>
      <w:r w:rsidRPr="002C1E4F">
        <w:rPr>
          <w:rStyle w:val="ends2"/>
          <w:rFonts w:cs="Arial"/>
          <w:szCs w:val="28"/>
        </w:rPr>
        <w:t xml:space="preserve">Publication of the draft </w:t>
      </w:r>
      <w:r>
        <w:rPr>
          <w:rStyle w:val="ends2"/>
          <w:rFonts w:cs="Arial"/>
          <w:szCs w:val="28"/>
        </w:rPr>
        <w:t>C</w:t>
      </w:r>
      <w:r w:rsidRPr="002C1E4F">
        <w:rPr>
          <w:rStyle w:val="ends2"/>
          <w:rFonts w:cs="Arial"/>
          <w:szCs w:val="28"/>
        </w:rPr>
        <w:t>ode for consultation</w:t>
      </w:r>
      <w:r>
        <w:rPr>
          <w:rStyle w:val="ends2"/>
          <w:rFonts w:cs="Arial"/>
          <w:szCs w:val="28"/>
        </w:rPr>
        <w:t>,</w:t>
      </w:r>
      <w:r w:rsidRPr="002C1E4F">
        <w:rPr>
          <w:rStyle w:val="ends2"/>
          <w:rFonts w:cs="Arial"/>
          <w:szCs w:val="28"/>
        </w:rPr>
        <w:t xml:space="preserve"> and notification sent to stakeholders via a range of media.</w:t>
      </w:r>
    </w:p>
    <w:p w:rsidR="00AA0FD1" w:rsidRDefault="00AA0FD1" w:rsidP="00132B11">
      <w:pPr>
        <w:pStyle w:val="ListParagraph"/>
        <w:numPr>
          <w:ilvl w:val="0"/>
          <w:numId w:val="12"/>
        </w:numPr>
        <w:autoSpaceDE w:val="0"/>
        <w:autoSpaceDN w:val="0"/>
        <w:adjustRightInd w:val="0"/>
        <w:ind w:left="714" w:hanging="357"/>
        <w:contextualSpacing w:val="0"/>
        <w:rPr>
          <w:rStyle w:val="ends2"/>
          <w:rFonts w:cs="Arial"/>
          <w:szCs w:val="28"/>
        </w:rPr>
      </w:pPr>
      <w:r>
        <w:rPr>
          <w:rStyle w:val="ends2"/>
          <w:rFonts w:cs="Arial"/>
          <w:szCs w:val="28"/>
        </w:rPr>
        <w:t>Allowed 12</w:t>
      </w:r>
      <w:r w:rsidRPr="00B57FB2">
        <w:rPr>
          <w:rStyle w:val="ends2"/>
          <w:rFonts w:cs="Arial"/>
          <w:szCs w:val="28"/>
        </w:rPr>
        <w:t xml:space="preserve"> weeks for participants to respond</w:t>
      </w:r>
      <w:r>
        <w:rPr>
          <w:rStyle w:val="ends2"/>
          <w:rFonts w:cs="Arial"/>
          <w:szCs w:val="28"/>
        </w:rPr>
        <w:t xml:space="preserve">, </w:t>
      </w:r>
      <w:r w:rsidRPr="00B57FB2">
        <w:rPr>
          <w:rStyle w:val="ends2"/>
          <w:rFonts w:cs="Arial"/>
          <w:szCs w:val="28"/>
        </w:rPr>
        <w:t xml:space="preserve">ensuring that they had scope </w:t>
      </w:r>
      <w:r>
        <w:rPr>
          <w:rStyle w:val="ends2"/>
          <w:rFonts w:cs="Arial"/>
          <w:szCs w:val="28"/>
        </w:rPr>
        <w:t>to influence the final drafts.</w:t>
      </w:r>
    </w:p>
    <w:p w:rsidR="00AA0FD1" w:rsidRPr="0011460E" w:rsidRDefault="00AA0FD1" w:rsidP="00132B11">
      <w:pPr>
        <w:pStyle w:val="ListParagraph"/>
        <w:numPr>
          <w:ilvl w:val="0"/>
          <w:numId w:val="12"/>
        </w:numPr>
        <w:autoSpaceDE w:val="0"/>
        <w:autoSpaceDN w:val="0"/>
        <w:adjustRightInd w:val="0"/>
        <w:ind w:left="714" w:hanging="357"/>
        <w:contextualSpacing w:val="0"/>
        <w:rPr>
          <w:rStyle w:val="ends2"/>
          <w:rFonts w:cs="Arial"/>
          <w:szCs w:val="28"/>
        </w:rPr>
      </w:pPr>
      <w:r w:rsidRPr="0011460E">
        <w:rPr>
          <w:rStyle w:val="ends2"/>
          <w:rFonts w:cs="Arial"/>
          <w:szCs w:val="28"/>
        </w:rPr>
        <w:t>Provided a questionnaire to minimise the burden on consultees</w:t>
      </w:r>
      <w:r>
        <w:rPr>
          <w:rStyle w:val="ends2"/>
          <w:rFonts w:cs="Arial"/>
          <w:szCs w:val="28"/>
        </w:rPr>
        <w:t>.</w:t>
      </w:r>
    </w:p>
    <w:p w:rsidR="00AA0FD1" w:rsidRDefault="00AA0FD1" w:rsidP="00132B11">
      <w:pPr>
        <w:pStyle w:val="ListParagraph"/>
        <w:numPr>
          <w:ilvl w:val="0"/>
          <w:numId w:val="12"/>
        </w:numPr>
        <w:autoSpaceDE w:val="0"/>
        <w:autoSpaceDN w:val="0"/>
        <w:adjustRightInd w:val="0"/>
        <w:ind w:left="714" w:hanging="357"/>
        <w:contextualSpacing w:val="0"/>
        <w:rPr>
          <w:rStyle w:val="ends2"/>
          <w:rFonts w:cs="Arial"/>
          <w:szCs w:val="28"/>
        </w:rPr>
      </w:pPr>
      <w:r w:rsidRPr="0011460E">
        <w:rPr>
          <w:rStyle w:val="ends2"/>
          <w:rFonts w:cs="Arial"/>
          <w:szCs w:val="28"/>
        </w:rPr>
        <w:t>Adverti</w:t>
      </w:r>
      <w:r>
        <w:rPr>
          <w:rStyle w:val="ends2"/>
          <w:rFonts w:cs="Arial"/>
          <w:szCs w:val="28"/>
        </w:rPr>
        <w:t>sed the consultation on our website, e</w:t>
      </w:r>
      <w:r w:rsidR="00F3331C">
        <w:rPr>
          <w:rStyle w:val="ends2"/>
          <w:rFonts w:cs="Arial"/>
          <w:szCs w:val="28"/>
        </w:rPr>
        <w:t>-</w:t>
      </w:r>
      <w:r>
        <w:rPr>
          <w:rStyle w:val="ends2"/>
          <w:rFonts w:cs="Arial"/>
          <w:szCs w:val="28"/>
        </w:rPr>
        <w:t>bulletins and at stakeholder events and via their membership networks.</w:t>
      </w:r>
    </w:p>
    <w:p w:rsidR="00AA0FD1" w:rsidRDefault="00AA0FD1" w:rsidP="00132B11">
      <w:pPr>
        <w:pStyle w:val="ListParagraph"/>
        <w:numPr>
          <w:ilvl w:val="0"/>
          <w:numId w:val="12"/>
        </w:numPr>
        <w:autoSpaceDE w:val="0"/>
        <w:autoSpaceDN w:val="0"/>
        <w:adjustRightInd w:val="0"/>
        <w:ind w:left="714" w:hanging="357"/>
        <w:contextualSpacing w:val="0"/>
        <w:rPr>
          <w:rStyle w:val="ends2"/>
          <w:rFonts w:cs="Arial"/>
          <w:szCs w:val="28"/>
        </w:rPr>
      </w:pPr>
      <w:r>
        <w:rPr>
          <w:rStyle w:val="ends2"/>
          <w:rFonts w:cs="Arial"/>
          <w:szCs w:val="28"/>
        </w:rPr>
        <w:lastRenderedPageBreak/>
        <w:t>Encouraged participants to engage informally throughout the consultation period, assisting them with queries and concerns as they drafted their submissions.</w:t>
      </w:r>
    </w:p>
    <w:p w:rsidR="005C47F4" w:rsidRDefault="00293889" w:rsidP="00132B11">
      <w:pPr>
        <w:pStyle w:val="ListParagraph"/>
        <w:numPr>
          <w:ilvl w:val="0"/>
          <w:numId w:val="12"/>
        </w:numPr>
        <w:autoSpaceDE w:val="0"/>
        <w:autoSpaceDN w:val="0"/>
        <w:adjustRightInd w:val="0"/>
        <w:ind w:left="714" w:hanging="357"/>
        <w:contextualSpacing w:val="0"/>
        <w:rPr>
          <w:rStyle w:val="ends2"/>
          <w:rFonts w:cs="Arial"/>
          <w:szCs w:val="28"/>
        </w:rPr>
      </w:pPr>
      <w:r>
        <w:rPr>
          <w:rStyle w:val="ends2"/>
          <w:rFonts w:cs="Arial"/>
          <w:szCs w:val="28"/>
        </w:rPr>
        <w:t>Facilitated access of specialist stakeholders to the consultation process</w:t>
      </w:r>
      <w:r w:rsidR="005C47F4">
        <w:rPr>
          <w:rStyle w:val="ends2"/>
          <w:rFonts w:cs="Arial"/>
          <w:szCs w:val="28"/>
        </w:rPr>
        <w:t xml:space="preserve"> through </w:t>
      </w:r>
      <w:r w:rsidR="00AA0FD1" w:rsidRPr="00293889">
        <w:rPr>
          <w:rStyle w:val="ends2"/>
          <w:rFonts w:cs="Arial"/>
          <w:szCs w:val="28"/>
        </w:rPr>
        <w:t xml:space="preserve">expert </w:t>
      </w:r>
      <w:r w:rsidR="005C47F4">
        <w:rPr>
          <w:rStyle w:val="ends2"/>
          <w:rFonts w:cs="Arial"/>
          <w:szCs w:val="28"/>
        </w:rPr>
        <w:t>roundtables.</w:t>
      </w:r>
    </w:p>
    <w:p w:rsidR="00AA0FD1" w:rsidRDefault="00AA0FD1" w:rsidP="00132B11">
      <w:pPr>
        <w:pStyle w:val="ListParagraph"/>
        <w:numPr>
          <w:ilvl w:val="0"/>
          <w:numId w:val="12"/>
        </w:numPr>
        <w:autoSpaceDE w:val="0"/>
        <w:autoSpaceDN w:val="0"/>
        <w:adjustRightInd w:val="0"/>
        <w:ind w:left="714" w:hanging="357"/>
        <w:contextualSpacing w:val="0"/>
        <w:rPr>
          <w:rStyle w:val="ends2"/>
          <w:rFonts w:cs="Arial"/>
          <w:szCs w:val="28"/>
        </w:rPr>
      </w:pPr>
      <w:r w:rsidRPr="00293889">
        <w:rPr>
          <w:rStyle w:val="ends2"/>
          <w:rFonts w:cs="Arial"/>
          <w:szCs w:val="28"/>
        </w:rPr>
        <w:t>Analysed responses carefully, taking submissions into account in the redrafting phase.</w:t>
      </w:r>
    </w:p>
    <w:p w:rsidR="00AA0FD1" w:rsidRPr="00422024" w:rsidRDefault="00F3331C" w:rsidP="00422024">
      <w:pPr>
        <w:autoSpaceDE w:val="0"/>
        <w:autoSpaceDN w:val="0"/>
        <w:adjustRightInd w:val="0"/>
        <w:spacing w:after="0"/>
        <w:ind w:left="360"/>
        <w:rPr>
          <w:rStyle w:val="ends2"/>
          <w:rFonts w:cs="Arial"/>
          <w:szCs w:val="28"/>
        </w:rPr>
      </w:pPr>
      <w:r w:rsidRPr="00422024">
        <w:rPr>
          <w:rStyle w:val="ends2"/>
          <w:rFonts w:cs="Arial"/>
          <w:szCs w:val="28"/>
        </w:rPr>
        <w:t xml:space="preserve">We consider that as we have produced reports for the consultation </w:t>
      </w:r>
      <w:r w:rsidR="005A6570">
        <w:rPr>
          <w:rStyle w:val="ends2"/>
          <w:rFonts w:cs="Arial"/>
          <w:szCs w:val="28"/>
        </w:rPr>
        <w:t xml:space="preserve">on </w:t>
      </w:r>
      <w:r w:rsidRPr="00422024">
        <w:rPr>
          <w:rStyle w:val="ends2"/>
          <w:rFonts w:cs="Arial"/>
          <w:szCs w:val="28"/>
        </w:rPr>
        <w:t xml:space="preserve">our existing Codes of Practice, it is entirely appropriate to produce </w:t>
      </w:r>
      <w:r w:rsidR="00AA0FD1" w:rsidRPr="00422024">
        <w:rPr>
          <w:rStyle w:val="ends2"/>
          <w:rFonts w:cs="Arial"/>
          <w:szCs w:val="28"/>
        </w:rPr>
        <w:t>this report</w:t>
      </w:r>
      <w:r w:rsidRPr="00422024">
        <w:rPr>
          <w:rStyle w:val="ends2"/>
          <w:rFonts w:cs="Arial"/>
          <w:szCs w:val="28"/>
        </w:rPr>
        <w:t>, thereby</w:t>
      </w:r>
      <w:r w:rsidR="00AA0FD1" w:rsidRPr="00422024">
        <w:rPr>
          <w:rStyle w:val="ends2"/>
          <w:rFonts w:cs="Arial"/>
          <w:szCs w:val="28"/>
        </w:rPr>
        <w:t xml:space="preserve"> honour</w:t>
      </w:r>
      <w:r w:rsidRPr="00422024">
        <w:rPr>
          <w:rStyle w:val="ends2"/>
          <w:rFonts w:cs="Arial"/>
          <w:szCs w:val="28"/>
        </w:rPr>
        <w:t>ing</w:t>
      </w:r>
      <w:r w:rsidR="00AA0FD1" w:rsidRPr="00422024">
        <w:rPr>
          <w:rStyle w:val="ends2"/>
          <w:rFonts w:cs="Arial"/>
          <w:szCs w:val="28"/>
        </w:rPr>
        <w:t xml:space="preserve"> our commitment to provide feedback to participants following the consultation.</w:t>
      </w:r>
    </w:p>
    <w:p w:rsidR="00AA0FD1" w:rsidRDefault="00D61BE5" w:rsidP="008356FB">
      <w:pPr>
        <w:pStyle w:val="Heading2"/>
      </w:pPr>
      <w:bookmarkStart w:id="10" w:name="_Toc329870615"/>
      <w:bookmarkStart w:id="11" w:name="_Toc341193304"/>
      <w:r>
        <w:t xml:space="preserve">Statutory </w:t>
      </w:r>
      <w:r w:rsidR="00DA386B">
        <w:t>c</w:t>
      </w:r>
      <w:r w:rsidR="00AA0FD1">
        <w:t>onsultation</w:t>
      </w:r>
      <w:bookmarkEnd w:id="10"/>
      <w:bookmarkEnd w:id="11"/>
    </w:p>
    <w:p w:rsidR="00D61BE5" w:rsidRDefault="00AA0FD1" w:rsidP="00D61BE5">
      <w:r>
        <w:t xml:space="preserve">The draft Code </w:t>
      </w:r>
      <w:r w:rsidR="00E953AB">
        <w:t xml:space="preserve">(now Technical Guidance) </w:t>
      </w:r>
      <w:r>
        <w:t>w</w:t>
      </w:r>
      <w:r w:rsidR="00030F42">
        <w:t>as</w:t>
      </w:r>
      <w:r>
        <w:t xml:space="preserve"> published </w:t>
      </w:r>
      <w:r w:rsidR="00FF7F1D">
        <w:t xml:space="preserve">for </w:t>
      </w:r>
      <w:r w:rsidR="00D61BE5">
        <w:t xml:space="preserve">a three month consultation period from </w:t>
      </w:r>
      <w:r w:rsidR="00030F42">
        <w:t>October 201</w:t>
      </w:r>
      <w:r w:rsidR="00F57966">
        <w:t>0</w:t>
      </w:r>
      <w:r w:rsidR="00D61BE5">
        <w:t xml:space="preserve"> to</w:t>
      </w:r>
      <w:r w:rsidR="00F57966">
        <w:t xml:space="preserve"> January 2011.</w:t>
      </w:r>
    </w:p>
    <w:p w:rsidR="00AA0FD1" w:rsidRDefault="00D61BE5" w:rsidP="00D61BE5">
      <w:r>
        <w:t xml:space="preserve">Our </w:t>
      </w:r>
      <w:r w:rsidR="00AA0FD1">
        <w:t>Code</w:t>
      </w:r>
      <w:r>
        <w:t>s</w:t>
      </w:r>
      <w:r w:rsidR="00AA0FD1">
        <w:t xml:space="preserve"> </w:t>
      </w:r>
      <w:r w:rsidR="00E953AB">
        <w:t xml:space="preserve">and Guidance </w:t>
      </w:r>
      <w:r>
        <w:t xml:space="preserve">have been drafted to </w:t>
      </w:r>
      <w:r w:rsidR="00AA0FD1">
        <w:t xml:space="preserve">reflect the needs, expectations and language of the people who </w:t>
      </w:r>
      <w:r w:rsidR="00E43369">
        <w:t xml:space="preserve">are </w:t>
      </w:r>
      <w:r w:rsidR="00AA0FD1">
        <w:t>going to use them.</w:t>
      </w:r>
      <w:r>
        <w:t xml:space="preserve"> In line with this, t</w:t>
      </w:r>
      <w:r w:rsidR="00AA0FD1">
        <w:t xml:space="preserve">he </w:t>
      </w:r>
      <w:r>
        <w:t>F</w:t>
      </w:r>
      <w:r w:rsidR="00DA386B">
        <w:t>E</w:t>
      </w:r>
      <w:r>
        <w:t xml:space="preserve">/HE </w:t>
      </w:r>
      <w:r w:rsidR="00AA0FD1">
        <w:t xml:space="preserve">public consultation was </w:t>
      </w:r>
      <w:r>
        <w:t xml:space="preserve">regarded as </w:t>
      </w:r>
      <w:r w:rsidR="00AA0FD1">
        <w:t xml:space="preserve">an essential part of the drafting process; allowing us to take on board the comments, concerns and recommendations of a diverse group of expert and specialist stakeholders thereby ensuring that the </w:t>
      </w:r>
      <w:r>
        <w:t>final product</w:t>
      </w:r>
      <w:r w:rsidR="005A6570">
        <w:t xml:space="preserve"> is</w:t>
      </w:r>
      <w:r w:rsidR="00AA0FD1">
        <w:t xml:space="preserve"> as useful and informative as possible.</w:t>
      </w:r>
    </w:p>
    <w:p w:rsidR="00AA0FD1" w:rsidRPr="00BE0C41" w:rsidRDefault="00AA0FD1" w:rsidP="006C0C41">
      <w:pPr>
        <w:pStyle w:val="ListParagraph"/>
        <w:ind w:left="0"/>
      </w:pPr>
      <w:r>
        <w:rPr>
          <w:rFonts w:cs="Arial"/>
          <w:szCs w:val="28"/>
        </w:rPr>
        <w:t xml:space="preserve">The consultation documents were based on the version of the Equality </w:t>
      </w:r>
      <w:r w:rsidR="006C0C41">
        <w:rPr>
          <w:rFonts w:cs="Arial"/>
          <w:szCs w:val="28"/>
        </w:rPr>
        <w:t>Act which had received Royal Assent in April 2010, the bulk of which came into force in October 2010. Some aspects of the Act came into force after this date</w:t>
      </w:r>
      <w:r w:rsidR="00DA386B">
        <w:rPr>
          <w:rFonts w:cs="Arial"/>
          <w:szCs w:val="28"/>
        </w:rPr>
        <w:t xml:space="preserve"> –</w:t>
      </w:r>
      <w:r w:rsidR="006C0C41">
        <w:rPr>
          <w:rFonts w:cs="Arial"/>
          <w:szCs w:val="28"/>
        </w:rPr>
        <w:t xml:space="preserve"> such as the Public Sector Duty on FE/HE institutions</w:t>
      </w:r>
      <w:r w:rsidR="00DA386B">
        <w:rPr>
          <w:rFonts w:cs="Arial"/>
          <w:szCs w:val="28"/>
        </w:rPr>
        <w:t xml:space="preserve"> –</w:t>
      </w:r>
      <w:r w:rsidR="00136815">
        <w:rPr>
          <w:rFonts w:cs="Arial"/>
          <w:szCs w:val="28"/>
        </w:rPr>
        <w:t xml:space="preserve"> in April 2011</w:t>
      </w:r>
      <w:r w:rsidR="006C0C41">
        <w:rPr>
          <w:rFonts w:cs="Arial"/>
          <w:szCs w:val="28"/>
        </w:rPr>
        <w:t xml:space="preserve">. </w:t>
      </w:r>
    </w:p>
    <w:p w:rsidR="00AA0FD1" w:rsidRDefault="00AA0FD1" w:rsidP="008356FB">
      <w:pPr>
        <w:pStyle w:val="Heading2"/>
        <w:rPr>
          <w:color w:val="FF0000"/>
        </w:rPr>
      </w:pPr>
      <w:bookmarkStart w:id="12" w:name="_Toc329870616"/>
      <w:bookmarkStart w:id="13" w:name="_Toc341193305"/>
      <w:r w:rsidRPr="00270E94">
        <w:t xml:space="preserve">Stakeholder </w:t>
      </w:r>
      <w:r>
        <w:t>p</w:t>
      </w:r>
      <w:r w:rsidRPr="00270E94">
        <w:t>articipation</w:t>
      </w:r>
      <w:bookmarkEnd w:id="12"/>
      <w:bookmarkEnd w:id="13"/>
      <w:r>
        <w:t xml:space="preserve"> </w:t>
      </w:r>
    </w:p>
    <w:p w:rsidR="00AA0FD1" w:rsidRPr="00F879AC" w:rsidRDefault="0099718F" w:rsidP="00132B11">
      <w:pPr>
        <w:pStyle w:val="ListParagraph"/>
        <w:ind w:left="0"/>
        <w:contextualSpacing w:val="0"/>
      </w:pPr>
      <w:r>
        <w:t xml:space="preserve">We received 25 </w:t>
      </w:r>
      <w:r w:rsidR="00D61BE5">
        <w:t xml:space="preserve">written </w:t>
      </w:r>
      <w:r>
        <w:t>responses from individuals, HEIs and sector organisations</w:t>
      </w:r>
      <w:r w:rsidR="00AA0FD1" w:rsidRPr="00F879AC">
        <w:t>.</w:t>
      </w:r>
      <w:r w:rsidR="00132B11">
        <w:t xml:space="preserve"> </w:t>
      </w:r>
      <w:r w:rsidR="00AA0FD1" w:rsidRPr="00F879AC">
        <w:t xml:space="preserve">See Appendix </w:t>
      </w:r>
      <w:r w:rsidR="00DA386B">
        <w:t>1</w:t>
      </w:r>
      <w:r w:rsidR="00AA0FD1" w:rsidRPr="00F879AC">
        <w:t xml:space="preserve"> for details of respondents.</w:t>
      </w:r>
    </w:p>
    <w:p w:rsidR="00AA0FD1" w:rsidRDefault="00AA0FD1" w:rsidP="00132B11">
      <w:pPr>
        <w:pStyle w:val="ListParagraph"/>
        <w:ind w:left="0"/>
        <w:contextualSpacing w:val="0"/>
      </w:pPr>
      <w:r w:rsidRPr="00F879AC">
        <w:t xml:space="preserve">We </w:t>
      </w:r>
      <w:r>
        <w:t>hosted</w:t>
      </w:r>
      <w:r w:rsidRPr="00F879AC">
        <w:t xml:space="preserve"> </w:t>
      </w:r>
      <w:r w:rsidR="00B9568A">
        <w:t xml:space="preserve">a </w:t>
      </w:r>
      <w:r w:rsidRPr="00F879AC">
        <w:t>round</w:t>
      </w:r>
      <w:r w:rsidR="00B9568A">
        <w:t>table review meeting</w:t>
      </w:r>
      <w:r w:rsidRPr="00F879AC">
        <w:t xml:space="preserve"> with key stakeholders</w:t>
      </w:r>
      <w:r w:rsidR="00731051">
        <w:t xml:space="preserve"> </w:t>
      </w:r>
      <w:r w:rsidR="00B61802">
        <w:t>including</w:t>
      </w:r>
      <w:r w:rsidR="00B61802" w:rsidRPr="00F879AC">
        <w:t xml:space="preserve"> Department</w:t>
      </w:r>
      <w:r w:rsidR="00E953AB">
        <w:t xml:space="preserve"> for Business</w:t>
      </w:r>
      <w:r w:rsidR="000A40D6">
        <w:t>,</w:t>
      </w:r>
      <w:r w:rsidR="00E953AB">
        <w:t xml:space="preserve"> Innovation and Skills, </w:t>
      </w:r>
      <w:r w:rsidR="000A40D6">
        <w:t>E</w:t>
      </w:r>
      <w:r w:rsidR="00E953AB">
        <w:t>quality Challenge Unit,</w:t>
      </w:r>
      <w:r w:rsidR="00B9568A">
        <w:t xml:space="preserve"> H</w:t>
      </w:r>
      <w:r w:rsidR="00E953AB">
        <w:t xml:space="preserve">igher Education Funding Council for England, </w:t>
      </w:r>
      <w:r w:rsidR="00E953AB" w:rsidRPr="00E953AB">
        <w:rPr>
          <w:rFonts w:cs="Arial"/>
          <w:szCs w:val="28"/>
        </w:rPr>
        <w:t>Higher Education Equal Opportunities Network</w:t>
      </w:r>
      <w:r w:rsidR="00B9568A">
        <w:t>, S</w:t>
      </w:r>
      <w:r w:rsidR="00E953AB">
        <w:t>kills Funding Agency</w:t>
      </w:r>
      <w:r w:rsidR="00B9568A">
        <w:t>, Ofsted, Y</w:t>
      </w:r>
      <w:r w:rsidR="00E953AB">
        <w:t xml:space="preserve">oung People’s Learning Agency, </w:t>
      </w:r>
      <w:r w:rsidR="00B9568A">
        <w:t xml:space="preserve">Russell Group, </w:t>
      </w:r>
      <w:r w:rsidR="00DA386B">
        <w:t xml:space="preserve">and </w:t>
      </w:r>
      <w:r w:rsidR="00E953AB">
        <w:t xml:space="preserve">higher education </w:t>
      </w:r>
      <w:r w:rsidR="00B9568A">
        <w:t>practitioners</w:t>
      </w:r>
      <w:r w:rsidR="00732CBF">
        <w:t>.</w:t>
      </w:r>
    </w:p>
    <w:p w:rsidR="00732CBF" w:rsidRPr="00F879AC" w:rsidRDefault="00732CBF" w:rsidP="00132B11">
      <w:pPr>
        <w:pStyle w:val="ListParagraph"/>
        <w:ind w:left="0"/>
      </w:pPr>
      <w:r>
        <w:t>A separate consultation event was held in Scotland in November 2010.</w:t>
      </w:r>
      <w:r w:rsidR="00866248">
        <w:t xml:space="preserve"> See Appendix 2 for details of respondents.</w:t>
      </w:r>
    </w:p>
    <w:p w:rsidR="00132B11" w:rsidRDefault="00132B11">
      <w:pPr>
        <w:spacing w:after="0"/>
        <w:rPr>
          <w:rFonts w:eastAsia="Times New Roman"/>
          <w:b/>
          <w:bCs/>
          <w:sz w:val="36"/>
          <w:szCs w:val="26"/>
        </w:rPr>
      </w:pPr>
      <w:bookmarkStart w:id="14" w:name="_Toc329870617"/>
      <w:r>
        <w:br w:type="page"/>
      </w:r>
    </w:p>
    <w:p w:rsidR="00305416" w:rsidRDefault="00AA0FD1" w:rsidP="008356FB">
      <w:pPr>
        <w:pStyle w:val="Heading2"/>
      </w:pPr>
      <w:bookmarkStart w:id="15" w:name="_Toc341193306"/>
      <w:r w:rsidRPr="00636C53">
        <w:t xml:space="preserve">Post-consultation revisions to the </w:t>
      </w:r>
      <w:r w:rsidR="0020248B">
        <w:t>Technical Guidance</w:t>
      </w:r>
      <w:bookmarkStart w:id="16" w:name="_Toc329870618"/>
      <w:bookmarkEnd w:id="14"/>
      <w:bookmarkEnd w:id="15"/>
    </w:p>
    <w:p w:rsidR="001C3350" w:rsidRDefault="001C3350"/>
    <w:p w:rsidR="00305416" w:rsidRDefault="006179C3" w:rsidP="008356FB">
      <w:pPr>
        <w:pStyle w:val="Heading2"/>
      </w:pPr>
      <w:bookmarkStart w:id="17" w:name="_Toc341193307"/>
      <w:r>
        <w:t>External s</w:t>
      </w:r>
      <w:r w:rsidR="00AA0FD1" w:rsidRPr="00E74971">
        <w:t xml:space="preserve">takeholder </w:t>
      </w:r>
      <w:r w:rsidR="00AA0FD1">
        <w:t>c</w:t>
      </w:r>
      <w:r w:rsidR="00AA0FD1" w:rsidRPr="00E74971">
        <w:t xml:space="preserve">oncerns </w:t>
      </w:r>
      <w:r w:rsidR="00AA0FD1">
        <w:t>–</w:t>
      </w:r>
      <w:r w:rsidR="00AA0FD1" w:rsidRPr="00E74971">
        <w:t xml:space="preserve"> </w:t>
      </w:r>
      <w:r w:rsidR="00AA0FD1">
        <w:t>g</w:t>
      </w:r>
      <w:r w:rsidR="00AA0FD1" w:rsidRPr="00E74971">
        <w:t xml:space="preserve">eneric </w:t>
      </w:r>
      <w:r w:rsidR="00AA0FD1">
        <w:t>i</w:t>
      </w:r>
      <w:r w:rsidR="00AA0FD1" w:rsidRPr="00E74971">
        <w:t>ssues</w:t>
      </w:r>
      <w:bookmarkEnd w:id="16"/>
      <w:bookmarkEnd w:id="17"/>
      <w:r w:rsidR="00AA0FD1" w:rsidRPr="00E74971">
        <w:t xml:space="preserve"> </w:t>
      </w:r>
    </w:p>
    <w:p w:rsidR="0099718F" w:rsidRDefault="0099718F" w:rsidP="0099718F">
      <w:r>
        <w:t xml:space="preserve">In general, feedback was </w:t>
      </w:r>
      <w:r w:rsidR="00F30B87">
        <w:t xml:space="preserve">very </w:t>
      </w:r>
      <w:r>
        <w:t>positive</w:t>
      </w:r>
      <w:r w:rsidR="00555740">
        <w:t xml:space="preserve"> with many of the respondents commenting positively on </w:t>
      </w:r>
      <w:r>
        <w:t xml:space="preserve">the detail and clarity. </w:t>
      </w:r>
    </w:p>
    <w:p w:rsidR="00F30B87" w:rsidRPr="00F30B87" w:rsidRDefault="00F30B87" w:rsidP="008356FB">
      <w:pPr>
        <w:pStyle w:val="Heading3"/>
      </w:pPr>
      <w:r w:rsidRPr="00F30B87">
        <w:t>Content</w:t>
      </w:r>
    </w:p>
    <w:p w:rsidR="000356BE" w:rsidRDefault="00F30B87" w:rsidP="0099718F">
      <w:r>
        <w:t xml:space="preserve">A number of respondents called for employment </w:t>
      </w:r>
      <w:r w:rsidR="000356BE">
        <w:t xml:space="preserve">matters </w:t>
      </w:r>
      <w:r>
        <w:t xml:space="preserve">as well as </w:t>
      </w:r>
      <w:r w:rsidR="000356BE">
        <w:t>education provision</w:t>
      </w:r>
      <w:r w:rsidR="00D828D2">
        <w:t xml:space="preserve"> to be covered.</w:t>
      </w:r>
      <w:r w:rsidR="000356BE">
        <w:t xml:space="preserve"> </w:t>
      </w:r>
    </w:p>
    <w:p w:rsidR="00F30B87" w:rsidRPr="000356BE" w:rsidRDefault="002B50DE" w:rsidP="0099718F">
      <w:pPr>
        <w:rPr>
          <w:b/>
          <w:i/>
        </w:rPr>
      </w:pPr>
      <w:r w:rsidRPr="002B50DE">
        <w:rPr>
          <w:b/>
        </w:rPr>
        <w:t>In planning delivery of Codes and Guidance, the decision had been taken at the outset, to cover Equality Act employment law within one separate Code and to signpost to it from others as appropriate</w:t>
      </w:r>
      <w:r w:rsidR="000356BE" w:rsidRPr="000356BE">
        <w:rPr>
          <w:b/>
          <w:i/>
        </w:rPr>
        <w:t xml:space="preserve">. </w:t>
      </w:r>
    </w:p>
    <w:p w:rsidR="0099718F" w:rsidRPr="0099718F" w:rsidRDefault="00CF732A" w:rsidP="008356FB">
      <w:pPr>
        <w:pStyle w:val="Heading3"/>
      </w:pPr>
      <w:r w:rsidRPr="00CF732A">
        <w:t>Structure</w:t>
      </w:r>
    </w:p>
    <w:p w:rsidR="007757AD" w:rsidRDefault="00555740" w:rsidP="0099718F">
      <w:r>
        <w:t>Almost all s</w:t>
      </w:r>
      <w:r w:rsidR="00136815">
        <w:t xml:space="preserve">takeholders </w:t>
      </w:r>
      <w:r>
        <w:t>were positive about the structure and only one suggested change based around t</w:t>
      </w:r>
      <w:r w:rsidR="0099718F">
        <w:t>he lifecycle of the student</w:t>
      </w:r>
      <w:r>
        <w:t xml:space="preserve">. </w:t>
      </w:r>
    </w:p>
    <w:p w:rsidR="0099718F" w:rsidRPr="000A40D6" w:rsidRDefault="002B50DE" w:rsidP="0099718F">
      <w:pPr>
        <w:rPr>
          <w:b/>
        </w:rPr>
      </w:pPr>
      <w:r w:rsidRPr="002B50DE">
        <w:rPr>
          <w:b/>
        </w:rPr>
        <w:t>This was rejected.</w:t>
      </w:r>
    </w:p>
    <w:p w:rsidR="008D1FB0" w:rsidRPr="003A13E8" w:rsidRDefault="007006ED" w:rsidP="008356FB">
      <w:pPr>
        <w:pStyle w:val="Heading3"/>
      </w:pPr>
      <w:r>
        <w:t>C</w:t>
      </w:r>
      <w:r w:rsidR="003A13E8" w:rsidRPr="003A13E8">
        <w:t>larity</w:t>
      </w:r>
      <w:r w:rsidR="008D1FB0" w:rsidRPr="003A13E8">
        <w:t xml:space="preserve"> </w:t>
      </w:r>
    </w:p>
    <w:p w:rsidR="007006ED" w:rsidRDefault="00555740" w:rsidP="00555740">
      <w:pPr>
        <w:rPr>
          <w:szCs w:val="28"/>
        </w:rPr>
      </w:pPr>
      <w:r>
        <w:rPr>
          <w:szCs w:val="28"/>
        </w:rPr>
        <w:t xml:space="preserve">Some picked up inconsistencies in the </w:t>
      </w:r>
      <w:r w:rsidR="0077189B">
        <w:rPr>
          <w:szCs w:val="28"/>
        </w:rPr>
        <w:t xml:space="preserve">legal </w:t>
      </w:r>
      <w:r>
        <w:rPr>
          <w:szCs w:val="28"/>
        </w:rPr>
        <w:t xml:space="preserve">terminology used and </w:t>
      </w:r>
      <w:r w:rsidR="007006ED">
        <w:rPr>
          <w:szCs w:val="28"/>
        </w:rPr>
        <w:t xml:space="preserve">a small number </w:t>
      </w:r>
      <w:r>
        <w:rPr>
          <w:szCs w:val="28"/>
        </w:rPr>
        <w:t xml:space="preserve">felt more work </w:t>
      </w:r>
      <w:r w:rsidR="007006ED">
        <w:rPr>
          <w:szCs w:val="28"/>
        </w:rPr>
        <w:t xml:space="preserve">could </w:t>
      </w:r>
      <w:r>
        <w:rPr>
          <w:szCs w:val="28"/>
        </w:rPr>
        <w:t>be done on definitions and core concepts</w:t>
      </w:r>
      <w:r w:rsidR="00E43369">
        <w:rPr>
          <w:szCs w:val="28"/>
        </w:rPr>
        <w:t>,</w:t>
      </w:r>
      <w:r>
        <w:rPr>
          <w:szCs w:val="28"/>
        </w:rPr>
        <w:t xml:space="preserve"> </w:t>
      </w:r>
      <w:r w:rsidR="007006ED">
        <w:rPr>
          <w:szCs w:val="28"/>
        </w:rPr>
        <w:t>providing suggested text for inclusion.</w:t>
      </w:r>
    </w:p>
    <w:p w:rsidR="00BE541F" w:rsidRPr="000A40D6" w:rsidRDefault="002B50DE" w:rsidP="00555740">
      <w:pPr>
        <w:rPr>
          <w:szCs w:val="28"/>
        </w:rPr>
      </w:pPr>
      <w:r w:rsidRPr="002B50DE">
        <w:rPr>
          <w:b/>
          <w:szCs w:val="28"/>
        </w:rPr>
        <w:t>Sections that respondents felt were unclear have been rewritten. Core concepts text had been aligned with agreed definitions as set out in tranche 1 Codes and therefore only limited changes were made to definitions and terminology and only if they provided contextual clarity for the Further and Higher Education Sector and ensured consistency.</w:t>
      </w:r>
      <w:r w:rsidR="00132B11">
        <w:rPr>
          <w:b/>
          <w:szCs w:val="28"/>
        </w:rPr>
        <w:t xml:space="preserve"> </w:t>
      </w:r>
    </w:p>
    <w:p w:rsidR="003A13E8" w:rsidRDefault="003A13E8" w:rsidP="00555740">
      <w:pPr>
        <w:rPr>
          <w:szCs w:val="28"/>
        </w:rPr>
      </w:pPr>
      <w:r>
        <w:rPr>
          <w:szCs w:val="28"/>
        </w:rPr>
        <w:t>A number of respondents also wanted specific reference to case law, and particularly to seminal judgments.</w:t>
      </w:r>
      <w:r w:rsidR="00132B11">
        <w:rPr>
          <w:szCs w:val="28"/>
        </w:rPr>
        <w:t xml:space="preserve"> </w:t>
      </w:r>
    </w:p>
    <w:p w:rsidR="00755BC4" w:rsidRPr="000A40D6" w:rsidRDefault="002B50DE" w:rsidP="00555740">
      <w:pPr>
        <w:rPr>
          <w:b/>
          <w:szCs w:val="28"/>
        </w:rPr>
      </w:pPr>
      <w:r w:rsidRPr="002B50DE">
        <w:rPr>
          <w:b/>
        </w:rPr>
        <w:t>In the interests of brevity, (and reflecting the approach taken in relation to tranche 1 Codes) it was decided not to include express references to case law, although several of the examples have been based on seminal judgments.</w:t>
      </w:r>
    </w:p>
    <w:p w:rsidR="003A13E8" w:rsidRPr="003A13E8" w:rsidRDefault="003A13E8" w:rsidP="008356FB">
      <w:pPr>
        <w:pStyle w:val="Heading3"/>
      </w:pPr>
      <w:r w:rsidRPr="003A13E8">
        <w:lastRenderedPageBreak/>
        <w:t xml:space="preserve">Legal requirements and good practice </w:t>
      </w:r>
    </w:p>
    <w:p w:rsidR="00B8078D" w:rsidRDefault="003A13E8" w:rsidP="00917A91">
      <w:pPr>
        <w:rPr>
          <w:rFonts w:cs="Arial"/>
          <w:szCs w:val="28"/>
        </w:rPr>
      </w:pPr>
      <w:r>
        <w:rPr>
          <w:szCs w:val="28"/>
        </w:rPr>
        <w:t xml:space="preserve">Almost all </w:t>
      </w:r>
      <w:r w:rsidR="00C918EB">
        <w:rPr>
          <w:szCs w:val="28"/>
        </w:rPr>
        <w:t xml:space="preserve">stakeholders </w:t>
      </w:r>
      <w:r w:rsidR="00555740">
        <w:rPr>
          <w:szCs w:val="28"/>
        </w:rPr>
        <w:t>welcomed the inclusion of good practice</w:t>
      </w:r>
      <w:r w:rsidR="0000045D">
        <w:rPr>
          <w:szCs w:val="28"/>
        </w:rPr>
        <w:t>.</w:t>
      </w:r>
      <w:r w:rsidR="00917A91">
        <w:rPr>
          <w:szCs w:val="28"/>
        </w:rPr>
        <w:t xml:space="preserve"> </w:t>
      </w:r>
      <w:r w:rsidR="00555740" w:rsidRPr="001D6496">
        <w:t>S</w:t>
      </w:r>
      <w:r w:rsidR="00555740" w:rsidRPr="001D6496">
        <w:rPr>
          <w:szCs w:val="28"/>
        </w:rPr>
        <w:t>ome respondents wanted a clear</w:t>
      </w:r>
      <w:r w:rsidR="00C918EB">
        <w:rPr>
          <w:szCs w:val="28"/>
        </w:rPr>
        <w:t>er</w:t>
      </w:r>
      <w:r w:rsidR="00555740" w:rsidRPr="001D6496">
        <w:rPr>
          <w:szCs w:val="28"/>
        </w:rPr>
        <w:t xml:space="preserve"> distinction between what was a legal requirem</w:t>
      </w:r>
      <w:r w:rsidR="00C918EB">
        <w:rPr>
          <w:szCs w:val="28"/>
        </w:rPr>
        <w:t>ent and what was good practice</w:t>
      </w:r>
      <w:r w:rsidR="00917A91">
        <w:rPr>
          <w:szCs w:val="28"/>
        </w:rPr>
        <w:t>. G</w:t>
      </w:r>
      <w:r w:rsidR="00C918EB">
        <w:rPr>
          <w:szCs w:val="28"/>
        </w:rPr>
        <w:t xml:space="preserve">overnment departments </w:t>
      </w:r>
      <w:r w:rsidR="00917A91">
        <w:rPr>
          <w:szCs w:val="28"/>
        </w:rPr>
        <w:t xml:space="preserve">were </w:t>
      </w:r>
      <w:r w:rsidR="00C918EB">
        <w:rPr>
          <w:szCs w:val="28"/>
        </w:rPr>
        <w:t>clear that best practice was better placed in the accompanying non-statutory guidance.</w:t>
      </w:r>
      <w:r w:rsidR="00132B11">
        <w:rPr>
          <w:szCs w:val="28"/>
        </w:rPr>
        <w:t xml:space="preserve"> </w:t>
      </w:r>
    </w:p>
    <w:p w:rsidR="00555740" w:rsidRPr="000A40D6" w:rsidRDefault="002B50DE" w:rsidP="0099718F">
      <w:pPr>
        <w:rPr>
          <w:rFonts w:cs="Arial"/>
          <w:b/>
          <w:szCs w:val="28"/>
        </w:rPr>
      </w:pPr>
      <w:r w:rsidRPr="002B50DE">
        <w:rPr>
          <w:b/>
        </w:rPr>
        <w:t xml:space="preserve">To deal with these different perspectives, we have added and extended a number of examples of discrimination to include what could have happened to meet the requirement. Where examples of good practice are used (eg in the positive action chapter to show the difference between legal positive action and good practice) </w:t>
      </w:r>
      <w:r w:rsidRPr="002B50DE">
        <w:rPr>
          <w:b/>
          <w:szCs w:val="28"/>
        </w:rPr>
        <w:t xml:space="preserve">this is clearly labelled to distinguish it from text that sets out required behaviour to ensure legal compliance. </w:t>
      </w:r>
    </w:p>
    <w:p w:rsidR="0099718F" w:rsidRPr="00EF2B2E" w:rsidRDefault="00BE541F" w:rsidP="00EF2B2E">
      <w:pPr>
        <w:pStyle w:val="ListParagraph"/>
        <w:numPr>
          <w:ilvl w:val="0"/>
          <w:numId w:val="21"/>
        </w:numPr>
        <w:rPr>
          <w:b/>
        </w:rPr>
      </w:pPr>
      <w:r w:rsidRPr="00EF2B2E">
        <w:rPr>
          <w:b/>
        </w:rPr>
        <w:t>Specific legal provisions.</w:t>
      </w:r>
    </w:p>
    <w:p w:rsidR="00F957B4" w:rsidRDefault="00E50CBE" w:rsidP="0099718F">
      <w:r>
        <w:t>There were a</w:t>
      </w:r>
      <w:r w:rsidR="0099718F">
        <w:t xml:space="preserve"> number of requests for more clarity on specific legal requirements. </w:t>
      </w:r>
    </w:p>
    <w:p w:rsidR="00F957B4" w:rsidRPr="000A40D6" w:rsidRDefault="002B50DE" w:rsidP="0099718F">
      <w:r w:rsidRPr="002B50DE">
        <w:rPr>
          <w:b/>
        </w:rPr>
        <w:t>Where possible this has been done, but some requests were for definitive interpretations where none exist and where we felt that it was up to the courts to decide</w:t>
      </w:r>
      <w:r w:rsidR="00F957B4" w:rsidRPr="000A40D6">
        <w:t xml:space="preserve">. </w:t>
      </w:r>
    </w:p>
    <w:p w:rsidR="0099718F" w:rsidRDefault="0099718F" w:rsidP="0099718F">
      <w:r>
        <w:t>Specific issued raised included:</w:t>
      </w:r>
    </w:p>
    <w:p w:rsidR="005341CF" w:rsidRPr="00132B11" w:rsidRDefault="00B75B43" w:rsidP="00132B11">
      <w:pPr>
        <w:pStyle w:val="ListParagraph"/>
        <w:numPr>
          <w:ilvl w:val="0"/>
          <w:numId w:val="24"/>
        </w:numPr>
        <w:rPr>
          <w:i/>
          <w:szCs w:val="28"/>
        </w:rPr>
      </w:pPr>
      <w:r>
        <w:t>C</w:t>
      </w:r>
      <w:r w:rsidR="0075313E">
        <w:t>larity on whether it is legitimate</w:t>
      </w:r>
      <w:r w:rsidR="000C1A9B">
        <w:t xml:space="preserve"> to </w:t>
      </w:r>
      <w:r>
        <w:t>charge overseas students higher f</w:t>
      </w:r>
      <w:r w:rsidR="000C1A9B">
        <w:t>ees</w:t>
      </w:r>
      <w:r w:rsidR="0023260E">
        <w:t xml:space="preserve">. </w:t>
      </w:r>
    </w:p>
    <w:p w:rsidR="00496477" w:rsidRPr="005341CF" w:rsidRDefault="00496477" w:rsidP="00496477">
      <w:pPr>
        <w:pStyle w:val="ListParagraph"/>
        <w:ind w:left="284"/>
        <w:rPr>
          <w:i/>
          <w:szCs w:val="28"/>
        </w:rPr>
      </w:pPr>
    </w:p>
    <w:p w:rsidR="00391064" w:rsidRPr="000A40D6" w:rsidRDefault="002B50DE" w:rsidP="00132B11">
      <w:pPr>
        <w:pStyle w:val="ListParagraph"/>
        <w:rPr>
          <w:rFonts w:cs="Arial"/>
          <w:b/>
          <w:szCs w:val="28"/>
          <w:shd w:val="clear" w:color="auto" w:fill="FFFFFF"/>
        </w:rPr>
      </w:pPr>
      <w:r w:rsidRPr="002B50DE">
        <w:rPr>
          <w:b/>
        </w:rPr>
        <w:t xml:space="preserve">DfE helpfully advised on the HE legislation that underpins different fee arrangements for home and overseas students. </w:t>
      </w:r>
      <w:r w:rsidRPr="002B50DE">
        <w:rPr>
          <w:rFonts w:cs="Arial"/>
          <w:b/>
          <w:szCs w:val="28"/>
          <w:shd w:val="clear" w:color="auto" w:fill="FFFFFF"/>
        </w:rPr>
        <w:t xml:space="preserve">HE providers are aware of who must be recorded as home and overseas students for HEFCE funding purposes. Nothing in the Equality Act changes the position and makes different fees unlawful. This advice has informed the changes made. </w:t>
      </w:r>
    </w:p>
    <w:p w:rsidR="005341CF" w:rsidRPr="00391064" w:rsidRDefault="005341CF" w:rsidP="005341CF">
      <w:pPr>
        <w:pStyle w:val="ListParagraph"/>
        <w:ind w:left="284"/>
        <w:rPr>
          <w:i/>
          <w:szCs w:val="28"/>
        </w:rPr>
      </w:pPr>
    </w:p>
    <w:p w:rsidR="005341CF" w:rsidRDefault="001E515A" w:rsidP="00132B11">
      <w:pPr>
        <w:pStyle w:val="ListParagraph"/>
        <w:numPr>
          <w:ilvl w:val="0"/>
          <w:numId w:val="25"/>
        </w:numPr>
      </w:pPr>
      <w:r>
        <w:t>Clarity on duties</w:t>
      </w:r>
      <w:r w:rsidR="006D6EC6">
        <w:t xml:space="preserve"> faced by </w:t>
      </w:r>
      <w:r w:rsidR="000A40D6">
        <w:t xml:space="preserve">6th </w:t>
      </w:r>
      <w:r w:rsidR="0099718F">
        <w:t>form colle</w:t>
      </w:r>
      <w:r w:rsidR="00E50CBE">
        <w:t>ges</w:t>
      </w:r>
      <w:r w:rsidR="006D6EC6">
        <w:t xml:space="preserve"> and</w:t>
      </w:r>
      <w:r w:rsidR="005676B6">
        <w:t xml:space="preserve"> private training providers. </w:t>
      </w:r>
    </w:p>
    <w:p w:rsidR="005341CF" w:rsidRDefault="005341CF" w:rsidP="005341CF">
      <w:pPr>
        <w:pStyle w:val="ListParagraph"/>
        <w:ind w:left="284"/>
      </w:pPr>
    </w:p>
    <w:p w:rsidR="0075313E" w:rsidRPr="000A40D6" w:rsidRDefault="002B50DE" w:rsidP="00132B11">
      <w:pPr>
        <w:pStyle w:val="ListParagraph"/>
      </w:pPr>
      <w:r w:rsidRPr="002B50DE">
        <w:rPr>
          <w:b/>
        </w:rPr>
        <w:t xml:space="preserve">These have been set out more clearly with signposting to the services </w:t>
      </w:r>
      <w:r w:rsidR="000A40D6">
        <w:rPr>
          <w:b/>
        </w:rPr>
        <w:t>C</w:t>
      </w:r>
      <w:r w:rsidRPr="002B50DE">
        <w:rPr>
          <w:b/>
        </w:rPr>
        <w:t>ode in the case of private training providers.</w:t>
      </w:r>
      <w:r w:rsidR="005676B6" w:rsidRPr="000A40D6">
        <w:t xml:space="preserve"> </w:t>
      </w:r>
    </w:p>
    <w:p w:rsidR="005341CF" w:rsidRDefault="005341CF" w:rsidP="005341CF">
      <w:pPr>
        <w:pStyle w:val="ListParagraph"/>
        <w:ind w:left="284"/>
      </w:pPr>
    </w:p>
    <w:p w:rsidR="005341CF" w:rsidRPr="00132B11" w:rsidRDefault="0099718F" w:rsidP="00132B11">
      <w:pPr>
        <w:pStyle w:val="ListParagraph"/>
        <w:numPr>
          <w:ilvl w:val="0"/>
          <w:numId w:val="26"/>
        </w:numPr>
        <w:rPr>
          <w:b/>
          <w:i/>
        </w:rPr>
      </w:pPr>
      <w:r>
        <w:t>Interface between religion and belief, freedom of speech on ca</w:t>
      </w:r>
      <w:r w:rsidR="00E50CBE">
        <w:t>mpus,</w:t>
      </w:r>
      <w:r w:rsidR="001E515A">
        <w:t xml:space="preserve"> and</w:t>
      </w:r>
      <w:r w:rsidR="005676B6">
        <w:t xml:space="preserve"> content of the curriculum. </w:t>
      </w:r>
    </w:p>
    <w:p w:rsidR="005341CF" w:rsidRDefault="005341CF" w:rsidP="005341CF">
      <w:pPr>
        <w:pStyle w:val="ListParagraph"/>
        <w:ind w:left="284"/>
      </w:pPr>
    </w:p>
    <w:p w:rsidR="000F2B34" w:rsidRPr="000A40D6" w:rsidRDefault="002B50DE" w:rsidP="00132B11">
      <w:pPr>
        <w:pStyle w:val="ListParagraph"/>
        <w:rPr>
          <w:b/>
        </w:rPr>
      </w:pPr>
      <w:r w:rsidRPr="002B50DE">
        <w:rPr>
          <w:b/>
        </w:rPr>
        <w:lastRenderedPageBreak/>
        <w:t>We recognise that the</w:t>
      </w:r>
      <w:r w:rsidR="008475CD">
        <w:rPr>
          <w:b/>
        </w:rPr>
        <w:t>s</w:t>
      </w:r>
      <w:r w:rsidRPr="002B50DE">
        <w:rPr>
          <w:b/>
        </w:rPr>
        <w:t xml:space="preserve">e are very live issues for providers and have set out more clearly the Equality Act requirements on these matters. </w:t>
      </w:r>
    </w:p>
    <w:p w:rsidR="005676B6" w:rsidRDefault="005676B6" w:rsidP="005341CF">
      <w:pPr>
        <w:pStyle w:val="ListParagraph"/>
        <w:ind w:left="284"/>
        <w:rPr>
          <w:b/>
          <w:i/>
        </w:rPr>
      </w:pPr>
      <w:r w:rsidRPr="00431E64">
        <w:rPr>
          <w:b/>
          <w:i/>
        </w:rPr>
        <w:t xml:space="preserve"> </w:t>
      </w:r>
    </w:p>
    <w:p w:rsidR="005341CF" w:rsidRDefault="000F2B34" w:rsidP="00132B11">
      <w:pPr>
        <w:pStyle w:val="ListParagraph"/>
        <w:numPr>
          <w:ilvl w:val="0"/>
          <w:numId w:val="27"/>
        </w:numPr>
      </w:pPr>
      <w:r w:rsidRPr="000F2B34">
        <w:t>Competence standards</w:t>
      </w:r>
      <w:r w:rsidR="00132B11">
        <w:t>.</w:t>
      </w:r>
    </w:p>
    <w:p w:rsidR="000F2B34" w:rsidRPr="000F2B34" w:rsidRDefault="000F2B34" w:rsidP="000F2B34">
      <w:pPr>
        <w:pStyle w:val="ListParagraph"/>
        <w:ind w:left="360"/>
      </w:pPr>
    </w:p>
    <w:p w:rsidR="005341CF" w:rsidRDefault="00B75B43" w:rsidP="000F2B34">
      <w:pPr>
        <w:pStyle w:val="ListParagraph"/>
        <w:numPr>
          <w:ilvl w:val="0"/>
          <w:numId w:val="19"/>
        </w:numPr>
        <w:ind w:left="1080"/>
      </w:pPr>
      <w:r>
        <w:t xml:space="preserve">Relationship between </w:t>
      </w:r>
      <w:r w:rsidR="0099718F">
        <w:t xml:space="preserve">disability/reasonable adjustments </w:t>
      </w:r>
      <w:r>
        <w:t xml:space="preserve">requirements and </w:t>
      </w:r>
      <w:r w:rsidR="0099718F">
        <w:t>competence standards</w:t>
      </w:r>
      <w:r w:rsidR="000A40D6">
        <w:t>.</w:t>
      </w:r>
    </w:p>
    <w:p w:rsidR="000F2B34" w:rsidRPr="000A40D6" w:rsidRDefault="002B50DE" w:rsidP="000F2B34">
      <w:pPr>
        <w:ind w:left="1080"/>
        <w:rPr>
          <w:b/>
        </w:rPr>
      </w:pPr>
      <w:r w:rsidRPr="002B50DE">
        <w:rPr>
          <w:rFonts w:cs="Arial"/>
          <w:b/>
        </w:rPr>
        <w:t>We have set out clearly that the duty of FE and HE institutions to make reasonable adjustments for disabled students does not apply to a provision, criterion or practice that constitutes a competence standard.</w:t>
      </w:r>
    </w:p>
    <w:p w:rsidR="005341CF" w:rsidRPr="000F2B34" w:rsidRDefault="00475AD2" w:rsidP="000F2B34">
      <w:pPr>
        <w:pStyle w:val="ListParagraph"/>
        <w:numPr>
          <w:ilvl w:val="1"/>
          <w:numId w:val="23"/>
        </w:numPr>
        <w:rPr>
          <w:b/>
          <w:i/>
        </w:rPr>
      </w:pPr>
      <w:r>
        <w:t>For indirect discrimination, i</w:t>
      </w:r>
      <w:r w:rsidR="000C1A9B">
        <w:t xml:space="preserve">ncluding </w:t>
      </w:r>
      <w:r w:rsidR="00B75B43">
        <w:t xml:space="preserve">in the list of potential </w:t>
      </w:r>
      <w:r w:rsidR="000C1A9B">
        <w:t>legitimate aim</w:t>
      </w:r>
      <w:r w:rsidR="00B75B43">
        <w:t>s</w:t>
      </w:r>
      <w:r w:rsidR="000C1A9B">
        <w:t xml:space="preserve"> </w:t>
      </w:r>
      <w:r>
        <w:t xml:space="preserve">for objective justification of </w:t>
      </w:r>
      <w:r w:rsidRPr="00475AD2">
        <w:t>provision</w:t>
      </w:r>
      <w:r>
        <w:t>s</w:t>
      </w:r>
      <w:r w:rsidRPr="00475AD2">
        <w:t>, criteri</w:t>
      </w:r>
      <w:r>
        <w:t>a</w:t>
      </w:r>
      <w:r w:rsidRPr="00475AD2">
        <w:t xml:space="preserve"> or practice</w:t>
      </w:r>
      <w:r>
        <w:t>s</w:t>
      </w:r>
      <w:r w:rsidR="002B50DE" w:rsidRPr="002B50DE">
        <w:t>,</w:t>
      </w:r>
      <w:r w:rsidRPr="000F2B34">
        <w:rPr>
          <w:b/>
          <w:i/>
        </w:rPr>
        <w:t xml:space="preserve"> </w:t>
      </w:r>
      <w:r>
        <w:t xml:space="preserve">the </w:t>
      </w:r>
      <w:r w:rsidR="000C1A9B">
        <w:t>setting or maintaining of academic standards.</w:t>
      </w:r>
    </w:p>
    <w:p w:rsidR="001C3350" w:rsidRDefault="005C2F41">
      <w:pPr>
        <w:ind w:left="720"/>
        <w:rPr>
          <w:b/>
        </w:rPr>
      </w:pPr>
      <w:r>
        <w:rPr>
          <w:b/>
        </w:rPr>
        <w:t xml:space="preserve">  </w:t>
      </w:r>
      <w:r w:rsidR="002B50DE" w:rsidRPr="002B50DE">
        <w:rPr>
          <w:b/>
        </w:rPr>
        <w:t xml:space="preserve">This has been done. </w:t>
      </w:r>
    </w:p>
    <w:p w:rsidR="005341CF" w:rsidRPr="005341CF" w:rsidRDefault="005341CF" w:rsidP="005341CF">
      <w:pPr>
        <w:pStyle w:val="ListParagraph"/>
        <w:ind w:left="284"/>
        <w:rPr>
          <w:b/>
          <w:i/>
        </w:rPr>
      </w:pPr>
    </w:p>
    <w:p w:rsidR="0075313E" w:rsidRDefault="00B75B43" w:rsidP="00132B11">
      <w:pPr>
        <w:pStyle w:val="ListParagraph"/>
        <w:numPr>
          <w:ilvl w:val="0"/>
          <w:numId w:val="28"/>
        </w:numPr>
      </w:pPr>
      <w:r>
        <w:t>Clarifying the legal position in relation to c</w:t>
      </w:r>
      <w:r w:rsidR="0099718F">
        <w:t xml:space="preserve">onferring qualifications on </w:t>
      </w:r>
      <w:r>
        <w:t xml:space="preserve">students with other </w:t>
      </w:r>
      <w:r w:rsidR="009E1DCE">
        <w:t xml:space="preserve">protected characteristics where </w:t>
      </w:r>
      <w:r w:rsidR="0099718F">
        <w:t xml:space="preserve">disabled </w:t>
      </w:r>
      <w:r w:rsidR="00E50CBE">
        <w:t>students not at the institution</w:t>
      </w:r>
      <w:r w:rsidR="0099718F">
        <w:t xml:space="preserve"> </w:t>
      </w:r>
      <w:r w:rsidR="009E1DCE">
        <w:t>are covered by EA provisions</w:t>
      </w:r>
      <w:r w:rsidR="000A40D6">
        <w:t>.</w:t>
      </w:r>
    </w:p>
    <w:p w:rsidR="0007649D" w:rsidRDefault="0007649D" w:rsidP="0007649D">
      <w:pPr>
        <w:pStyle w:val="ListParagraph"/>
        <w:ind w:left="360"/>
      </w:pPr>
    </w:p>
    <w:p w:rsidR="000F2B34" w:rsidRPr="000A40D6" w:rsidRDefault="002B50DE" w:rsidP="00132B11">
      <w:pPr>
        <w:pStyle w:val="ListParagraph"/>
        <w:rPr>
          <w:rFonts w:eastAsia="Times New Roman" w:cs="Arial"/>
          <w:b/>
          <w:szCs w:val="28"/>
        </w:rPr>
      </w:pPr>
      <w:r w:rsidRPr="005C2F41">
        <w:rPr>
          <w:rFonts w:cs="Arial"/>
          <w:b/>
          <w:szCs w:val="28"/>
        </w:rPr>
        <w:t>We have been clear that although the HE and FE provisions of the Act only refer to non-students with the protected characteristic of disability, educational institutions conferring qualifications on people who are not their students would be prohibited by the provisions relating to goods and services from discriminating in relation to any of the other protected characteristics.</w:t>
      </w:r>
      <w:r w:rsidR="00767996">
        <w:rPr>
          <w:rFonts w:cs="Arial"/>
          <w:b/>
          <w:sz w:val="24"/>
          <w:szCs w:val="24"/>
        </w:rPr>
        <w:t xml:space="preserve"> </w:t>
      </w:r>
      <w:r w:rsidRPr="002B50DE">
        <w:rPr>
          <w:b/>
          <w:szCs w:val="28"/>
        </w:rPr>
        <w:t xml:space="preserve">DfE has indicated that it will not be making an amendment to this provision </w:t>
      </w:r>
      <w:r w:rsidRPr="002B50DE">
        <w:rPr>
          <w:rFonts w:eastAsia="Times New Roman" w:cs="Arial"/>
          <w:b/>
          <w:szCs w:val="28"/>
        </w:rPr>
        <w:t>because any proposed amendment would need to be either consequential, incidental, supplementary, transitional, transitory or saving in order for them to amend via regulations and they do not think such an amendment would fall into that category.</w:t>
      </w:r>
    </w:p>
    <w:p w:rsidR="000F2B34" w:rsidRPr="000F2B34" w:rsidRDefault="000F2B34" w:rsidP="000F2B34">
      <w:pPr>
        <w:pStyle w:val="ListParagraph"/>
        <w:ind w:left="360"/>
        <w:rPr>
          <w:rFonts w:eastAsia="Times New Roman" w:cs="Arial"/>
          <w:b/>
          <w:i/>
          <w:szCs w:val="28"/>
        </w:rPr>
      </w:pPr>
    </w:p>
    <w:p w:rsidR="000F2B34" w:rsidRPr="00132B11" w:rsidRDefault="000F2B34" w:rsidP="00132B11">
      <w:pPr>
        <w:pStyle w:val="ListParagraph"/>
        <w:numPr>
          <w:ilvl w:val="0"/>
          <w:numId w:val="29"/>
        </w:numPr>
        <w:rPr>
          <w:rFonts w:eastAsia="Times New Roman" w:cs="Arial"/>
          <w:b/>
          <w:i/>
          <w:szCs w:val="28"/>
        </w:rPr>
      </w:pPr>
      <w:r>
        <w:t xml:space="preserve">More clarity on charging for </w:t>
      </w:r>
      <w:r w:rsidR="006D6EC6">
        <w:t>reasonable ad</w:t>
      </w:r>
      <w:r w:rsidR="00380AA7">
        <w:t>justments</w:t>
      </w:r>
      <w:r>
        <w:t>.</w:t>
      </w:r>
    </w:p>
    <w:p w:rsidR="000F2B34" w:rsidRPr="000F2B34" w:rsidRDefault="000F2B34" w:rsidP="000F2B34">
      <w:pPr>
        <w:pStyle w:val="ListParagraph"/>
        <w:ind w:left="360"/>
        <w:rPr>
          <w:rFonts w:eastAsia="Times New Roman" w:cs="Arial"/>
          <w:b/>
          <w:i/>
          <w:szCs w:val="28"/>
        </w:rPr>
      </w:pPr>
    </w:p>
    <w:p w:rsidR="005341CF" w:rsidRPr="000A40D6" w:rsidRDefault="002B50DE" w:rsidP="00132B11">
      <w:pPr>
        <w:pStyle w:val="ListParagraph"/>
        <w:rPr>
          <w:b/>
        </w:rPr>
      </w:pPr>
      <w:r w:rsidRPr="002B50DE">
        <w:rPr>
          <w:b/>
        </w:rPr>
        <w:t xml:space="preserve">The guidance is clear that providers cannot charge for reasonable adjustments. </w:t>
      </w:r>
    </w:p>
    <w:p w:rsidR="005341CF" w:rsidRPr="005341CF" w:rsidRDefault="005341CF" w:rsidP="005341CF">
      <w:pPr>
        <w:pStyle w:val="ListParagraph"/>
        <w:ind w:left="284"/>
        <w:rPr>
          <w:b/>
          <w:i/>
        </w:rPr>
      </w:pPr>
    </w:p>
    <w:p w:rsidR="005341CF" w:rsidRDefault="009E1DCE" w:rsidP="00132B11">
      <w:pPr>
        <w:pStyle w:val="ListParagraph"/>
        <w:numPr>
          <w:ilvl w:val="0"/>
          <w:numId w:val="30"/>
        </w:numPr>
      </w:pPr>
      <w:r>
        <w:lastRenderedPageBreak/>
        <w:t>P</w:t>
      </w:r>
      <w:r w:rsidR="0099718F">
        <w:t>ositive action – more c</w:t>
      </w:r>
      <w:r w:rsidR="00E50CBE">
        <w:t>larity</w:t>
      </w:r>
      <w:r w:rsidR="006D6EC6">
        <w:t>, and</w:t>
      </w:r>
      <w:r w:rsidR="00E50CBE">
        <w:t xml:space="preserve"> </w:t>
      </w:r>
      <w:r w:rsidR="00136815">
        <w:t xml:space="preserve">use </w:t>
      </w:r>
      <w:r w:rsidR="00AC7C90">
        <w:t xml:space="preserve">of </w:t>
      </w:r>
      <w:r w:rsidR="00136815">
        <w:t>the terminology of ‘</w:t>
      </w:r>
      <w:r w:rsidR="00E50CBE">
        <w:t>targets</w:t>
      </w:r>
      <w:r w:rsidR="00136815">
        <w:t>’ rather than</w:t>
      </w:r>
      <w:r w:rsidR="00E50CBE">
        <w:t xml:space="preserve"> quotas</w:t>
      </w:r>
      <w:r w:rsidR="00EE35EA">
        <w:t>, as well as separating out the difference between good practice and specific positive action provisions</w:t>
      </w:r>
      <w:r w:rsidR="00E50CBE">
        <w:t>.</w:t>
      </w:r>
      <w:r w:rsidR="00132B11">
        <w:t xml:space="preserve"> </w:t>
      </w:r>
    </w:p>
    <w:p w:rsidR="005341CF" w:rsidRDefault="005341CF" w:rsidP="005341CF">
      <w:pPr>
        <w:pStyle w:val="ListParagraph"/>
        <w:ind w:left="284"/>
      </w:pPr>
    </w:p>
    <w:p w:rsidR="00C67501" w:rsidRPr="000A40D6" w:rsidRDefault="002B50DE" w:rsidP="00132B11">
      <w:pPr>
        <w:pStyle w:val="ListParagraph"/>
        <w:rPr>
          <w:b/>
        </w:rPr>
      </w:pPr>
      <w:r w:rsidRPr="002B50DE">
        <w:rPr>
          <w:b/>
        </w:rPr>
        <w:t>We have made some major revisions to this chapter to address these points.</w:t>
      </w:r>
    </w:p>
    <w:p w:rsidR="005341CF" w:rsidRPr="0000045D" w:rsidRDefault="005341CF" w:rsidP="005341CF">
      <w:pPr>
        <w:pStyle w:val="ListParagraph"/>
        <w:ind w:left="284"/>
      </w:pPr>
    </w:p>
    <w:p w:rsidR="005341CF" w:rsidRDefault="00EF2B2E" w:rsidP="00132B11">
      <w:pPr>
        <w:pStyle w:val="ListParagraph"/>
        <w:numPr>
          <w:ilvl w:val="0"/>
          <w:numId w:val="31"/>
        </w:numPr>
      </w:pPr>
      <w:r>
        <w:t>Clarification of status of students unions and clubs run by them as Part 3</w:t>
      </w:r>
      <w:r w:rsidR="0075313E">
        <w:t xml:space="preserve"> </w:t>
      </w:r>
      <w:r>
        <w:t>responsibilities falling directly on students unions as service providers and not Part 6 responsibilities of institutions</w:t>
      </w:r>
      <w:r w:rsidR="00B537C4">
        <w:t>,</w:t>
      </w:r>
      <w:r>
        <w:t xml:space="preserve"> with examples amended to reflect this. </w:t>
      </w:r>
    </w:p>
    <w:p w:rsidR="005341CF" w:rsidRPr="005341CF" w:rsidRDefault="005341CF" w:rsidP="005341CF">
      <w:pPr>
        <w:pStyle w:val="ListParagraph"/>
        <w:rPr>
          <w:b/>
          <w:i/>
        </w:rPr>
      </w:pPr>
    </w:p>
    <w:p w:rsidR="00EF2B2E" w:rsidRPr="000A40D6" w:rsidRDefault="002B50DE" w:rsidP="00132B11">
      <w:pPr>
        <w:pStyle w:val="ListParagraph"/>
        <w:rPr>
          <w:b/>
        </w:rPr>
      </w:pPr>
      <w:r w:rsidRPr="002B50DE">
        <w:rPr>
          <w:b/>
        </w:rPr>
        <w:t>This has been made clear and examples replaced where necessary.</w:t>
      </w:r>
    </w:p>
    <w:p w:rsidR="005341CF" w:rsidRPr="0000045D" w:rsidRDefault="005341CF" w:rsidP="005341CF">
      <w:pPr>
        <w:pStyle w:val="ListParagraph"/>
        <w:ind w:left="284"/>
      </w:pPr>
    </w:p>
    <w:p w:rsidR="0075313E" w:rsidRDefault="000C1A9B" w:rsidP="00132B11">
      <w:pPr>
        <w:pStyle w:val="ListParagraph"/>
        <w:numPr>
          <w:ilvl w:val="0"/>
          <w:numId w:val="32"/>
        </w:numPr>
      </w:pPr>
      <w:r>
        <w:t xml:space="preserve">Competitive sport provisions </w:t>
      </w:r>
      <w:r w:rsidR="00C67501">
        <w:t>need inserting</w:t>
      </w:r>
      <w:r w:rsidR="000A40D6">
        <w:t>.</w:t>
      </w:r>
    </w:p>
    <w:p w:rsidR="00B537C4" w:rsidRDefault="00B537C4" w:rsidP="00B537C4">
      <w:pPr>
        <w:pStyle w:val="ListParagraph"/>
        <w:ind w:left="284"/>
      </w:pPr>
    </w:p>
    <w:p w:rsidR="005341CF" w:rsidRPr="000A40D6" w:rsidRDefault="002B50DE" w:rsidP="00132B11">
      <w:pPr>
        <w:pStyle w:val="ListParagraph"/>
        <w:rPr>
          <w:b/>
        </w:rPr>
      </w:pPr>
      <w:r w:rsidRPr="002B50DE">
        <w:rPr>
          <w:b/>
        </w:rPr>
        <w:t>The two types of exceptions that apply in relation to a competitive sport, game or other competitive activity have now been included.</w:t>
      </w:r>
    </w:p>
    <w:p w:rsidR="00B537C4" w:rsidRPr="00B537C4" w:rsidRDefault="00B537C4" w:rsidP="00B537C4">
      <w:pPr>
        <w:pStyle w:val="ListParagraph"/>
        <w:ind w:left="284"/>
        <w:rPr>
          <w:b/>
          <w:i/>
        </w:rPr>
      </w:pPr>
    </w:p>
    <w:p w:rsidR="005341CF" w:rsidRDefault="0062393B" w:rsidP="00132B11">
      <w:pPr>
        <w:pStyle w:val="ListParagraph"/>
        <w:numPr>
          <w:ilvl w:val="0"/>
          <w:numId w:val="33"/>
        </w:numPr>
      </w:pPr>
      <w:r>
        <w:t>More on j</w:t>
      </w:r>
      <w:r w:rsidR="00912E40">
        <w:t>ustifiable direct discrimination because of age</w:t>
      </w:r>
      <w:r w:rsidR="000A40D6">
        <w:t>.</w:t>
      </w:r>
    </w:p>
    <w:p w:rsidR="00D40AD7" w:rsidRDefault="00D40AD7" w:rsidP="00D40AD7">
      <w:pPr>
        <w:pStyle w:val="ListParagraph"/>
        <w:ind w:left="284"/>
      </w:pPr>
    </w:p>
    <w:p w:rsidR="005341CF" w:rsidRPr="000A40D6" w:rsidRDefault="002B50DE" w:rsidP="00132B11">
      <w:pPr>
        <w:pStyle w:val="ListParagraph"/>
        <w:rPr>
          <w:b/>
        </w:rPr>
      </w:pPr>
      <w:r w:rsidRPr="002B50DE">
        <w:rPr>
          <w:b/>
        </w:rPr>
        <w:t xml:space="preserve">An additional section and example has been added to cover this area of law and its application to further and higher education. </w:t>
      </w:r>
    </w:p>
    <w:p w:rsidR="00D40AD7" w:rsidRPr="00D40AD7" w:rsidRDefault="00D40AD7" w:rsidP="00D40AD7">
      <w:pPr>
        <w:pStyle w:val="ListParagraph"/>
        <w:ind w:left="284"/>
        <w:rPr>
          <w:b/>
          <w:i/>
        </w:rPr>
      </w:pPr>
    </w:p>
    <w:p w:rsidR="00B7012A" w:rsidRDefault="00B7012A" w:rsidP="00132B11">
      <w:pPr>
        <w:pStyle w:val="ListParagraph"/>
        <w:numPr>
          <w:ilvl w:val="0"/>
          <w:numId w:val="34"/>
        </w:numPr>
      </w:pPr>
      <w:r>
        <w:t xml:space="preserve">Several respondents requested more references to the public sector equality duty (PSED). </w:t>
      </w:r>
    </w:p>
    <w:p w:rsidR="005341CF" w:rsidRDefault="005341CF" w:rsidP="005341CF">
      <w:pPr>
        <w:pStyle w:val="ListParagraph"/>
        <w:ind w:left="284"/>
      </w:pPr>
    </w:p>
    <w:p w:rsidR="008B5FA7" w:rsidRPr="000A40D6" w:rsidRDefault="002B50DE" w:rsidP="00132B11">
      <w:pPr>
        <w:pStyle w:val="ListParagraph"/>
        <w:rPr>
          <w:b/>
        </w:rPr>
      </w:pPr>
      <w:r w:rsidRPr="002B50DE">
        <w:rPr>
          <w:b/>
        </w:rPr>
        <w:t xml:space="preserve">We have included more references, but separate PSED Technical Guidance will be available early in 2013 and this is intended to be the main comprehensive source of legal guidance for education providers. </w:t>
      </w:r>
    </w:p>
    <w:p w:rsidR="0075313E" w:rsidRPr="008B5FA7" w:rsidRDefault="009E1DCE" w:rsidP="008B5FA7">
      <w:pPr>
        <w:pStyle w:val="ListParagraph"/>
        <w:ind w:left="284"/>
        <w:rPr>
          <w:b/>
          <w:i/>
        </w:rPr>
      </w:pPr>
      <w:r>
        <w:t xml:space="preserve"> </w:t>
      </w:r>
    </w:p>
    <w:p w:rsidR="0099718F" w:rsidRPr="0000045D" w:rsidRDefault="00CF732A" w:rsidP="0000045D">
      <w:pPr>
        <w:pStyle w:val="ListParagraph"/>
        <w:numPr>
          <w:ilvl w:val="0"/>
          <w:numId w:val="21"/>
        </w:numPr>
        <w:rPr>
          <w:b/>
        </w:rPr>
      </w:pPr>
      <w:r w:rsidRPr="0000045D">
        <w:rPr>
          <w:b/>
        </w:rPr>
        <w:t>Examples</w:t>
      </w:r>
    </w:p>
    <w:p w:rsidR="00C02A7D" w:rsidRDefault="00C02A7D" w:rsidP="00C02A7D">
      <w:pPr>
        <w:rPr>
          <w:szCs w:val="28"/>
        </w:rPr>
      </w:pPr>
      <w:r w:rsidRPr="001D6496">
        <w:rPr>
          <w:szCs w:val="28"/>
        </w:rPr>
        <w:t xml:space="preserve">The majority </w:t>
      </w:r>
      <w:r>
        <w:rPr>
          <w:szCs w:val="28"/>
        </w:rPr>
        <w:t xml:space="preserve">of respondents </w:t>
      </w:r>
      <w:r w:rsidRPr="001D6496">
        <w:rPr>
          <w:szCs w:val="28"/>
        </w:rPr>
        <w:t>welcomed the inclusion of examples</w:t>
      </w:r>
      <w:r>
        <w:rPr>
          <w:szCs w:val="28"/>
        </w:rPr>
        <w:t>,</w:t>
      </w:r>
      <w:r w:rsidRPr="001D6496">
        <w:rPr>
          <w:szCs w:val="28"/>
        </w:rPr>
        <w:t xml:space="preserve"> requested </w:t>
      </w:r>
      <w:r>
        <w:rPr>
          <w:szCs w:val="28"/>
        </w:rPr>
        <w:t xml:space="preserve">more, </w:t>
      </w:r>
      <w:r w:rsidRPr="001D6496">
        <w:rPr>
          <w:szCs w:val="28"/>
        </w:rPr>
        <w:t xml:space="preserve">and </w:t>
      </w:r>
      <w:r>
        <w:rPr>
          <w:szCs w:val="28"/>
        </w:rPr>
        <w:t xml:space="preserve">helpfully </w:t>
      </w:r>
      <w:r w:rsidRPr="001D6496">
        <w:rPr>
          <w:szCs w:val="28"/>
        </w:rPr>
        <w:t xml:space="preserve">suggested </w:t>
      </w:r>
      <w:r>
        <w:rPr>
          <w:szCs w:val="28"/>
        </w:rPr>
        <w:t>revisions and additional examples</w:t>
      </w:r>
      <w:r w:rsidRPr="00C02A7D">
        <w:rPr>
          <w:szCs w:val="28"/>
        </w:rPr>
        <w:t xml:space="preserve"> </w:t>
      </w:r>
      <w:r>
        <w:rPr>
          <w:szCs w:val="28"/>
        </w:rPr>
        <w:t>across all protected characteristics.</w:t>
      </w:r>
      <w:r w:rsidR="005C2F41">
        <w:rPr>
          <w:szCs w:val="28"/>
        </w:rPr>
        <w:t xml:space="preserve"> </w:t>
      </w:r>
    </w:p>
    <w:p w:rsidR="00C02A7D" w:rsidRDefault="00C02A7D" w:rsidP="00C02A7D">
      <w:pPr>
        <w:rPr>
          <w:szCs w:val="28"/>
        </w:rPr>
      </w:pPr>
      <w:r>
        <w:rPr>
          <w:szCs w:val="28"/>
        </w:rPr>
        <w:lastRenderedPageBreak/>
        <w:t>Some examples were criticised as unrealistic and for portraying unlawful discriminatory acts and behaviours that would not occur because providers were already aware of their legal responsibilities to students.</w:t>
      </w:r>
      <w:r w:rsidR="00132B11">
        <w:rPr>
          <w:szCs w:val="28"/>
        </w:rPr>
        <w:t xml:space="preserve"> </w:t>
      </w:r>
    </w:p>
    <w:p w:rsidR="00C02A7D" w:rsidRDefault="00914467" w:rsidP="00C02A7D">
      <w:pPr>
        <w:rPr>
          <w:szCs w:val="28"/>
        </w:rPr>
      </w:pPr>
      <w:r>
        <w:rPr>
          <w:szCs w:val="28"/>
        </w:rPr>
        <w:t xml:space="preserve">A small number of examples based around </w:t>
      </w:r>
      <w:r w:rsidR="00C02A7D">
        <w:rPr>
          <w:szCs w:val="28"/>
        </w:rPr>
        <w:t xml:space="preserve">stereotyping of </w:t>
      </w:r>
      <w:r>
        <w:rPr>
          <w:szCs w:val="28"/>
        </w:rPr>
        <w:t xml:space="preserve">protected </w:t>
      </w:r>
      <w:r w:rsidR="00C02A7D">
        <w:rPr>
          <w:szCs w:val="28"/>
        </w:rPr>
        <w:t xml:space="preserve">characteristics </w:t>
      </w:r>
      <w:r>
        <w:rPr>
          <w:szCs w:val="28"/>
        </w:rPr>
        <w:t>were similarly criticised</w:t>
      </w:r>
      <w:r w:rsidR="0000045D">
        <w:rPr>
          <w:szCs w:val="28"/>
        </w:rPr>
        <w:t xml:space="preserve"> because of their use, albeit</w:t>
      </w:r>
      <w:r>
        <w:rPr>
          <w:szCs w:val="28"/>
        </w:rPr>
        <w:t xml:space="preserve"> to exemplify discrimination, of unacceptable stereotypes. </w:t>
      </w:r>
    </w:p>
    <w:p w:rsidR="00914467" w:rsidRPr="0000045D" w:rsidRDefault="00914467" w:rsidP="00C02A7D">
      <w:r>
        <w:t>A number of respondents identified the need for consistency of legal terminology across examples.</w:t>
      </w:r>
    </w:p>
    <w:p w:rsidR="005149E7" w:rsidRPr="000A40D6" w:rsidRDefault="002B50DE" w:rsidP="005149E7">
      <w:pPr>
        <w:rPr>
          <w:b/>
          <w:szCs w:val="28"/>
        </w:rPr>
      </w:pPr>
      <w:r w:rsidRPr="002B50DE">
        <w:rPr>
          <w:b/>
          <w:szCs w:val="28"/>
        </w:rPr>
        <w:t>A comprehensive review of all examples was conducted and a number were added, some amended or replaced and certain examples were deleted.</w:t>
      </w:r>
      <w:r w:rsidR="00132B11">
        <w:rPr>
          <w:b/>
          <w:szCs w:val="28"/>
        </w:rPr>
        <w:t xml:space="preserve"> </w:t>
      </w:r>
      <w:r w:rsidRPr="002B50DE">
        <w:rPr>
          <w:b/>
          <w:szCs w:val="28"/>
        </w:rPr>
        <w:t xml:space="preserve">Legal terminology has been aligned across all examples. </w:t>
      </w:r>
    </w:p>
    <w:p w:rsidR="009E1DCE" w:rsidRDefault="009E1DCE" w:rsidP="0000045D">
      <w:pPr>
        <w:pStyle w:val="ListParagraph"/>
        <w:numPr>
          <w:ilvl w:val="0"/>
          <w:numId w:val="21"/>
        </w:numPr>
        <w:rPr>
          <w:b/>
          <w:szCs w:val="28"/>
        </w:rPr>
      </w:pPr>
      <w:r w:rsidRPr="0000045D">
        <w:rPr>
          <w:b/>
          <w:szCs w:val="28"/>
        </w:rPr>
        <w:t>More recent changes</w:t>
      </w:r>
    </w:p>
    <w:p w:rsidR="00E76FF2" w:rsidRDefault="0062393B" w:rsidP="0062393B">
      <w:r>
        <w:t>R</w:t>
      </w:r>
      <w:r w:rsidR="009E1DCE">
        <w:t xml:space="preserve">ecent case law </w:t>
      </w:r>
      <w:r>
        <w:t xml:space="preserve">has addressed </w:t>
      </w:r>
      <w:r w:rsidR="009E1DCE">
        <w:t>cost being used as a justification for discrimination (where it is permissible to justify ie indirect, discrim</w:t>
      </w:r>
      <w:r w:rsidR="00E76FF2">
        <w:t>ination arising</w:t>
      </w:r>
      <w:r w:rsidR="009E1DCE">
        <w:t xml:space="preserve">). </w:t>
      </w:r>
    </w:p>
    <w:p w:rsidR="009E1DCE" w:rsidRPr="000A40D6" w:rsidRDefault="002B50DE" w:rsidP="0062393B">
      <w:pPr>
        <w:rPr>
          <w:b/>
        </w:rPr>
      </w:pPr>
      <w:r w:rsidRPr="002B50DE">
        <w:rPr>
          <w:b/>
        </w:rPr>
        <w:t>The text has been amended to clarify that while cost alone cannot be used as a justification, cost plus some other factor could be used.</w:t>
      </w:r>
    </w:p>
    <w:p w:rsidR="00AA0FD1" w:rsidRPr="00636C53" w:rsidRDefault="00AA0FD1" w:rsidP="008356FB">
      <w:pPr>
        <w:pStyle w:val="Heading2"/>
      </w:pPr>
      <w:r>
        <w:br w:type="page"/>
      </w:r>
      <w:bookmarkStart w:id="18" w:name="_Toc329870619"/>
      <w:bookmarkStart w:id="19" w:name="_Toc341193308"/>
      <w:r w:rsidRPr="00636C53">
        <w:lastRenderedPageBreak/>
        <w:t>Appendix 1 Respondents</w:t>
      </w:r>
      <w:bookmarkEnd w:id="18"/>
      <w:bookmarkEnd w:id="19"/>
    </w:p>
    <w:tbl>
      <w:tblPr>
        <w:tblW w:w="8237" w:type="dxa"/>
        <w:tblInd w:w="93" w:type="dxa"/>
        <w:tblLook w:val="04A0"/>
      </w:tblPr>
      <w:tblGrid>
        <w:gridCol w:w="8237"/>
      </w:tblGrid>
      <w:tr w:rsidR="006A2A74" w:rsidRPr="006575CC" w:rsidTr="006A2A74">
        <w:trPr>
          <w:trHeight w:val="315"/>
        </w:trPr>
        <w:tc>
          <w:tcPr>
            <w:tcW w:w="8237" w:type="dxa"/>
            <w:shd w:val="clear" w:color="auto" w:fill="auto"/>
            <w:hideMark/>
          </w:tcPr>
          <w:p w:rsidR="0075313E" w:rsidRDefault="00CF732A">
            <w:pPr>
              <w:spacing w:after="0"/>
              <w:ind w:right="-4502"/>
              <w:rPr>
                <w:rFonts w:eastAsia="Times New Roman" w:cs="Arial"/>
                <w:sz w:val="24"/>
                <w:szCs w:val="24"/>
                <w:lang w:eastAsia="en-GB"/>
              </w:rPr>
            </w:pPr>
            <w:r w:rsidRPr="00CF732A">
              <w:t>Abertay University of</w:t>
            </w:r>
            <w:r w:rsidR="00132B11">
              <w:t xml:space="preserve"> </w:t>
            </w:r>
            <w:r w:rsidRPr="00CF732A">
              <w:t>Dundee</w:t>
            </w:r>
          </w:p>
        </w:tc>
      </w:tr>
      <w:tr w:rsidR="006A2A74" w:rsidRPr="006575CC" w:rsidTr="006A2A74">
        <w:trPr>
          <w:trHeight w:val="315"/>
        </w:trPr>
        <w:tc>
          <w:tcPr>
            <w:tcW w:w="8237" w:type="dxa"/>
            <w:shd w:val="clear" w:color="auto" w:fill="auto"/>
            <w:hideMark/>
          </w:tcPr>
          <w:p w:rsidR="006A2A74" w:rsidRPr="006A2A74" w:rsidRDefault="00CF732A" w:rsidP="0099718F">
            <w:pPr>
              <w:spacing w:after="0"/>
              <w:rPr>
                <w:rFonts w:eastAsia="Times New Roman" w:cs="Arial"/>
                <w:sz w:val="24"/>
                <w:szCs w:val="24"/>
                <w:lang w:eastAsia="en-GB"/>
              </w:rPr>
            </w:pPr>
            <w:r w:rsidRPr="00CF732A">
              <w:t>Association of Colleges</w:t>
            </w:r>
          </w:p>
        </w:tc>
      </w:tr>
      <w:tr w:rsidR="006A2A74" w:rsidRPr="006575CC" w:rsidTr="006A2A74">
        <w:trPr>
          <w:trHeight w:val="315"/>
        </w:trPr>
        <w:tc>
          <w:tcPr>
            <w:tcW w:w="8237" w:type="dxa"/>
            <w:shd w:val="clear" w:color="auto" w:fill="auto"/>
            <w:hideMark/>
          </w:tcPr>
          <w:p w:rsidR="006A2A74" w:rsidRPr="006A2A74" w:rsidRDefault="00CF732A" w:rsidP="0099718F">
            <w:pPr>
              <w:spacing w:after="0"/>
              <w:rPr>
                <w:rFonts w:eastAsia="Times New Roman" w:cs="Arial"/>
                <w:sz w:val="24"/>
                <w:szCs w:val="24"/>
                <w:lang w:eastAsia="en-GB"/>
              </w:rPr>
            </w:pPr>
            <w:r w:rsidRPr="00CF732A">
              <w:t>Association of School and College Leaders</w:t>
            </w:r>
          </w:p>
        </w:tc>
      </w:tr>
      <w:tr w:rsidR="006A2A74" w:rsidRPr="006575CC" w:rsidTr="006A2A74">
        <w:trPr>
          <w:trHeight w:val="315"/>
        </w:trPr>
        <w:tc>
          <w:tcPr>
            <w:tcW w:w="8237" w:type="dxa"/>
            <w:shd w:val="clear" w:color="auto" w:fill="auto"/>
            <w:hideMark/>
          </w:tcPr>
          <w:p w:rsidR="006A2A74" w:rsidRPr="006A2A74" w:rsidRDefault="00CF732A" w:rsidP="0099718F">
            <w:pPr>
              <w:spacing w:after="0"/>
              <w:rPr>
                <w:rFonts w:eastAsia="Times New Roman" w:cs="Arial"/>
                <w:sz w:val="24"/>
                <w:szCs w:val="24"/>
                <w:lang w:eastAsia="en-GB"/>
              </w:rPr>
            </w:pPr>
            <w:r w:rsidRPr="00CF732A">
              <w:t>Department for Business</w:t>
            </w:r>
            <w:r w:rsidR="000A40D6">
              <w:t>,</w:t>
            </w:r>
            <w:r w:rsidRPr="00CF732A">
              <w:t xml:space="preserve"> Innovation </w:t>
            </w:r>
            <w:r w:rsidR="000A40D6">
              <w:t>and</w:t>
            </w:r>
            <w:r w:rsidRPr="00CF732A">
              <w:t xml:space="preserve"> Skills</w:t>
            </w:r>
          </w:p>
        </w:tc>
      </w:tr>
      <w:tr w:rsidR="006A2A74" w:rsidRPr="006575CC" w:rsidTr="006A2A74">
        <w:trPr>
          <w:trHeight w:val="315"/>
        </w:trPr>
        <w:tc>
          <w:tcPr>
            <w:tcW w:w="8237" w:type="dxa"/>
            <w:shd w:val="clear" w:color="auto" w:fill="auto"/>
            <w:hideMark/>
          </w:tcPr>
          <w:p w:rsidR="006A2A74" w:rsidRPr="006A2A74" w:rsidRDefault="00CF732A" w:rsidP="0099718F">
            <w:pPr>
              <w:spacing w:after="0"/>
              <w:rPr>
                <w:rFonts w:eastAsia="Times New Roman" w:cs="Arial"/>
                <w:sz w:val="24"/>
                <w:szCs w:val="24"/>
                <w:lang w:eastAsia="en-GB"/>
              </w:rPr>
            </w:pPr>
            <w:r w:rsidRPr="00CF732A">
              <w:t>Cardiff University</w:t>
            </w:r>
          </w:p>
        </w:tc>
      </w:tr>
      <w:tr w:rsidR="006A2A74" w:rsidRPr="006575CC" w:rsidTr="006A2A74">
        <w:trPr>
          <w:trHeight w:val="615"/>
        </w:trPr>
        <w:tc>
          <w:tcPr>
            <w:tcW w:w="8237" w:type="dxa"/>
            <w:shd w:val="clear" w:color="auto" w:fill="auto"/>
            <w:hideMark/>
          </w:tcPr>
          <w:p w:rsidR="006A2A74" w:rsidRPr="006A2A74" w:rsidRDefault="006A2A74" w:rsidP="0099718F">
            <w:pPr>
              <w:spacing w:after="0"/>
              <w:rPr>
                <w:rFonts w:eastAsia="Times New Roman" w:cs="Arial"/>
                <w:sz w:val="24"/>
                <w:szCs w:val="24"/>
                <w:lang w:eastAsia="en-GB"/>
              </w:rPr>
            </w:pPr>
            <w:r w:rsidRPr="006A2A74">
              <w:t>Catholic Education Service</w:t>
            </w:r>
          </w:p>
        </w:tc>
      </w:tr>
      <w:tr w:rsidR="006A2A74" w:rsidRPr="006575CC" w:rsidTr="006A2A74">
        <w:trPr>
          <w:trHeight w:val="315"/>
        </w:trPr>
        <w:tc>
          <w:tcPr>
            <w:tcW w:w="8237" w:type="dxa"/>
            <w:shd w:val="clear" w:color="auto" w:fill="auto"/>
            <w:hideMark/>
          </w:tcPr>
          <w:p w:rsidR="006A2A74" w:rsidRPr="006A2A74" w:rsidRDefault="00CF732A" w:rsidP="0099718F">
            <w:pPr>
              <w:spacing w:after="0"/>
            </w:pPr>
            <w:r w:rsidRPr="00CF732A">
              <w:t>Close the Gap Scotland</w:t>
            </w:r>
          </w:p>
        </w:tc>
      </w:tr>
      <w:tr w:rsidR="006A2A74" w:rsidRPr="006575CC" w:rsidTr="006A2A74">
        <w:trPr>
          <w:trHeight w:val="315"/>
        </w:trPr>
        <w:tc>
          <w:tcPr>
            <w:tcW w:w="8237" w:type="dxa"/>
            <w:shd w:val="clear" w:color="auto" w:fill="auto"/>
            <w:hideMark/>
          </w:tcPr>
          <w:p w:rsidR="006A2A74" w:rsidRPr="006A2A74" w:rsidRDefault="00CF732A" w:rsidP="0099718F">
            <w:pPr>
              <w:spacing w:after="0"/>
              <w:rPr>
                <w:rFonts w:eastAsia="Times New Roman" w:cs="Arial"/>
                <w:sz w:val="24"/>
                <w:szCs w:val="24"/>
                <w:lang w:eastAsia="en-GB"/>
              </w:rPr>
            </w:pPr>
            <w:r w:rsidRPr="00CF732A">
              <w:t>Equality Challenge Unit</w:t>
            </w:r>
          </w:p>
        </w:tc>
      </w:tr>
      <w:tr w:rsidR="006A2A74" w:rsidRPr="006575CC" w:rsidTr="006A2A74">
        <w:trPr>
          <w:trHeight w:val="315"/>
        </w:trPr>
        <w:tc>
          <w:tcPr>
            <w:tcW w:w="8237" w:type="dxa"/>
            <w:shd w:val="clear" w:color="auto" w:fill="auto"/>
            <w:hideMark/>
          </w:tcPr>
          <w:p w:rsidR="006A2A74" w:rsidRPr="006A2A74" w:rsidRDefault="00CF732A" w:rsidP="0099718F">
            <w:pPr>
              <w:spacing w:after="0"/>
              <w:rPr>
                <w:rFonts w:eastAsia="Times New Roman" w:cs="Arial"/>
                <w:sz w:val="24"/>
                <w:szCs w:val="24"/>
                <w:lang w:eastAsia="en-GB"/>
              </w:rPr>
            </w:pPr>
            <w:r w:rsidRPr="00CF732A">
              <w:t>Edinburgh University</w:t>
            </w:r>
          </w:p>
        </w:tc>
      </w:tr>
      <w:tr w:rsidR="006A2A74" w:rsidRPr="006575CC" w:rsidTr="006A2A74">
        <w:trPr>
          <w:trHeight w:val="315"/>
        </w:trPr>
        <w:tc>
          <w:tcPr>
            <w:tcW w:w="8237" w:type="dxa"/>
            <w:shd w:val="clear" w:color="auto" w:fill="auto"/>
            <w:hideMark/>
          </w:tcPr>
          <w:p w:rsidR="006A2A74" w:rsidRPr="006A2A74" w:rsidRDefault="00CF732A" w:rsidP="0099718F">
            <w:pPr>
              <w:spacing w:after="0"/>
              <w:rPr>
                <w:rFonts w:eastAsia="Times New Roman" w:cs="Arial"/>
                <w:sz w:val="24"/>
                <w:szCs w:val="24"/>
                <w:lang w:eastAsia="en-GB"/>
              </w:rPr>
            </w:pPr>
            <w:r w:rsidRPr="00CF732A">
              <w:t>University of Glasgow</w:t>
            </w:r>
          </w:p>
        </w:tc>
      </w:tr>
      <w:tr w:rsidR="006A2A74" w:rsidRPr="006575CC" w:rsidTr="006A2A74">
        <w:trPr>
          <w:trHeight w:val="315"/>
        </w:trPr>
        <w:tc>
          <w:tcPr>
            <w:tcW w:w="8237" w:type="dxa"/>
            <w:shd w:val="clear" w:color="auto" w:fill="auto"/>
            <w:hideMark/>
          </w:tcPr>
          <w:p w:rsidR="006A2A74" w:rsidRPr="006A2A74" w:rsidRDefault="00CF732A" w:rsidP="0099718F">
            <w:pPr>
              <w:spacing w:after="0"/>
              <w:rPr>
                <w:rFonts w:eastAsia="Times New Roman" w:cs="Arial"/>
                <w:sz w:val="24"/>
                <w:szCs w:val="24"/>
                <w:lang w:eastAsia="en-GB"/>
              </w:rPr>
            </w:pPr>
            <w:r w:rsidRPr="00CF732A">
              <w:t>Harper Adams University College</w:t>
            </w:r>
          </w:p>
        </w:tc>
      </w:tr>
      <w:tr w:rsidR="006A2A74" w:rsidRPr="006575CC" w:rsidTr="006A2A74">
        <w:trPr>
          <w:trHeight w:val="315"/>
        </w:trPr>
        <w:tc>
          <w:tcPr>
            <w:tcW w:w="8237" w:type="dxa"/>
            <w:shd w:val="clear" w:color="auto" w:fill="auto"/>
            <w:hideMark/>
          </w:tcPr>
          <w:p w:rsidR="006A2A74" w:rsidRPr="006A2A74" w:rsidRDefault="00CF732A" w:rsidP="0099718F">
            <w:pPr>
              <w:spacing w:after="0"/>
              <w:rPr>
                <w:rFonts w:eastAsia="Times New Roman" w:cs="Arial"/>
                <w:sz w:val="24"/>
                <w:szCs w:val="24"/>
                <w:lang w:eastAsia="en-GB"/>
              </w:rPr>
            </w:pPr>
            <w:r w:rsidRPr="00CF732A">
              <w:t>Higher Education Funding Council for England</w:t>
            </w:r>
          </w:p>
        </w:tc>
      </w:tr>
      <w:tr w:rsidR="006A2A74" w:rsidRPr="006575CC" w:rsidTr="006A2A74">
        <w:trPr>
          <w:trHeight w:val="315"/>
        </w:trPr>
        <w:tc>
          <w:tcPr>
            <w:tcW w:w="8237" w:type="dxa"/>
            <w:shd w:val="clear" w:color="auto" w:fill="auto"/>
            <w:hideMark/>
          </w:tcPr>
          <w:p w:rsidR="006A2A74" w:rsidRPr="006A2A74" w:rsidRDefault="00CF732A" w:rsidP="006A2A74">
            <w:pPr>
              <w:spacing w:after="0"/>
              <w:rPr>
                <w:rFonts w:eastAsia="Times New Roman" w:cs="Arial"/>
                <w:sz w:val="24"/>
                <w:szCs w:val="24"/>
                <w:lang w:eastAsia="en-GB"/>
              </w:rPr>
            </w:pPr>
            <w:r w:rsidRPr="00CF732A">
              <w:t>Katya Hosking of Cardiff University</w:t>
            </w:r>
            <w:r w:rsidR="006A2A74" w:rsidRPr="006A2A74" w:rsidDel="006C0C41">
              <w:rPr>
                <w:rFonts w:eastAsia="Times New Roman" w:cs="Arial"/>
                <w:sz w:val="24"/>
                <w:szCs w:val="24"/>
                <w:lang w:eastAsia="en-GB"/>
              </w:rPr>
              <w:t xml:space="preserve"> </w:t>
            </w:r>
          </w:p>
        </w:tc>
      </w:tr>
      <w:tr w:rsidR="006A2A74" w:rsidRPr="006575CC" w:rsidTr="006A2A74">
        <w:trPr>
          <w:trHeight w:val="315"/>
        </w:trPr>
        <w:tc>
          <w:tcPr>
            <w:tcW w:w="8237" w:type="dxa"/>
            <w:shd w:val="clear" w:color="auto" w:fill="auto"/>
            <w:hideMark/>
          </w:tcPr>
          <w:p w:rsidR="006A2A74" w:rsidRPr="006A2A74" w:rsidRDefault="00CF732A" w:rsidP="0099718F">
            <w:pPr>
              <w:spacing w:after="0"/>
              <w:rPr>
                <w:rFonts w:eastAsia="Times New Roman" w:cs="Arial"/>
                <w:sz w:val="24"/>
                <w:szCs w:val="24"/>
                <w:lang w:eastAsia="en-GB"/>
              </w:rPr>
            </w:pPr>
            <w:r w:rsidRPr="00CF732A">
              <w:t>Jenny White</w:t>
            </w:r>
          </w:p>
        </w:tc>
      </w:tr>
      <w:tr w:rsidR="006A2A74" w:rsidRPr="006575CC" w:rsidTr="006A2A74">
        <w:trPr>
          <w:trHeight w:val="615"/>
        </w:trPr>
        <w:tc>
          <w:tcPr>
            <w:tcW w:w="8237" w:type="dxa"/>
            <w:shd w:val="clear" w:color="auto" w:fill="auto"/>
            <w:hideMark/>
          </w:tcPr>
          <w:p w:rsidR="006A2A74" w:rsidRPr="006A2A74" w:rsidRDefault="00CF732A" w:rsidP="0099718F">
            <w:pPr>
              <w:spacing w:after="0"/>
              <w:rPr>
                <w:rFonts w:eastAsia="Times New Roman" w:cs="Arial"/>
                <w:sz w:val="24"/>
                <w:szCs w:val="24"/>
                <w:lang w:eastAsia="en-GB"/>
              </w:rPr>
            </w:pPr>
            <w:r w:rsidRPr="00CF732A">
              <w:t>John Wheatley College</w:t>
            </w:r>
          </w:p>
        </w:tc>
      </w:tr>
      <w:tr w:rsidR="006A2A74" w:rsidRPr="006575CC" w:rsidTr="006A2A74">
        <w:trPr>
          <w:trHeight w:val="315"/>
        </w:trPr>
        <w:tc>
          <w:tcPr>
            <w:tcW w:w="8237" w:type="dxa"/>
            <w:shd w:val="clear" w:color="auto" w:fill="auto"/>
            <w:hideMark/>
          </w:tcPr>
          <w:p w:rsidR="006A2A74" w:rsidRPr="006A2A74" w:rsidRDefault="00CF732A" w:rsidP="0099718F">
            <w:pPr>
              <w:spacing w:after="0"/>
              <w:rPr>
                <w:rFonts w:eastAsia="Times New Roman" w:cs="Arial"/>
                <w:sz w:val="24"/>
                <w:szCs w:val="24"/>
                <w:lang w:eastAsia="en-GB"/>
              </w:rPr>
            </w:pPr>
            <w:r w:rsidRPr="00CF732A">
              <w:t>Motherwell College</w:t>
            </w:r>
          </w:p>
        </w:tc>
      </w:tr>
      <w:tr w:rsidR="006A2A74" w:rsidRPr="006575CC" w:rsidTr="006A2A74">
        <w:trPr>
          <w:trHeight w:val="315"/>
        </w:trPr>
        <w:tc>
          <w:tcPr>
            <w:tcW w:w="8237" w:type="dxa"/>
            <w:shd w:val="clear" w:color="auto" w:fill="auto"/>
            <w:hideMark/>
          </w:tcPr>
          <w:p w:rsidR="006A2A74" w:rsidRPr="006A2A74" w:rsidRDefault="00CF732A" w:rsidP="0099718F">
            <w:pPr>
              <w:spacing w:after="0"/>
              <w:rPr>
                <w:rFonts w:eastAsia="Times New Roman" w:cs="Arial"/>
                <w:sz w:val="24"/>
                <w:szCs w:val="24"/>
                <w:lang w:eastAsia="en-GB"/>
              </w:rPr>
            </w:pPr>
            <w:r w:rsidRPr="00CF732A">
              <w:t>NASUWT</w:t>
            </w:r>
          </w:p>
        </w:tc>
      </w:tr>
      <w:tr w:rsidR="006A2A74" w:rsidRPr="006575CC" w:rsidTr="006A2A74">
        <w:trPr>
          <w:trHeight w:val="315"/>
        </w:trPr>
        <w:tc>
          <w:tcPr>
            <w:tcW w:w="8237" w:type="dxa"/>
            <w:shd w:val="clear" w:color="auto" w:fill="auto"/>
            <w:hideMark/>
          </w:tcPr>
          <w:p w:rsidR="006A2A74" w:rsidRPr="006A2A74" w:rsidRDefault="00CF732A" w:rsidP="0099718F">
            <w:pPr>
              <w:spacing w:after="0"/>
              <w:rPr>
                <w:rFonts w:eastAsia="Times New Roman" w:cs="Arial"/>
                <w:sz w:val="24"/>
                <w:szCs w:val="24"/>
                <w:lang w:eastAsia="en-GB"/>
              </w:rPr>
            </w:pPr>
            <w:r w:rsidRPr="00CF732A">
              <w:t>NIACE</w:t>
            </w:r>
          </w:p>
        </w:tc>
      </w:tr>
      <w:tr w:rsidR="006A2A74" w:rsidRPr="006575CC" w:rsidTr="006A2A74">
        <w:trPr>
          <w:trHeight w:val="315"/>
        </w:trPr>
        <w:tc>
          <w:tcPr>
            <w:tcW w:w="8237" w:type="dxa"/>
            <w:shd w:val="clear" w:color="auto" w:fill="auto"/>
            <w:hideMark/>
          </w:tcPr>
          <w:p w:rsidR="006A2A74" w:rsidRPr="006A2A74" w:rsidRDefault="00CF732A" w:rsidP="0099718F">
            <w:pPr>
              <w:spacing w:after="0"/>
              <w:rPr>
                <w:rFonts w:eastAsia="Times New Roman" w:cs="Arial"/>
                <w:sz w:val="24"/>
                <w:szCs w:val="24"/>
                <w:lang w:eastAsia="en-GB"/>
              </w:rPr>
            </w:pPr>
            <w:r w:rsidRPr="00CF732A">
              <w:t>Scottish Council of Jewish Communities</w:t>
            </w:r>
          </w:p>
        </w:tc>
      </w:tr>
      <w:tr w:rsidR="006A2A74" w:rsidRPr="006575CC" w:rsidTr="006A2A74">
        <w:trPr>
          <w:trHeight w:val="315"/>
        </w:trPr>
        <w:tc>
          <w:tcPr>
            <w:tcW w:w="8237" w:type="dxa"/>
            <w:shd w:val="clear" w:color="auto" w:fill="auto"/>
            <w:hideMark/>
          </w:tcPr>
          <w:p w:rsidR="006A2A74" w:rsidRPr="006A2A74" w:rsidRDefault="00CF732A" w:rsidP="0099718F">
            <w:pPr>
              <w:spacing w:after="0"/>
              <w:rPr>
                <w:rFonts w:eastAsia="Times New Roman" w:cs="Arial"/>
                <w:sz w:val="24"/>
                <w:szCs w:val="24"/>
                <w:lang w:eastAsia="en-GB"/>
              </w:rPr>
            </w:pPr>
            <w:r w:rsidRPr="00CF732A">
              <w:t>Scotland’s Colleges</w:t>
            </w:r>
          </w:p>
        </w:tc>
      </w:tr>
      <w:tr w:rsidR="006A2A74" w:rsidRPr="006575CC" w:rsidTr="006A2A74">
        <w:trPr>
          <w:trHeight w:val="315"/>
        </w:trPr>
        <w:tc>
          <w:tcPr>
            <w:tcW w:w="8237" w:type="dxa"/>
            <w:shd w:val="clear" w:color="auto" w:fill="auto"/>
            <w:hideMark/>
          </w:tcPr>
          <w:p w:rsidR="006A2A74" w:rsidRPr="006A2A74" w:rsidRDefault="00CF732A" w:rsidP="0099718F">
            <w:pPr>
              <w:spacing w:after="0"/>
              <w:rPr>
                <w:rFonts w:eastAsia="Times New Roman" w:cs="Arial"/>
                <w:sz w:val="24"/>
                <w:szCs w:val="24"/>
                <w:lang w:eastAsia="en-GB"/>
              </w:rPr>
            </w:pPr>
            <w:r w:rsidRPr="00CF732A">
              <w:t>SKILL</w:t>
            </w:r>
          </w:p>
        </w:tc>
      </w:tr>
      <w:tr w:rsidR="006A2A74" w:rsidRPr="006575CC" w:rsidTr="006A2A74">
        <w:trPr>
          <w:trHeight w:val="315"/>
        </w:trPr>
        <w:tc>
          <w:tcPr>
            <w:tcW w:w="8237" w:type="dxa"/>
            <w:shd w:val="clear" w:color="auto" w:fill="auto"/>
            <w:hideMark/>
          </w:tcPr>
          <w:p w:rsidR="006A2A74" w:rsidRPr="006A2A74" w:rsidRDefault="00CF732A" w:rsidP="0099718F">
            <w:pPr>
              <w:spacing w:after="0"/>
              <w:rPr>
                <w:rFonts w:eastAsia="Times New Roman" w:cs="Arial"/>
                <w:sz w:val="24"/>
                <w:szCs w:val="24"/>
                <w:lang w:eastAsia="en-GB"/>
              </w:rPr>
            </w:pPr>
            <w:r w:rsidRPr="00CF732A">
              <w:t>Supporting Professionalism in Admissions</w:t>
            </w:r>
          </w:p>
        </w:tc>
      </w:tr>
      <w:tr w:rsidR="006A2A74" w:rsidRPr="006575CC" w:rsidTr="006A2A74">
        <w:trPr>
          <w:trHeight w:val="315"/>
        </w:trPr>
        <w:tc>
          <w:tcPr>
            <w:tcW w:w="8237" w:type="dxa"/>
            <w:shd w:val="clear" w:color="auto" w:fill="auto"/>
            <w:hideMark/>
          </w:tcPr>
          <w:p w:rsidR="006A2A74" w:rsidRPr="006A2A74" w:rsidRDefault="00CF732A" w:rsidP="0099718F">
            <w:pPr>
              <w:spacing w:after="0"/>
              <w:rPr>
                <w:rFonts w:eastAsia="Times New Roman" w:cs="Arial"/>
                <w:sz w:val="24"/>
                <w:szCs w:val="24"/>
                <w:lang w:eastAsia="en-GB"/>
              </w:rPr>
            </w:pPr>
            <w:r w:rsidRPr="00CF732A">
              <w:t>Weston College North Somerset</w:t>
            </w:r>
          </w:p>
        </w:tc>
      </w:tr>
      <w:tr w:rsidR="006A2A74" w:rsidRPr="006575CC" w:rsidTr="006A2A74">
        <w:trPr>
          <w:trHeight w:val="615"/>
        </w:trPr>
        <w:tc>
          <w:tcPr>
            <w:tcW w:w="8237" w:type="dxa"/>
            <w:shd w:val="clear" w:color="auto" w:fill="auto"/>
            <w:hideMark/>
          </w:tcPr>
          <w:p w:rsidR="006A2A74" w:rsidRPr="006A2A74" w:rsidRDefault="00CF732A" w:rsidP="0099718F">
            <w:pPr>
              <w:spacing w:after="0"/>
              <w:rPr>
                <w:rFonts w:eastAsia="Times New Roman" w:cs="Arial"/>
                <w:color w:val="000000"/>
                <w:sz w:val="24"/>
                <w:szCs w:val="24"/>
                <w:lang w:eastAsia="en-GB"/>
              </w:rPr>
            </w:pPr>
            <w:r w:rsidRPr="00CF732A">
              <w:t>Young People’s Learning Agency</w:t>
            </w:r>
          </w:p>
        </w:tc>
      </w:tr>
      <w:tr w:rsidR="006A2A74" w:rsidRPr="006575CC" w:rsidTr="006A2A74">
        <w:trPr>
          <w:trHeight w:val="315"/>
        </w:trPr>
        <w:tc>
          <w:tcPr>
            <w:tcW w:w="8237" w:type="dxa"/>
            <w:shd w:val="clear" w:color="auto" w:fill="auto"/>
            <w:hideMark/>
          </w:tcPr>
          <w:p w:rsidR="006A2A74" w:rsidRPr="006A2A74" w:rsidRDefault="00CF732A" w:rsidP="0099718F">
            <w:pPr>
              <w:spacing w:after="0"/>
              <w:rPr>
                <w:rFonts w:eastAsia="Times New Roman" w:cs="Arial"/>
                <w:sz w:val="24"/>
                <w:szCs w:val="24"/>
                <w:lang w:eastAsia="en-GB"/>
              </w:rPr>
            </w:pPr>
            <w:r w:rsidRPr="00CF732A">
              <w:t>University of St Andrews</w:t>
            </w:r>
          </w:p>
        </w:tc>
      </w:tr>
    </w:tbl>
    <w:p w:rsidR="00132B11" w:rsidRDefault="00132B11">
      <w:pPr>
        <w:spacing w:after="0"/>
        <w:rPr>
          <w:b/>
          <w:sz w:val="36"/>
          <w:szCs w:val="36"/>
        </w:rPr>
      </w:pPr>
      <w:r>
        <w:rPr>
          <w:b/>
          <w:sz w:val="36"/>
          <w:szCs w:val="36"/>
        </w:rPr>
        <w:br w:type="page"/>
      </w:r>
    </w:p>
    <w:p w:rsidR="00866248" w:rsidRPr="00866248" w:rsidRDefault="00866248">
      <w:pPr>
        <w:spacing w:after="0"/>
        <w:rPr>
          <w:b/>
          <w:sz w:val="36"/>
          <w:szCs w:val="36"/>
        </w:rPr>
      </w:pPr>
      <w:r w:rsidRPr="00866248">
        <w:rPr>
          <w:b/>
          <w:sz w:val="36"/>
          <w:szCs w:val="36"/>
        </w:rPr>
        <w:t>Appendix 2 Attendees at Scotland consultation roundtable</w:t>
      </w:r>
    </w:p>
    <w:tbl>
      <w:tblPr>
        <w:tblpPr w:leftFromText="180" w:rightFromText="180" w:vertAnchor="text" w:horzAnchor="margin" w:tblpY="406"/>
        <w:tblW w:w="8731" w:type="dxa"/>
        <w:tblCellMar>
          <w:left w:w="0" w:type="dxa"/>
          <w:right w:w="0" w:type="dxa"/>
        </w:tblCellMar>
        <w:tblLook w:val="04A0"/>
      </w:tblPr>
      <w:tblGrid>
        <w:gridCol w:w="8731"/>
      </w:tblGrid>
      <w:tr w:rsidR="00866248" w:rsidTr="00866248">
        <w:trPr>
          <w:trHeight w:val="20"/>
        </w:trPr>
        <w:tc>
          <w:tcPr>
            <w:tcW w:w="8731" w:type="dxa"/>
            <w:shd w:val="clear" w:color="auto" w:fill="auto"/>
            <w:noWrap/>
            <w:tcMar>
              <w:top w:w="15" w:type="dxa"/>
              <w:left w:w="15" w:type="dxa"/>
              <w:bottom w:w="0" w:type="dxa"/>
              <w:right w:w="15" w:type="dxa"/>
            </w:tcMar>
            <w:vAlign w:val="bottom"/>
            <w:hideMark/>
          </w:tcPr>
          <w:p w:rsidR="00866248" w:rsidRDefault="002B60BD" w:rsidP="00866248">
            <w:pPr>
              <w:spacing w:after="0"/>
              <w:rPr>
                <w:rFonts w:cs="Arial"/>
                <w:sz w:val="24"/>
                <w:szCs w:val="24"/>
              </w:rPr>
            </w:pPr>
            <w:r>
              <w:rPr>
                <w:rFonts w:cs="Arial"/>
              </w:rPr>
              <w:t>Banff and</w:t>
            </w:r>
            <w:r w:rsidR="00866248">
              <w:rPr>
                <w:rFonts w:cs="Arial"/>
              </w:rPr>
              <w:t xml:space="preserve"> Buchan College </w:t>
            </w:r>
          </w:p>
        </w:tc>
      </w:tr>
      <w:tr w:rsidR="00866248" w:rsidTr="00866248">
        <w:trPr>
          <w:trHeight w:val="20"/>
        </w:trPr>
        <w:tc>
          <w:tcPr>
            <w:tcW w:w="8731" w:type="dxa"/>
            <w:shd w:val="clear" w:color="auto" w:fill="auto"/>
            <w:noWrap/>
            <w:tcMar>
              <w:top w:w="15" w:type="dxa"/>
              <w:left w:w="15" w:type="dxa"/>
              <w:bottom w:w="0" w:type="dxa"/>
              <w:right w:w="15" w:type="dxa"/>
            </w:tcMar>
            <w:vAlign w:val="bottom"/>
            <w:hideMark/>
          </w:tcPr>
          <w:p w:rsidR="00866248" w:rsidRDefault="00866248" w:rsidP="00866248">
            <w:pPr>
              <w:spacing w:after="0"/>
              <w:rPr>
                <w:rFonts w:cs="Arial"/>
                <w:color w:val="000000"/>
                <w:sz w:val="24"/>
                <w:szCs w:val="24"/>
              </w:rPr>
            </w:pPr>
          </w:p>
        </w:tc>
      </w:tr>
      <w:tr w:rsidR="00866248" w:rsidTr="00866248">
        <w:trPr>
          <w:trHeight w:val="20"/>
        </w:trPr>
        <w:tc>
          <w:tcPr>
            <w:tcW w:w="8731" w:type="dxa"/>
            <w:shd w:val="clear" w:color="auto" w:fill="auto"/>
            <w:noWrap/>
            <w:tcMar>
              <w:top w:w="15" w:type="dxa"/>
              <w:left w:w="15" w:type="dxa"/>
              <w:bottom w:w="0" w:type="dxa"/>
              <w:right w:w="15" w:type="dxa"/>
            </w:tcMar>
            <w:vAlign w:val="bottom"/>
            <w:hideMark/>
          </w:tcPr>
          <w:p w:rsidR="00866248" w:rsidRDefault="00866248" w:rsidP="00866248">
            <w:pPr>
              <w:spacing w:after="0"/>
              <w:rPr>
                <w:rFonts w:cs="Arial"/>
                <w:color w:val="000000"/>
                <w:sz w:val="24"/>
                <w:szCs w:val="24"/>
              </w:rPr>
            </w:pPr>
            <w:r>
              <w:rPr>
                <w:rFonts w:cs="Arial"/>
                <w:color w:val="000000"/>
              </w:rPr>
              <w:t>Scottish Funding Council</w:t>
            </w:r>
          </w:p>
        </w:tc>
      </w:tr>
      <w:tr w:rsidR="00866248" w:rsidTr="00866248">
        <w:trPr>
          <w:trHeight w:val="20"/>
        </w:trPr>
        <w:tc>
          <w:tcPr>
            <w:tcW w:w="8731" w:type="dxa"/>
            <w:shd w:val="clear" w:color="auto" w:fill="auto"/>
            <w:noWrap/>
            <w:tcMar>
              <w:top w:w="15" w:type="dxa"/>
              <w:left w:w="15" w:type="dxa"/>
              <w:bottom w:w="0" w:type="dxa"/>
              <w:right w:w="15" w:type="dxa"/>
            </w:tcMar>
            <w:vAlign w:val="bottom"/>
            <w:hideMark/>
          </w:tcPr>
          <w:p w:rsidR="00866248" w:rsidRDefault="00866248" w:rsidP="00866248">
            <w:pPr>
              <w:spacing w:after="0"/>
              <w:rPr>
                <w:rFonts w:cs="Arial"/>
                <w:color w:val="000000"/>
                <w:sz w:val="24"/>
                <w:szCs w:val="24"/>
              </w:rPr>
            </w:pPr>
            <w:r>
              <w:rPr>
                <w:rFonts w:cs="Arial"/>
                <w:color w:val="000000"/>
              </w:rPr>
              <w:t>Glasgow Caledonian University</w:t>
            </w:r>
          </w:p>
        </w:tc>
      </w:tr>
      <w:tr w:rsidR="00866248" w:rsidTr="00866248">
        <w:trPr>
          <w:trHeight w:val="20"/>
        </w:trPr>
        <w:tc>
          <w:tcPr>
            <w:tcW w:w="8731" w:type="dxa"/>
            <w:shd w:val="clear" w:color="auto" w:fill="auto"/>
            <w:noWrap/>
            <w:tcMar>
              <w:top w:w="15" w:type="dxa"/>
              <w:left w:w="15" w:type="dxa"/>
              <w:bottom w:w="0" w:type="dxa"/>
              <w:right w:w="15" w:type="dxa"/>
            </w:tcMar>
            <w:vAlign w:val="bottom"/>
            <w:hideMark/>
          </w:tcPr>
          <w:p w:rsidR="00866248" w:rsidRDefault="00866248" w:rsidP="00866248">
            <w:pPr>
              <w:spacing w:after="0"/>
              <w:rPr>
                <w:rFonts w:cs="Arial"/>
                <w:sz w:val="24"/>
                <w:szCs w:val="24"/>
              </w:rPr>
            </w:pPr>
            <w:r>
              <w:rPr>
                <w:rFonts w:cs="Arial"/>
              </w:rPr>
              <w:t>University of Glasgow</w:t>
            </w:r>
          </w:p>
        </w:tc>
      </w:tr>
      <w:tr w:rsidR="00866248" w:rsidTr="00866248">
        <w:trPr>
          <w:trHeight w:val="20"/>
        </w:trPr>
        <w:tc>
          <w:tcPr>
            <w:tcW w:w="8731" w:type="dxa"/>
            <w:shd w:val="clear" w:color="auto" w:fill="auto"/>
            <w:noWrap/>
            <w:tcMar>
              <w:top w:w="15" w:type="dxa"/>
              <w:left w:w="15" w:type="dxa"/>
              <w:bottom w:w="0" w:type="dxa"/>
              <w:right w:w="15" w:type="dxa"/>
            </w:tcMar>
            <w:vAlign w:val="bottom"/>
            <w:hideMark/>
          </w:tcPr>
          <w:p w:rsidR="00866248" w:rsidRDefault="00866248" w:rsidP="00866248">
            <w:pPr>
              <w:spacing w:after="0"/>
              <w:rPr>
                <w:rFonts w:cs="Arial"/>
                <w:sz w:val="24"/>
                <w:szCs w:val="24"/>
              </w:rPr>
            </w:pPr>
            <w:r>
              <w:rPr>
                <w:rFonts w:cs="Arial"/>
              </w:rPr>
              <w:t>Dundee University</w:t>
            </w:r>
          </w:p>
        </w:tc>
      </w:tr>
      <w:tr w:rsidR="00866248" w:rsidTr="00866248">
        <w:trPr>
          <w:trHeight w:val="20"/>
        </w:trPr>
        <w:tc>
          <w:tcPr>
            <w:tcW w:w="8731" w:type="dxa"/>
            <w:shd w:val="clear" w:color="auto" w:fill="auto"/>
            <w:noWrap/>
            <w:tcMar>
              <w:top w:w="15" w:type="dxa"/>
              <w:left w:w="15" w:type="dxa"/>
              <w:bottom w:w="0" w:type="dxa"/>
              <w:right w:w="15" w:type="dxa"/>
            </w:tcMar>
            <w:vAlign w:val="bottom"/>
            <w:hideMark/>
          </w:tcPr>
          <w:p w:rsidR="00866248" w:rsidRDefault="00866248" w:rsidP="00866248">
            <w:pPr>
              <w:spacing w:after="0"/>
              <w:rPr>
                <w:rFonts w:cs="Arial"/>
                <w:color w:val="000000"/>
                <w:sz w:val="24"/>
                <w:szCs w:val="24"/>
              </w:rPr>
            </w:pPr>
            <w:r>
              <w:rPr>
                <w:rFonts w:cs="Arial"/>
                <w:color w:val="000000"/>
              </w:rPr>
              <w:t>West Lothian College</w:t>
            </w:r>
          </w:p>
        </w:tc>
      </w:tr>
      <w:tr w:rsidR="00866248" w:rsidTr="00866248">
        <w:trPr>
          <w:trHeight w:val="20"/>
        </w:trPr>
        <w:tc>
          <w:tcPr>
            <w:tcW w:w="8731" w:type="dxa"/>
            <w:shd w:val="clear" w:color="auto" w:fill="auto"/>
            <w:noWrap/>
            <w:tcMar>
              <w:top w:w="15" w:type="dxa"/>
              <w:left w:w="15" w:type="dxa"/>
              <w:bottom w:w="0" w:type="dxa"/>
              <w:right w:w="15" w:type="dxa"/>
            </w:tcMar>
            <w:vAlign w:val="bottom"/>
            <w:hideMark/>
          </w:tcPr>
          <w:p w:rsidR="00866248" w:rsidRDefault="00866248" w:rsidP="00866248">
            <w:pPr>
              <w:spacing w:after="0"/>
              <w:rPr>
                <w:rFonts w:cs="Arial"/>
                <w:color w:val="000000"/>
                <w:sz w:val="24"/>
                <w:szCs w:val="24"/>
              </w:rPr>
            </w:pPr>
            <w:r>
              <w:rPr>
                <w:rFonts w:cs="Arial"/>
                <w:color w:val="000000"/>
              </w:rPr>
              <w:t>James Watt College</w:t>
            </w:r>
          </w:p>
        </w:tc>
      </w:tr>
      <w:tr w:rsidR="00866248" w:rsidTr="00866248">
        <w:trPr>
          <w:trHeight w:val="20"/>
        </w:trPr>
        <w:tc>
          <w:tcPr>
            <w:tcW w:w="8731" w:type="dxa"/>
            <w:shd w:val="clear" w:color="auto" w:fill="auto"/>
            <w:noWrap/>
            <w:tcMar>
              <w:top w:w="15" w:type="dxa"/>
              <w:left w:w="15" w:type="dxa"/>
              <w:bottom w:w="0" w:type="dxa"/>
              <w:right w:w="15" w:type="dxa"/>
            </w:tcMar>
            <w:vAlign w:val="bottom"/>
            <w:hideMark/>
          </w:tcPr>
          <w:p w:rsidR="00866248" w:rsidRDefault="00866248" w:rsidP="00866248">
            <w:pPr>
              <w:spacing w:after="0"/>
              <w:rPr>
                <w:rFonts w:cs="Arial"/>
                <w:color w:val="000000"/>
                <w:sz w:val="24"/>
                <w:szCs w:val="24"/>
              </w:rPr>
            </w:pPr>
          </w:p>
        </w:tc>
      </w:tr>
      <w:tr w:rsidR="00866248" w:rsidTr="00866248">
        <w:trPr>
          <w:trHeight w:val="20"/>
        </w:trPr>
        <w:tc>
          <w:tcPr>
            <w:tcW w:w="8731" w:type="dxa"/>
            <w:shd w:val="clear" w:color="auto" w:fill="auto"/>
            <w:noWrap/>
            <w:tcMar>
              <w:top w:w="15" w:type="dxa"/>
              <w:left w:w="15" w:type="dxa"/>
              <w:bottom w:w="0" w:type="dxa"/>
              <w:right w:w="15" w:type="dxa"/>
            </w:tcMar>
            <w:vAlign w:val="bottom"/>
            <w:hideMark/>
          </w:tcPr>
          <w:p w:rsidR="00866248" w:rsidRDefault="00866248" w:rsidP="00866248">
            <w:pPr>
              <w:spacing w:after="0"/>
              <w:rPr>
                <w:rFonts w:cs="Arial"/>
                <w:color w:val="000000"/>
                <w:sz w:val="24"/>
                <w:szCs w:val="24"/>
              </w:rPr>
            </w:pPr>
            <w:r>
              <w:rPr>
                <w:rFonts w:cs="Arial"/>
                <w:color w:val="000000"/>
              </w:rPr>
              <w:t>Scottish Funding Council</w:t>
            </w:r>
          </w:p>
        </w:tc>
      </w:tr>
      <w:tr w:rsidR="00866248" w:rsidTr="00866248">
        <w:trPr>
          <w:trHeight w:val="20"/>
        </w:trPr>
        <w:tc>
          <w:tcPr>
            <w:tcW w:w="8731" w:type="dxa"/>
            <w:shd w:val="clear" w:color="auto" w:fill="auto"/>
            <w:noWrap/>
            <w:tcMar>
              <w:top w:w="15" w:type="dxa"/>
              <w:left w:w="15" w:type="dxa"/>
              <w:bottom w:w="0" w:type="dxa"/>
              <w:right w:w="15" w:type="dxa"/>
            </w:tcMar>
            <w:vAlign w:val="bottom"/>
            <w:hideMark/>
          </w:tcPr>
          <w:p w:rsidR="00866248" w:rsidRDefault="00866248" w:rsidP="00866248">
            <w:pPr>
              <w:spacing w:after="0"/>
              <w:rPr>
                <w:rFonts w:cs="Arial"/>
                <w:color w:val="000000"/>
                <w:sz w:val="24"/>
                <w:szCs w:val="24"/>
              </w:rPr>
            </w:pPr>
            <w:r>
              <w:rPr>
                <w:rFonts w:cs="Arial"/>
                <w:color w:val="000000"/>
              </w:rPr>
              <w:t>Edinburgh University</w:t>
            </w:r>
          </w:p>
        </w:tc>
      </w:tr>
      <w:tr w:rsidR="00866248" w:rsidTr="00866248">
        <w:trPr>
          <w:trHeight w:val="20"/>
        </w:trPr>
        <w:tc>
          <w:tcPr>
            <w:tcW w:w="8731" w:type="dxa"/>
            <w:shd w:val="clear" w:color="auto" w:fill="auto"/>
            <w:tcMar>
              <w:top w:w="15" w:type="dxa"/>
              <w:left w:w="15" w:type="dxa"/>
              <w:bottom w:w="0" w:type="dxa"/>
              <w:right w:w="15" w:type="dxa"/>
            </w:tcMar>
            <w:vAlign w:val="bottom"/>
            <w:hideMark/>
          </w:tcPr>
          <w:p w:rsidR="00866248" w:rsidRDefault="00866248" w:rsidP="00866248">
            <w:pPr>
              <w:spacing w:after="0"/>
              <w:rPr>
                <w:rFonts w:cs="Arial"/>
                <w:color w:val="000000"/>
                <w:sz w:val="24"/>
                <w:szCs w:val="24"/>
              </w:rPr>
            </w:pPr>
            <w:r>
              <w:rPr>
                <w:rFonts w:cs="Arial"/>
                <w:color w:val="000000"/>
              </w:rPr>
              <w:t>Skill Scotland: National Bureau for Students with Disabilities</w:t>
            </w:r>
          </w:p>
        </w:tc>
      </w:tr>
      <w:tr w:rsidR="00866248" w:rsidTr="00866248">
        <w:trPr>
          <w:trHeight w:val="20"/>
        </w:trPr>
        <w:tc>
          <w:tcPr>
            <w:tcW w:w="8731" w:type="dxa"/>
            <w:shd w:val="clear" w:color="auto" w:fill="auto"/>
            <w:noWrap/>
            <w:tcMar>
              <w:top w:w="15" w:type="dxa"/>
              <w:left w:w="15" w:type="dxa"/>
              <w:bottom w:w="0" w:type="dxa"/>
              <w:right w:w="15" w:type="dxa"/>
            </w:tcMar>
            <w:vAlign w:val="bottom"/>
            <w:hideMark/>
          </w:tcPr>
          <w:p w:rsidR="00866248" w:rsidRDefault="00866248" w:rsidP="00866248">
            <w:pPr>
              <w:spacing w:after="0"/>
              <w:rPr>
                <w:rFonts w:cs="Arial"/>
                <w:color w:val="000000"/>
                <w:sz w:val="24"/>
                <w:szCs w:val="24"/>
              </w:rPr>
            </w:pPr>
            <w:r>
              <w:rPr>
                <w:rFonts w:cs="Arial"/>
                <w:color w:val="000000"/>
              </w:rPr>
              <w:t xml:space="preserve">Queen Margaret University </w:t>
            </w:r>
          </w:p>
        </w:tc>
      </w:tr>
      <w:tr w:rsidR="00866248" w:rsidTr="00866248">
        <w:trPr>
          <w:trHeight w:val="20"/>
        </w:trPr>
        <w:tc>
          <w:tcPr>
            <w:tcW w:w="8731" w:type="dxa"/>
            <w:shd w:val="clear" w:color="auto" w:fill="auto"/>
            <w:tcMar>
              <w:top w:w="15" w:type="dxa"/>
              <w:left w:w="15" w:type="dxa"/>
              <w:bottom w:w="0" w:type="dxa"/>
              <w:right w:w="15" w:type="dxa"/>
            </w:tcMar>
            <w:vAlign w:val="bottom"/>
            <w:hideMark/>
          </w:tcPr>
          <w:p w:rsidR="00866248" w:rsidRDefault="00866248" w:rsidP="00866248">
            <w:pPr>
              <w:spacing w:after="0"/>
              <w:rPr>
                <w:rFonts w:cs="Arial"/>
                <w:color w:val="000000"/>
                <w:sz w:val="24"/>
                <w:szCs w:val="24"/>
              </w:rPr>
            </w:pPr>
            <w:r>
              <w:rPr>
                <w:rFonts w:cs="Arial"/>
                <w:color w:val="000000"/>
              </w:rPr>
              <w:t>Disability Service, University of Glasgow</w:t>
            </w:r>
          </w:p>
        </w:tc>
      </w:tr>
      <w:tr w:rsidR="00866248" w:rsidTr="00866248">
        <w:trPr>
          <w:trHeight w:val="20"/>
        </w:trPr>
        <w:tc>
          <w:tcPr>
            <w:tcW w:w="8731" w:type="dxa"/>
            <w:shd w:val="clear" w:color="auto" w:fill="auto"/>
            <w:noWrap/>
            <w:tcMar>
              <w:top w:w="15" w:type="dxa"/>
              <w:left w:w="15" w:type="dxa"/>
              <w:bottom w:w="0" w:type="dxa"/>
              <w:right w:w="15" w:type="dxa"/>
            </w:tcMar>
            <w:vAlign w:val="bottom"/>
            <w:hideMark/>
          </w:tcPr>
          <w:p w:rsidR="00866248" w:rsidRDefault="00866248" w:rsidP="00866248">
            <w:pPr>
              <w:spacing w:after="0"/>
              <w:rPr>
                <w:rFonts w:cs="Arial"/>
                <w:color w:val="000000"/>
                <w:sz w:val="24"/>
                <w:szCs w:val="24"/>
              </w:rPr>
            </w:pPr>
            <w:r>
              <w:rPr>
                <w:rFonts w:cs="Arial"/>
                <w:color w:val="000000"/>
              </w:rPr>
              <w:t>Govan Law Centre</w:t>
            </w:r>
          </w:p>
        </w:tc>
      </w:tr>
      <w:tr w:rsidR="00866248" w:rsidTr="00866248">
        <w:trPr>
          <w:trHeight w:val="20"/>
        </w:trPr>
        <w:tc>
          <w:tcPr>
            <w:tcW w:w="8731" w:type="dxa"/>
            <w:shd w:val="clear" w:color="auto" w:fill="auto"/>
            <w:noWrap/>
            <w:tcMar>
              <w:top w:w="15" w:type="dxa"/>
              <w:left w:w="15" w:type="dxa"/>
              <w:bottom w:w="0" w:type="dxa"/>
              <w:right w:w="15" w:type="dxa"/>
            </w:tcMar>
            <w:vAlign w:val="bottom"/>
            <w:hideMark/>
          </w:tcPr>
          <w:p w:rsidR="00866248" w:rsidRDefault="00866248" w:rsidP="00866248">
            <w:pPr>
              <w:spacing w:after="0"/>
              <w:rPr>
                <w:rFonts w:cs="Arial"/>
                <w:color w:val="000000"/>
                <w:sz w:val="24"/>
                <w:szCs w:val="24"/>
              </w:rPr>
            </w:pPr>
            <w:r>
              <w:rPr>
                <w:rFonts w:cs="Arial"/>
                <w:color w:val="000000"/>
              </w:rPr>
              <w:t>Adam Smith College</w:t>
            </w:r>
          </w:p>
        </w:tc>
      </w:tr>
      <w:tr w:rsidR="00866248" w:rsidTr="00866248">
        <w:trPr>
          <w:trHeight w:val="20"/>
        </w:trPr>
        <w:tc>
          <w:tcPr>
            <w:tcW w:w="8731" w:type="dxa"/>
            <w:shd w:val="clear" w:color="auto" w:fill="auto"/>
            <w:tcMar>
              <w:top w:w="15" w:type="dxa"/>
              <w:left w:w="15" w:type="dxa"/>
              <w:bottom w:w="0" w:type="dxa"/>
              <w:right w:w="15" w:type="dxa"/>
            </w:tcMar>
            <w:vAlign w:val="bottom"/>
            <w:hideMark/>
          </w:tcPr>
          <w:p w:rsidR="00866248" w:rsidRDefault="00866248" w:rsidP="00866248">
            <w:pPr>
              <w:spacing w:after="0"/>
              <w:rPr>
                <w:rFonts w:cs="Arial"/>
                <w:color w:val="000000"/>
                <w:sz w:val="24"/>
                <w:szCs w:val="24"/>
              </w:rPr>
            </w:pPr>
            <w:r>
              <w:rPr>
                <w:rFonts w:cs="Arial"/>
                <w:color w:val="000000"/>
              </w:rPr>
              <w:t>University of Edinburgh Disability Office</w:t>
            </w:r>
          </w:p>
        </w:tc>
      </w:tr>
      <w:tr w:rsidR="00866248" w:rsidTr="00866248">
        <w:trPr>
          <w:trHeight w:val="20"/>
        </w:trPr>
        <w:tc>
          <w:tcPr>
            <w:tcW w:w="8731" w:type="dxa"/>
            <w:shd w:val="clear" w:color="auto" w:fill="auto"/>
            <w:tcMar>
              <w:top w:w="15" w:type="dxa"/>
              <w:left w:w="15" w:type="dxa"/>
              <w:bottom w:w="0" w:type="dxa"/>
              <w:right w:w="15" w:type="dxa"/>
            </w:tcMar>
            <w:vAlign w:val="bottom"/>
            <w:hideMark/>
          </w:tcPr>
          <w:p w:rsidR="00866248" w:rsidRDefault="00866248" w:rsidP="00866248">
            <w:pPr>
              <w:spacing w:after="0"/>
              <w:rPr>
                <w:rFonts w:cs="Arial"/>
                <w:color w:val="000000"/>
                <w:sz w:val="24"/>
                <w:szCs w:val="24"/>
              </w:rPr>
            </w:pPr>
            <w:r>
              <w:rPr>
                <w:rFonts w:cs="Arial"/>
                <w:color w:val="000000"/>
              </w:rPr>
              <w:t>Disability Service, Glasgow Caledonian University</w:t>
            </w:r>
          </w:p>
        </w:tc>
      </w:tr>
      <w:tr w:rsidR="00866248" w:rsidTr="00866248">
        <w:trPr>
          <w:trHeight w:val="20"/>
        </w:trPr>
        <w:tc>
          <w:tcPr>
            <w:tcW w:w="8731" w:type="dxa"/>
            <w:shd w:val="clear" w:color="auto" w:fill="auto"/>
            <w:tcMar>
              <w:top w:w="15" w:type="dxa"/>
              <w:left w:w="15" w:type="dxa"/>
              <w:bottom w:w="0" w:type="dxa"/>
              <w:right w:w="15" w:type="dxa"/>
            </w:tcMar>
            <w:vAlign w:val="bottom"/>
            <w:hideMark/>
          </w:tcPr>
          <w:p w:rsidR="00866248" w:rsidRDefault="00866248" w:rsidP="00866248">
            <w:pPr>
              <w:spacing w:after="0"/>
              <w:rPr>
                <w:rFonts w:cs="Arial"/>
                <w:sz w:val="24"/>
                <w:szCs w:val="24"/>
              </w:rPr>
            </w:pPr>
            <w:r>
              <w:rPr>
                <w:rFonts w:cs="Arial"/>
              </w:rPr>
              <w:t xml:space="preserve">Queen Margaret University </w:t>
            </w:r>
          </w:p>
        </w:tc>
      </w:tr>
      <w:tr w:rsidR="00866248" w:rsidTr="00866248">
        <w:trPr>
          <w:trHeight w:val="20"/>
        </w:trPr>
        <w:tc>
          <w:tcPr>
            <w:tcW w:w="8731" w:type="dxa"/>
            <w:shd w:val="clear" w:color="auto" w:fill="auto"/>
            <w:tcMar>
              <w:top w:w="15" w:type="dxa"/>
              <w:left w:w="15" w:type="dxa"/>
              <w:bottom w:w="0" w:type="dxa"/>
              <w:right w:w="15" w:type="dxa"/>
            </w:tcMar>
            <w:vAlign w:val="bottom"/>
            <w:hideMark/>
          </w:tcPr>
          <w:p w:rsidR="00866248" w:rsidRDefault="00866248" w:rsidP="00866248">
            <w:pPr>
              <w:spacing w:after="0"/>
              <w:rPr>
                <w:rFonts w:cs="Arial"/>
                <w:color w:val="000000"/>
                <w:sz w:val="24"/>
                <w:szCs w:val="24"/>
              </w:rPr>
            </w:pPr>
            <w:r>
              <w:rPr>
                <w:rFonts w:cs="Arial"/>
                <w:color w:val="000000"/>
              </w:rPr>
              <w:t xml:space="preserve">Disability Office, University of Edinburgh </w:t>
            </w:r>
          </w:p>
        </w:tc>
      </w:tr>
      <w:tr w:rsidR="00866248" w:rsidTr="00866248">
        <w:trPr>
          <w:trHeight w:val="20"/>
        </w:trPr>
        <w:tc>
          <w:tcPr>
            <w:tcW w:w="8731" w:type="dxa"/>
            <w:shd w:val="clear" w:color="auto" w:fill="auto"/>
            <w:noWrap/>
            <w:tcMar>
              <w:top w:w="15" w:type="dxa"/>
              <w:left w:w="15" w:type="dxa"/>
              <w:bottom w:w="0" w:type="dxa"/>
              <w:right w:w="15" w:type="dxa"/>
            </w:tcMar>
            <w:vAlign w:val="bottom"/>
            <w:hideMark/>
          </w:tcPr>
          <w:p w:rsidR="00866248" w:rsidRDefault="00866248" w:rsidP="00866248">
            <w:pPr>
              <w:spacing w:after="0"/>
              <w:rPr>
                <w:rFonts w:cs="Arial"/>
                <w:color w:val="000000"/>
                <w:sz w:val="24"/>
                <w:szCs w:val="24"/>
              </w:rPr>
            </w:pPr>
            <w:r>
              <w:rPr>
                <w:rFonts w:cs="Arial"/>
                <w:color w:val="000000"/>
              </w:rPr>
              <w:t>Scotland’s Colleges</w:t>
            </w:r>
          </w:p>
        </w:tc>
      </w:tr>
      <w:tr w:rsidR="00866248" w:rsidTr="00866248">
        <w:trPr>
          <w:trHeight w:val="20"/>
        </w:trPr>
        <w:tc>
          <w:tcPr>
            <w:tcW w:w="8731" w:type="dxa"/>
            <w:shd w:val="clear" w:color="auto" w:fill="auto"/>
            <w:noWrap/>
            <w:tcMar>
              <w:top w:w="15" w:type="dxa"/>
              <w:left w:w="15" w:type="dxa"/>
              <w:bottom w:w="0" w:type="dxa"/>
              <w:right w:w="15" w:type="dxa"/>
            </w:tcMar>
            <w:vAlign w:val="bottom"/>
            <w:hideMark/>
          </w:tcPr>
          <w:p w:rsidR="00866248" w:rsidRDefault="00866248" w:rsidP="00866248">
            <w:pPr>
              <w:spacing w:after="0"/>
              <w:rPr>
                <w:rFonts w:cs="Arial"/>
                <w:color w:val="000000"/>
                <w:sz w:val="24"/>
                <w:szCs w:val="24"/>
              </w:rPr>
            </w:pPr>
            <w:r>
              <w:rPr>
                <w:rFonts w:cs="Arial"/>
                <w:color w:val="000000"/>
              </w:rPr>
              <w:t>Scottish Funding Council</w:t>
            </w:r>
          </w:p>
        </w:tc>
      </w:tr>
      <w:tr w:rsidR="00866248" w:rsidTr="00866248">
        <w:trPr>
          <w:trHeight w:val="20"/>
        </w:trPr>
        <w:tc>
          <w:tcPr>
            <w:tcW w:w="8731" w:type="dxa"/>
            <w:shd w:val="clear" w:color="auto" w:fill="auto"/>
            <w:noWrap/>
            <w:tcMar>
              <w:top w:w="15" w:type="dxa"/>
              <w:left w:w="15" w:type="dxa"/>
              <w:bottom w:w="0" w:type="dxa"/>
              <w:right w:w="15" w:type="dxa"/>
            </w:tcMar>
            <w:vAlign w:val="bottom"/>
            <w:hideMark/>
          </w:tcPr>
          <w:p w:rsidR="00866248" w:rsidRDefault="00866248" w:rsidP="00866248">
            <w:pPr>
              <w:spacing w:after="0"/>
              <w:rPr>
                <w:rFonts w:cs="Arial"/>
                <w:color w:val="000000"/>
                <w:sz w:val="24"/>
                <w:szCs w:val="24"/>
              </w:rPr>
            </w:pPr>
          </w:p>
        </w:tc>
      </w:tr>
      <w:tr w:rsidR="00866248" w:rsidTr="00866248">
        <w:trPr>
          <w:trHeight w:val="20"/>
        </w:trPr>
        <w:tc>
          <w:tcPr>
            <w:tcW w:w="8731" w:type="dxa"/>
            <w:shd w:val="clear" w:color="auto" w:fill="auto"/>
            <w:noWrap/>
            <w:tcMar>
              <w:top w:w="15" w:type="dxa"/>
              <w:left w:w="15" w:type="dxa"/>
              <w:bottom w:w="0" w:type="dxa"/>
              <w:right w:w="15" w:type="dxa"/>
            </w:tcMar>
            <w:vAlign w:val="bottom"/>
            <w:hideMark/>
          </w:tcPr>
          <w:p w:rsidR="00866248" w:rsidRDefault="00866248" w:rsidP="00866248">
            <w:pPr>
              <w:spacing w:after="0"/>
              <w:rPr>
                <w:rFonts w:cs="Arial"/>
                <w:sz w:val="24"/>
                <w:szCs w:val="24"/>
              </w:rPr>
            </w:pPr>
            <w:r>
              <w:rPr>
                <w:rFonts w:cs="Arial"/>
              </w:rPr>
              <w:t>Motherwell College</w:t>
            </w:r>
          </w:p>
        </w:tc>
      </w:tr>
      <w:tr w:rsidR="00866248" w:rsidTr="00866248">
        <w:trPr>
          <w:trHeight w:val="20"/>
        </w:trPr>
        <w:tc>
          <w:tcPr>
            <w:tcW w:w="8731" w:type="dxa"/>
            <w:shd w:val="clear" w:color="auto" w:fill="auto"/>
            <w:tcMar>
              <w:top w:w="15" w:type="dxa"/>
              <w:left w:w="15" w:type="dxa"/>
              <w:bottom w:w="0" w:type="dxa"/>
              <w:right w:w="15" w:type="dxa"/>
            </w:tcMar>
            <w:vAlign w:val="bottom"/>
            <w:hideMark/>
          </w:tcPr>
          <w:p w:rsidR="00866248" w:rsidRDefault="00866248" w:rsidP="00866248">
            <w:pPr>
              <w:spacing w:after="0"/>
              <w:rPr>
                <w:rFonts w:cs="Arial"/>
                <w:color w:val="000000"/>
                <w:sz w:val="24"/>
                <w:szCs w:val="24"/>
              </w:rPr>
            </w:pPr>
            <w:r>
              <w:rPr>
                <w:rFonts w:cs="Arial"/>
                <w:color w:val="000000"/>
              </w:rPr>
              <w:t>Stevenson College, Edinburgh</w:t>
            </w:r>
          </w:p>
        </w:tc>
      </w:tr>
    </w:tbl>
    <w:p w:rsidR="00866248" w:rsidRDefault="00866248">
      <w:pPr>
        <w:spacing w:after="0"/>
        <w:rPr>
          <w:rFonts w:ascii="Georgia" w:hAnsi="Georgia" w:cs="Georgia"/>
          <w:sz w:val="80"/>
          <w:szCs w:val="80"/>
          <w:lang w:eastAsia="en-GB"/>
        </w:rPr>
      </w:pPr>
      <w:r>
        <w:t xml:space="preserve"> </w:t>
      </w:r>
    </w:p>
    <w:p w:rsidR="00866248" w:rsidRDefault="00866248">
      <w:pPr>
        <w:spacing w:after="0"/>
        <w:rPr>
          <w:rFonts w:ascii="Georgia" w:hAnsi="Georgia" w:cs="Georgia"/>
          <w:sz w:val="80"/>
          <w:szCs w:val="80"/>
          <w:lang w:eastAsia="en-GB"/>
        </w:rPr>
      </w:pPr>
      <w:r>
        <w:rPr>
          <w:rFonts w:ascii="Georgia" w:hAnsi="Georgia" w:cs="Georgia"/>
          <w:sz w:val="80"/>
          <w:szCs w:val="80"/>
          <w:lang w:eastAsia="en-GB"/>
        </w:rPr>
        <w:t xml:space="preserve"> </w:t>
      </w:r>
      <w:r>
        <w:rPr>
          <w:rFonts w:ascii="Georgia" w:hAnsi="Georgia" w:cs="Georgia"/>
          <w:sz w:val="80"/>
          <w:szCs w:val="80"/>
          <w:lang w:eastAsia="en-GB"/>
        </w:rPr>
        <w:br w:type="page"/>
      </w:r>
    </w:p>
    <w:p w:rsidR="00333DD8" w:rsidRPr="005E499F" w:rsidRDefault="00333DD8" w:rsidP="00333DD8">
      <w:pPr>
        <w:pStyle w:val="Heading2"/>
        <w:rPr>
          <w:lang w:eastAsia="en-GB"/>
        </w:rPr>
      </w:pPr>
      <w:bookmarkStart w:id="20" w:name="_Toc341193309"/>
      <w:r>
        <w:rPr>
          <w:lang w:eastAsia="en-GB"/>
        </w:rPr>
        <w:t>Contacts</w:t>
      </w:r>
      <w:bookmarkEnd w:id="20"/>
    </w:p>
    <w:p w:rsidR="00333DD8" w:rsidRPr="00F7123D" w:rsidRDefault="00333DD8" w:rsidP="00333DD8">
      <w:pPr>
        <w:tabs>
          <w:tab w:val="left" w:pos="720"/>
        </w:tabs>
        <w:autoSpaceDE w:val="0"/>
        <w:autoSpaceDN w:val="0"/>
        <w:adjustRightInd w:val="0"/>
        <w:spacing w:after="240"/>
        <w:ind w:right="18"/>
        <w:rPr>
          <w:b/>
          <w:sz w:val="32"/>
          <w:szCs w:val="32"/>
        </w:rPr>
      </w:pPr>
      <w:r w:rsidRPr="00F7123D">
        <w:rPr>
          <w:b/>
          <w:sz w:val="32"/>
          <w:szCs w:val="32"/>
        </w:rPr>
        <w:t>www.equalityhumanrights.com</w:t>
      </w:r>
    </w:p>
    <w:p w:rsidR="00333DD8" w:rsidRDefault="00333DD8" w:rsidP="00333DD8">
      <w:pPr>
        <w:autoSpaceDE w:val="0"/>
        <w:autoSpaceDN w:val="0"/>
        <w:adjustRightInd w:val="0"/>
        <w:spacing w:after="240"/>
        <w:rPr>
          <w:rFonts w:cs="Arial"/>
          <w:color w:val="000000"/>
          <w:szCs w:val="28"/>
          <w:lang w:eastAsia="en-GB"/>
        </w:rPr>
      </w:pPr>
      <w:r>
        <w:rPr>
          <w:rFonts w:cs="Arial"/>
          <w:color w:val="000000"/>
          <w:szCs w:val="28"/>
          <w:lang w:eastAsia="en-GB"/>
        </w:rPr>
        <w:t xml:space="preserve">The Commission’s </w:t>
      </w:r>
      <w:r w:rsidRPr="005E499F">
        <w:rPr>
          <w:rFonts w:cs="Arial"/>
          <w:color w:val="000000"/>
          <w:szCs w:val="28"/>
          <w:lang w:eastAsia="en-GB"/>
        </w:rPr>
        <w:t xml:space="preserve">publications are available to download </w:t>
      </w:r>
      <w:r>
        <w:rPr>
          <w:rFonts w:cs="Arial"/>
          <w:color w:val="000000"/>
          <w:szCs w:val="28"/>
          <w:lang w:eastAsia="en-GB"/>
        </w:rPr>
        <w:t xml:space="preserve">on our website: </w:t>
      </w:r>
      <w:r w:rsidRPr="003634D3">
        <w:rPr>
          <w:rFonts w:cs="Arial"/>
          <w:b/>
          <w:color w:val="000000"/>
          <w:szCs w:val="28"/>
          <w:lang w:eastAsia="en-GB"/>
        </w:rPr>
        <w:t>www.equalityhumanrights.com</w:t>
      </w:r>
      <w:r>
        <w:rPr>
          <w:rFonts w:cs="Arial"/>
          <w:color w:val="000000"/>
          <w:szCs w:val="28"/>
          <w:lang w:eastAsia="en-GB"/>
        </w:rPr>
        <w:t xml:space="preserve">. If you are an organisation and would like to discuss the option of accessing a publication in an alternative format or language please contact </w:t>
      </w:r>
      <w:hyperlink r:id="rId10" w:history="1">
        <w:r w:rsidRPr="003634D3">
          <w:rPr>
            <w:rStyle w:val="Hyperlink"/>
            <w:rFonts w:cs="Arial"/>
            <w:color w:val="auto"/>
            <w:szCs w:val="28"/>
            <w:u w:val="none"/>
            <w:lang w:eastAsia="en-GB"/>
          </w:rPr>
          <w:t>engagementdesk@equalityhumanrights.com</w:t>
        </w:r>
      </w:hyperlink>
      <w:r w:rsidRPr="003634D3">
        <w:rPr>
          <w:rFonts w:cs="Arial"/>
          <w:szCs w:val="28"/>
          <w:lang w:eastAsia="en-GB"/>
        </w:rPr>
        <w:t>.</w:t>
      </w:r>
      <w:r>
        <w:rPr>
          <w:rFonts w:cs="Arial"/>
          <w:color w:val="000000"/>
          <w:szCs w:val="28"/>
          <w:lang w:eastAsia="en-GB"/>
        </w:rPr>
        <w:t xml:space="preserve"> If you are an individual please contact the Equality Advisory and Support Service (EASS) using the contact methods below.</w:t>
      </w:r>
    </w:p>
    <w:p w:rsidR="00333DD8" w:rsidRPr="005E499F" w:rsidRDefault="00333DD8" w:rsidP="00333DD8">
      <w:pPr>
        <w:keepNext/>
        <w:autoSpaceDE w:val="0"/>
        <w:autoSpaceDN w:val="0"/>
        <w:adjustRightInd w:val="0"/>
        <w:spacing w:after="100"/>
        <w:ind w:right="18"/>
        <w:rPr>
          <w:rFonts w:cs="Arial"/>
          <w:b/>
          <w:bCs/>
          <w:szCs w:val="28"/>
          <w:lang w:eastAsia="en-GB"/>
        </w:rPr>
      </w:pPr>
      <w:r w:rsidRPr="005E499F">
        <w:rPr>
          <w:rFonts w:cs="Arial"/>
          <w:b/>
          <w:bCs/>
          <w:szCs w:val="28"/>
          <w:lang w:eastAsia="en-GB"/>
        </w:rPr>
        <w:t>Equality Advisory and Support Service (EASS)</w:t>
      </w:r>
    </w:p>
    <w:p w:rsidR="00333DD8" w:rsidRPr="005E499F" w:rsidRDefault="00333DD8" w:rsidP="00333DD8">
      <w:pPr>
        <w:pStyle w:val="NormalWeb"/>
        <w:rPr>
          <w:rFonts w:ascii="Arial" w:hAnsi="Arial" w:cs="Arial"/>
          <w:sz w:val="28"/>
          <w:szCs w:val="28"/>
        </w:rPr>
      </w:pPr>
      <w:r w:rsidRPr="005E499F">
        <w:rPr>
          <w:rFonts w:ascii="Arial" w:hAnsi="Arial" w:cs="Arial"/>
          <w:sz w:val="28"/>
          <w:szCs w:val="28"/>
        </w:rPr>
        <w:t>The Equality Advisory Support Service has replaced the Equality and Human Rights Commission Helpline. It gives free advice, information and guidance to individuals on equality, discrimination and human rights issues.</w:t>
      </w:r>
    </w:p>
    <w:p w:rsidR="00333DD8" w:rsidRPr="005E499F" w:rsidRDefault="00333DD8" w:rsidP="00333DD8">
      <w:pPr>
        <w:autoSpaceDE w:val="0"/>
        <w:autoSpaceDN w:val="0"/>
        <w:adjustRightInd w:val="0"/>
        <w:spacing w:after="100"/>
        <w:ind w:right="18"/>
        <w:rPr>
          <w:rFonts w:cs="Arial"/>
          <w:szCs w:val="28"/>
          <w:lang w:eastAsia="en-GB"/>
        </w:rPr>
      </w:pPr>
      <w:r w:rsidRPr="005E499F">
        <w:rPr>
          <w:rFonts w:cs="Arial"/>
          <w:szCs w:val="28"/>
          <w:lang w:eastAsia="en-GB"/>
        </w:rPr>
        <w:t>Telephone: 0800 444 205</w:t>
      </w:r>
      <w:r w:rsidRPr="005E499F">
        <w:rPr>
          <w:rFonts w:cs="Arial"/>
          <w:szCs w:val="28"/>
          <w:lang w:eastAsia="en-GB"/>
        </w:rPr>
        <w:br/>
        <w:t>Textphone: 0800 444 206</w:t>
      </w:r>
    </w:p>
    <w:p w:rsidR="00333DD8" w:rsidRPr="005E499F" w:rsidRDefault="00333DD8" w:rsidP="00333DD8">
      <w:pPr>
        <w:keepNext/>
        <w:autoSpaceDE w:val="0"/>
        <w:autoSpaceDN w:val="0"/>
        <w:adjustRightInd w:val="0"/>
        <w:spacing w:after="100"/>
        <w:ind w:right="18"/>
        <w:rPr>
          <w:rFonts w:cs="Arial"/>
          <w:b/>
          <w:bCs/>
          <w:szCs w:val="28"/>
          <w:lang w:eastAsia="en-GB"/>
        </w:rPr>
      </w:pPr>
      <w:r w:rsidRPr="005E499F">
        <w:rPr>
          <w:rFonts w:cs="Arial"/>
          <w:b/>
          <w:bCs/>
          <w:szCs w:val="28"/>
          <w:lang w:eastAsia="en-GB"/>
        </w:rPr>
        <w:t>Opening hours:</w:t>
      </w:r>
    </w:p>
    <w:p w:rsidR="00333DD8" w:rsidRPr="005E499F" w:rsidRDefault="00333DD8" w:rsidP="00333DD8">
      <w:pPr>
        <w:rPr>
          <w:rFonts w:cs="Arial"/>
          <w:color w:val="000000"/>
          <w:szCs w:val="28"/>
        </w:rPr>
      </w:pPr>
      <w:r w:rsidRPr="005E499F">
        <w:rPr>
          <w:rFonts w:cs="Arial"/>
          <w:szCs w:val="28"/>
          <w:lang w:eastAsia="en-GB"/>
        </w:rPr>
        <w:t xml:space="preserve">09:00 to 20:00 Monday to Friday </w:t>
      </w:r>
      <w:r w:rsidRPr="005E499F">
        <w:rPr>
          <w:rFonts w:cs="Arial"/>
          <w:szCs w:val="28"/>
          <w:lang w:eastAsia="en-GB"/>
        </w:rPr>
        <w:br/>
        <w:t>10:00 to 14:00 Saturday</w:t>
      </w:r>
    </w:p>
    <w:p w:rsidR="00333DD8" w:rsidRPr="005E499F" w:rsidRDefault="00333DD8" w:rsidP="00333DD8">
      <w:pPr>
        <w:pStyle w:val="NormalWeb"/>
        <w:rPr>
          <w:rFonts w:ascii="Arial" w:hAnsi="Arial" w:cs="Arial"/>
          <w:sz w:val="28"/>
          <w:szCs w:val="28"/>
        </w:rPr>
      </w:pPr>
      <w:r w:rsidRPr="005E499F">
        <w:rPr>
          <w:rStyle w:val="Strong"/>
          <w:rFonts w:ascii="Arial" w:hAnsi="Arial" w:cs="Arial"/>
          <w:sz w:val="28"/>
          <w:szCs w:val="28"/>
        </w:rPr>
        <w:t>Website:</w:t>
      </w:r>
      <w:r w:rsidR="005C2F41">
        <w:rPr>
          <w:rStyle w:val="Strong"/>
          <w:rFonts w:ascii="Arial" w:hAnsi="Arial" w:cs="Arial"/>
          <w:sz w:val="28"/>
          <w:szCs w:val="28"/>
        </w:rPr>
        <w:t xml:space="preserve"> </w:t>
      </w:r>
      <w:r>
        <w:rPr>
          <w:rFonts w:ascii="Arial" w:hAnsi="Arial" w:cs="Arial"/>
          <w:sz w:val="28"/>
          <w:szCs w:val="28"/>
        </w:rPr>
        <w:t>www.equalityadvisoryservice.com</w:t>
      </w:r>
    </w:p>
    <w:p w:rsidR="00333DD8" w:rsidRPr="006423D2" w:rsidRDefault="00333DD8" w:rsidP="00333DD8">
      <w:pPr>
        <w:pStyle w:val="NormalWeb"/>
        <w:rPr>
          <w:rFonts w:ascii="Arial" w:hAnsi="Arial" w:cs="Arial"/>
          <w:sz w:val="28"/>
          <w:szCs w:val="28"/>
        </w:rPr>
      </w:pPr>
      <w:r w:rsidRPr="005E499F">
        <w:rPr>
          <w:rStyle w:val="Strong"/>
          <w:rFonts w:ascii="Arial" w:hAnsi="Arial" w:cs="Arial"/>
          <w:sz w:val="28"/>
          <w:szCs w:val="28"/>
        </w:rPr>
        <w:t>Post</w:t>
      </w:r>
      <w:r w:rsidRPr="003634D3">
        <w:rPr>
          <w:rFonts w:ascii="Arial" w:hAnsi="Arial" w:cs="Arial"/>
          <w:b/>
          <w:sz w:val="28"/>
          <w:szCs w:val="28"/>
        </w:rPr>
        <w:t>:</w:t>
      </w:r>
      <w:r w:rsidRPr="005E499F">
        <w:rPr>
          <w:rFonts w:ascii="Arial" w:hAnsi="Arial" w:cs="Arial"/>
          <w:sz w:val="28"/>
          <w:szCs w:val="28"/>
        </w:rPr>
        <w:t xml:space="preserve"> FREEPOST Equality Advisory Support Service FPN4431</w:t>
      </w:r>
    </w:p>
    <w:p w:rsidR="00AA0FD1" w:rsidRPr="005D149C" w:rsidRDefault="00AA0FD1" w:rsidP="00AA0FD1"/>
    <w:p w:rsidR="00691940" w:rsidRPr="00AA0FD1" w:rsidRDefault="00691940" w:rsidP="00AA0FD1"/>
    <w:sectPr w:rsidR="00691940" w:rsidRPr="00AA0FD1" w:rsidSect="00963673">
      <w:footerReference w:type="default" r:id="rId11"/>
      <w:pgSz w:w="11906" w:h="16838"/>
      <w:pgMar w:top="1134" w:right="1440" w:bottom="113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2E3" w:rsidRDefault="000512E3" w:rsidP="00AA0FD1">
      <w:pPr>
        <w:spacing w:after="0"/>
      </w:pPr>
      <w:r>
        <w:separator/>
      </w:r>
    </w:p>
  </w:endnote>
  <w:endnote w:type="continuationSeparator" w:id="0">
    <w:p w:rsidR="000512E3" w:rsidRDefault="000512E3" w:rsidP="00AA0FD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B11" w:rsidRDefault="001C3350">
    <w:pPr>
      <w:pStyle w:val="Footer"/>
      <w:jc w:val="center"/>
    </w:pPr>
    <w:fldSimple w:instr=" PAGE   \* MERGEFORMAT ">
      <w:r w:rsidR="009D4DA5">
        <w:rPr>
          <w:noProof/>
        </w:rPr>
        <w:t>1</w:t>
      </w:r>
    </w:fldSimple>
  </w:p>
  <w:p w:rsidR="00132B11" w:rsidRDefault="00132B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2E3" w:rsidRDefault="000512E3" w:rsidP="00AA0FD1">
      <w:pPr>
        <w:spacing w:after="0"/>
      </w:pPr>
      <w:r>
        <w:separator/>
      </w:r>
    </w:p>
  </w:footnote>
  <w:footnote w:type="continuationSeparator" w:id="0">
    <w:p w:rsidR="000512E3" w:rsidRDefault="000512E3" w:rsidP="00AA0FD1">
      <w:pPr>
        <w:spacing w:after="0"/>
      </w:pPr>
      <w:r>
        <w:continuationSeparator/>
      </w:r>
    </w:p>
  </w:footnote>
  <w:footnote w:id="1">
    <w:p w:rsidR="00132B11" w:rsidRDefault="00132B11" w:rsidP="00AA0FD1">
      <w:pPr>
        <w:pStyle w:val="FootnoteText"/>
      </w:pPr>
      <w:r>
        <w:rPr>
          <w:rStyle w:val="FootnoteReference"/>
        </w:rPr>
        <w:footnoteRef/>
      </w:r>
      <w:r>
        <w:t xml:space="preserve"> HM Government Code of Practice on Consultation 2008 </w:t>
      </w:r>
      <w:r w:rsidRPr="0084284F">
        <w:t>http://www.berr.gov.uk/files/file47158.pdf</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E07B1"/>
    <w:multiLevelType w:val="hybridMultilevel"/>
    <w:tmpl w:val="990857BC"/>
    <w:lvl w:ilvl="0" w:tplc="DEB4216E">
      <w:start w:val="5"/>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18727A"/>
    <w:multiLevelType w:val="hybridMultilevel"/>
    <w:tmpl w:val="602601E0"/>
    <w:lvl w:ilvl="0" w:tplc="A572ADD0">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971831"/>
    <w:multiLevelType w:val="hybridMultilevel"/>
    <w:tmpl w:val="94F4B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172E63"/>
    <w:multiLevelType w:val="hybridMultilevel"/>
    <w:tmpl w:val="707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BE28D5"/>
    <w:multiLevelType w:val="hybridMultilevel"/>
    <w:tmpl w:val="364EB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D91AF0"/>
    <w:multiLevelType w:val="hybridMultilevel"/>
    <w:tmpl w:val="01F0B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0661AE"/>
    <w:multiLevelType w:val="hybridMultilevel"/>
    <w:tmpl w:val="58DE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3013E9"/>
    <w:multiLevelType w:val="hybridMultilevel"/>
    <w:tmpl w:val="EEE20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8B7A3B"/>
    <w:multiLevelType w:val="hybridMultilevel"/>
    <w:tmpl w:val="0EFEA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072420"/>
    <w:multiLevelType w:val="hybridMultilevel"/>
    <w:tmpl w:val="AA2C0364"/>
    <w:lvl w:ilvl="0" w:tplc="08090001">
      <w:start w:val="1"/>
      <w:numFmt w:val="bullet"/>
      <w:lvlText w:val=""/>
      <w:lvlJc w:val="left"/>
      <w:pPr>
        <w:ind w:left="360" w:hanging="360"/>
      </w:pPr>
      <w:rPr>
        <w:rFonts w:ascii="Symbol" w:hAnsi="Symbol" w:hint="default"/>
      </w:rPr>
    </w:lvl>
    <w:lvl w:ilvl="1" w:tplc="A572ADD0">
      <w:numFmt w:val="bullet"/>
      <w:lvlText w:val="•"/>
      <w:lvlJc w:val="left"/>
      <w:pPr>
        <w:ind w:left="1080" w:hanging="36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6066948"/>
    <w:multiLevelType w:val="hybridMultilevel"/>
    <w:tmpl w:val="72D604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845235F"/>
    <w:multiLevelType w:val="hybridMultilevel"/>
    <w:tmpl w:val="7D941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4B0533"/>
    <w:multiLevelType w:val="hybridMultilevel"/>
    <w:tmpl w:val="24DA21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nsid w:val="3BC94E92"/>
    <w:multiLevelType w:val="hybridMultilevel"/>
    <w:tmpl w:val="1398F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DA2436C"/>
    <w:multiLevelType w:val="hybridMultilevel"/>
    <w:tmpl w:val="CB1EF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E775FE"/>
    <w:multiLevelType w:val="hybridMultilevel"/>
    <w:tmpl w:val="E60C14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453F345D"/>
    <w:multiLevelType w:val="hybridMultilevel"/>
    <w:tmpl w:val="07B85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4D22AA"/>
    <w:multiLevelType w:val="hybridMultilevel"/>
    <w:tmpl w:val="AC0A8F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7B650C1"/>
    <w:multiLevelType w:val="hybridMultilevel"/>
    <w:tmpl w:val="9EC2F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CA35985"/>
    <w:multiLevelType w:val="hybridMultilevel"/>
    <w:tmpl w:val="1952DAC4"/>
    <w:lvl w:ilvl="0" w:tplc="A572ADD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A60425"/>
    <w:multiLevelType w:val="hybridMultilevel"/>
    <w:tmpl w:val="3EF83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0700F4B"/>
    <w:multiLevelType w:val="hybridMultilevel"/>
    <w:tmpl w:val="AC747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69B4152"/>
    <w:multiLevelType w:val="hybridMultilevel"/>
    <w:tmpl w:val="68D884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56ED7B31"/>
    <w:multiLevelType w:val="hybridMultilevel"/>
    <w:tmpl w:val="B87AC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A40180E"/>
    <w:multiLevelType w:val="hybridMultilevel"/>
    <w:tmpl w:val="1B748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FF500C1"/>
    <w:multiLevelType w:val="hybridMultilevel"/>
    <w:tmpl w:val="8A3A745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60F2744E"/>
    <w:multiLevelType w:val="hybridMultilevel"/>
    <w:tmpl w:val="3E0EE8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62C45342"/>
    <w:multiLevelType w:val="hybridMultilevel"/>
    <w:tmpl w:val="00B8F0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nsid w:val="63811AB5"/>
    <w:multiLevelType w:val="hybridMultilevel"/>
    <w:tmpl w:val="780CD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65577A6E"/>
    <w:multiLevelType w:val="hybridMultilevel"/>
    <w:tmpl w:val="324AB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975F89"/>
    <w:multiLevelType w:val="hybridMultilevel"/>
    <w:tmpl w:val="CA04B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C797385"/>
    <w:multiLevelType w:val="hybridMultilevel"/>
    <w:tmpl w:val="19A65E7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F6767D4"/>
    <w:multiLevelType w:val="hybridMultilevel"/>
    <w:tmpl w:val="0314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F76361E"/>
    <w:multiLevelType w:val="hybridMultilevel"/>
    <w:tmpl w:val="DA9E9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20"/>
  </w:num>
  <w:num w:numId="4">
    <w:abstractNumId w:val="32"/>
  </w:num>
  <w:num w:numId="5">
    <w:abstractNumId w:val="5"/>
  </w:num>
  <w:num w:numId="6">
    <w:abstractNumId w:val="0"/>
  </w:num>
  <w:num w:numId="7">
    <w:abstractNumId w:val="27"/>
  </w:num>
  <w:num w:numId="8">
    <w:abstractNumId w:val="12"/>
  </w:num>
  <w:num w:numId="9">
    <w:abstractNumId w:val="15"/>
  </w:num>
  <w:num w:numId="10">
    <w:abstractNumId w:val="23"/>
  </w:num>
  <w:num w:numId="11">
    <w:abstractNumId w:val="18"/>
  </w:num>
  <w:num w:numId="12">
    <w:abstractNumId w:val="14"/>
  </w:num>
  <w:num w:numId="13">
    <w:abstractNumId w:val="22"/>
  </w:num>
  <w:num w:numId="14">
    <w:abstractNumId w:val="10"/>
  </w:num>
  <w:num w:numId="15">
    <w:abstractNumId w:val="25"/>
  </w:num>
  <w:num w:numId="16">
    <w:abstractNumId w:val="26"/>
  </w:num>
  <w:num w:numId="17">
    <w:abstractNumId w:val="31"/>
  </w:num>
  <w:num w:numId="18">
    <w:abstractNumId w:val="6"/>
  </w:num>
  <w:num w:numId="19">
    <w:abstractNumId w:val="1"/>
  </w:num>
  <w:num w:numId="20">
    <w:abstractNumId w:val="19"/>
  </w:num>
  <w:num w:numId="21">
    <w:abstractNumId w:val="17"/>
  </w:num>
  <w:num w:numId="22">
    <w:abstractNumId w:val="28"/>
  </w:num>
  <w:num w:numId="23">
    <w:abstractNumId w:val="9"/>
  </w:num>
  <w:num w:numId="24">
    <w:abstractNumId w:val="13"/>
  </w:num>
  <w:num w:numId="25">
    <w:abstractNumId w:val="8"/>
  </w:num>
  <w:num w:numId="26">
    <w:abstractNumId w:val="3"/>
  </w:num>
  <w:num w:numId="27">
    <w:abstractNumId w:val="30"/>
  </w:num>
  <w:num w:numId="28">
    <w:abstractNumId w:val="21"/>
  </w:num>
  <w:num w:numId="29">
    <w:abstractNumId w:val="33"/>
  </w:num>
  <w:num w:numId="30">
    <w:abstractNumId w:val="2"/>
  </w:num>
  <w:num w:numId="31">
    <w:abstractNumId w:val="7"/>
  </w:num>
  <w:num w:numId="32">
    <w:abstractNumId w:val="16"/>
  </w:num>
  <w:num w:numId="33">
    <w:abstractNumId w:val="11"/>
  </w:num>
  <w:num w:numId="34">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characterSpacingControl w:val="doNotCompress"/>
  <w:footnotePr>
    <w:footnote w:id="-1"/>
    <w:footnote w:id="0"/>
  </w:footnotePr>
  <w:endnotePr>
    <w:endnote w:id="-1"/>
    <w:endnote w:id="0"/>
  </w:endnotePr>
  <w:compat/>
  <w:rsids>
    <w:rsidRoot w:val="00AA0FD1"/>
    <w:rsid w:val="00000151"/>
    <w:rsid w:val="0000045D"/>
    <w:rsid w:val="00004E4D"/>
    <w:rsid w:val="0002687D"/>
    <w:rsid w:val="00030F42"/>
    <w:rsid w:val="00031BC6"/>
    <w:rsid w:val="000356BE"/>
    <w:rsid w:val="0003720D"/>
    <w:rsid w:val="000446D8"/>
    <w:rsid w:val="000512E3"/>
    <w:rsid w:val="000635E5"/>
    <w:rsid w:val="00073576"/>
    <w:rsid w:val="0007649D"/>
    <w:rsid w:val="0008012F"/>
    <w:rsid w:val="0008088E"/>
    <w:rsid w:val="00092CA7"/>
    <w:rsid w:val="000A40D6"/>
    <w:rsid w:val="000C1A9B"/>
    <w:rsid w:val="000C55D1"/>
    <w:rsid w:val="000E1415"/>
    <w:rsid w:val="000F2B34"/>
    <w:rsid w:val="000F316B"/>
    <w:rsid w:val="00107240"/>
    <w:rsid w:val="0012078C"/>
    <w:rsid w:val="00130C52"/>
    <w:rsid w:val="00132B11"/>
    <w:rsid w:val="001336EE"/>
    <w:rsid w:val="00136815"/>
    <w:rsid w:val="001530D7"/>
    <w:rsid w:val="0015444C"/>
    <w:rsid w:val="001549AB"/>
    <w:rsid w:val="001553BD"/>
    <w:rsid w:val="00181360"/>
    <w:rsid w:val="001C3350"/>
    <w:rsid w:val="001C3BE8"/>
    <w:rsid w:val="001D044F"/>
    <w:rsid w:val="001E515A"/>
    <w:rsid w:val="001E6B83"/>
    <w:rsid w:val="001F067E"/>
    <w:rsid w:val="0020248B"/>
    <w:rsid w:val="00232409"/>
    <w:rsid w:val="0023260E"/>
    <w:rsid w:val="00293889"/>
    <w:rsid w:val="002951F3"/>
    <w:rsid w:val="002A5D4C"/>
    <w:rsid w:val="002B169B"/>
    <w:rsid w:val="002B50DE"/>
    <w:rsid w:val="002B60BD"/>
    <w:rsid w:val="002C1F49"/>
    <w:rsid w:val="002F023B"/>
    <w:rsid w:val="002F3634"/>
    <w:rsid w:val="002F6987"/>
    <w:rsid w:val="00305416"/>
    <w:rsid w:val="00321305"/>
    <w:rsid w:val="003278E7"/>
    <w:rsid w:val="00333099"/>
    <w:rsid w:val="00333DD8"/>
    <w:rsid w:val="003405DF"/>
    <w:rsid w:val="00380AA7"/>
    <w:rsid w:val="003869D4"/>
    <w:rsid w:val="00390F83"/>
    <w:rsid w:val="00391064"/>
    <w:rsid w:val="003A13E8"/>
    <w:rsid w:val="003A52E1"/>
    <w:rsid w:val="003B1986"/>
    <w:rsid w:val="003C5B9B"/>
    <w:rsid w:val="003E2B8A"/>
    <w:rsid w:val="003E6B79"/>
    <w:rsid w:val="003F15F9"/>
    <w:rsid w:val="003F6C5A"/>
    <w:rsid w:val="003F741A"/>
    <w:rsid w:val="004003B7"/>
    <w:rsid w:val="0040063C"/>
    <w:rsid w:val="004018C5"/>
    <w:rsid w:val="00414F2C"/>
    <w:rsid w:val="00415DD9"/>
    <w:rsid w:val="00422024"/>
    <w:rsid w:val="00431902"/>
    <w:rsid w:val="00431E64"/>
    <w:rsid w:val="00455C8D"/>
    <w:rsid w:val="0046467C"/>
    <w:rsid w:val="00471C9C"/>
    <w:rsid w:val="004724A0"/>
    <w:rsid w:val="00473E69"/>
    <w:rsid w:val="00475AD2"/>
    <w:rsid w:val="004850ED"/>
    <w:rsid w:val="00496477"/>
    <w:rsid w:val="004A012A"/>
    <w:rsid w:val="00511FC9"/>
    <w:rsid w:val="00513173"/>
    <w:rsid w:val="005149E7"/>
    <w:rsid w:val="005341CF"/>
    <w:rsid w:val="00555740"/>
    <w:rsid w:val="005676B6"/>
    <w:rsid w:val="00572C1A"/>
    <w:rsid w:val="0058166C"/>
    <w:rsid w:val="0058194F"/>
    <w:rsid w:val="00586348"/>
    <w:rsid w:val="005A6570"/>
    <w:rsid w:val="005C09C4"/>
    <w:rsid w:val="005C2F41"/>
    <w:rsid w:val="005C47F4"/>
    <w:rsid w:val="005E433E"/>
    <w:rsid w:val="005E584E"/>
    <w:rsid w:val="005F7762"/>
    <w:rsid w:val="00604183"/>
    <w:rsid w:val="006077E9"/>
    <w:rsid w:val="006179C3"/>
    <w:rsid w:val="0062393B"/>
    <w:rsid w:val="00624443"/>
    <w:rsid w:val="00627A82"/>
    <w:rsid w:val="00667C05"/>
    <w:rsid w:val="00685159"/>
    <w:rsid w:val="00687F78"/>
    <w:rsid w:val="00691940"/>
    <w:rsid w:val="006A0A76"/>
    <w:rsid w:val="006A2A74"/>
    <w:rsid w:val="006A7ADA"/>
    <w:rsid w:val="006B0182"/>
    <w:rsid w:val="006B61D8"/>
    <w:rsid w:val="006C0C41"/>
    <w:rsid w:val="006D6EC6"/>
    <w:rsid w:val="006E588E"/>
    <w:rsid w:val="007006ED"/>
    <w:rsid w:val="00724E3C"/>
    <w:rsid w:val="00731051"/>
    <w:rsid w:val="00732CBF"/>
    <w:rsid w:val="007343E5"/>
    <w:rsid w:val="0075313E"/>
    <w:rsid w:val="00755BC4"/>
    <w:rsid w:val="00767996"/>
    <w:rsid w:val="0077189B"/>
    <w:rsid w:val="007757AD"/>
    <w:rsid w:val="007965FC"/>
    <w:rsid w:val="007B3AAD"/>
    <w:rsid w:val="007B4B87"/>
    <w:rsid w:val="007C5797"/>
    <w:rsid w:val="007E5833"/>
    <w:rsid w:val="008122F0"/>
    <w:rsid w:val="008356FB"/>
    <w:rsid w:val="00836EBF"/>
    <w:rsid w:val="00844002"/>
    <w:rsid w:val="008475CD"/>
    <w:rsid w:val="00850425"/>
    <w:rsid w:val="00866248"/>
    <w:rsid w:val="00891253"/>
    <w:rsid w:val="008967AB"/>
    <w:rsid w:val="008B5FA7"/>
    <w:rsid w:val="008D1FB0"/>
    <w:rsid w:val="008F537C"/>
    <w:rsid w:val="008F69CA"/>
    <w:rsid w:val="00912E40"/>
    <w:rsid w:val="00914467"/>
    <w:rsid w:val="00917A91"/>
    <w:rsid w:val="00942DC0"/>
    <w:rsid w:val="00957DDD"/>
    <w:rsid w:val="00963673"/>
    <w:rsid w:val="00973E34"/>
    <w:rsid w:val="0099718F"/>
    <w:rsid w:val="009A7ADB"/>
    <w:rsid w:val="009C492D"/>
    <w:rsid w:val="009D3AC5"/>
    <w:rsid w:val="009D48F8"/>
    <w:rsid w:val="009D4DA5"/>
    <w:rsid w:val="009E1DCE"/>
    <w:rsid w:val="00A1056A"/>
    <w:rsid w:val="00A14055"/>
    <w:rsid w:val="00A46316"/>
    <w:rsid w:val="00A7783B"/>
    <w:rsid w:val="00A95CE9"/>
    <w:rsid w:val="00AA0FD1"/>
    <w:rsid w:val="00AA1BED"/>
    <w:rsid w:val="00AA260A"/>
    <w:rsid w:val="00AB5406"/>
    <w:rsid w:val="00AC7C90"/>
    <w:rsid w:val="00AE0278"/>
    <w:rsid w:val="00AF1167"/>
    <w:rsid w:val="00AF7DF2"/>
    <w:rsid w:val="00B16021"/>
    <w:rsid w:val="00B35499"/>
    <w:rsid w:val="00B46537"/>
    <w:rsid w:val="00B47B6B"/>
    <w:rsid w:val="00B537C4"/>
    <w:rsid w:val="00B61802"/>
    <w:rsid w:val="00B7012A"/>
    <w:rsid w:val="00B75B43"/>
    <w:rsid w:val="00B761C6"/>
    <w:rsid w:val="00B8078D"/>
    <w:rsid w:val="00B90105"/>
    <w:rsid w:val="00B9568A"/>
    <w:rsid w:val="00BA744D"/>
    <w:rsid w:val="00BC5865"/>
    <w:rsid w:val="00BD211D"/>
    <w:rsid w:val="00BD616B"/>
    <w:rsid w:val="00BE541F"/>
    <w:rsid w:val="00BF0286"/>
    <w:rsid w:val="00BF1A09"/>
    <w:rsid w:val="00C02A7D"/>
    <w:rsid w:val="00C34219"/>
    <w:rsid w:val="00C371B2"/>
    <w:rsid w:val="00C47CF5"/>
    <w:rsid w:val="00C67501"/>
    <w:rsid w:val="00C71BC5"/>
    <w:rsid w:val="00C82050"/>
    <w:rsid w:val="00C83B02"/>
    <w:rsid w:val="00C84FCA"/>
    <w:rsid w:val="00C918EB"/>
    <w:rsid w:val="00CB7316"/>
    <w:rsid w:val="00CC47B2"/>
    <w:rsid w:val="00CC51F1"/>
    <w:rsid w:val="00CD6D4F"/>
    <w:rsid w:val="00CE526F"/>
    <w:rsid w:val="00CF732A"/>
    <w:rsid w:val="00D13BF9"/>
    <w:rsid w:val="00D40AD7"/>
    <w:rsid w:val="00D54A41"/>
    <w:rsid w:val="00D61BE5"/>
    <w:rsid w:val="00D76AAC"/>
    <w:rsid w:val="00D76B62"/>
    <w:rsid w:val="00D828D2"/>
    <w:rsid w:val="00D974D3"/>
    <w:rsid w:val="00DA386B"/>
    <w:rsid w:val="00DE4D2C"/>
    <w:rsid w:val="00DF36A9"/>
    <w:rsid w:val="00E11498"/>
    <w:rsid w:val="00E167C2"/>
    <w:rsid w:val="00E31295"/>
    <w:rsid w:val="00E422DC"/>
    <w:rsid w:val="00E43369"/>
    <w:rsid w:val="00E50B8D"/>
    <w:rsid w:val="00E50CBE"/>
    <w:rsid w:val="00E63ED6"/>
    <w:rsid w:val="00E76FF2"/>
    <w:rsid w:val="00E953AB"/>
    <w:rsid w:val="00E966CB"/>
    <w:rsid w:val="00EA76AA"/>
    <w:rsid w:val="00EB27C4"/>
    <w:rsid w:val="00EC0387"/>
    <w:rsid w:val="00EC0BA2"/>
    <w:rsid w:val="00EC235A"/>
    <w:rsid w:val="00EC3990"/>
    <w:rsid w:val="00EE35EA"/>
    <w:rsid w:val="00EE7934"/>
    <w:rsid w:val="00EF2B2E"/>
    <w:rsid w:val="00F25B97"/>
    <w:rsid w:val="00F30B87"/>
    <w:rsid w:val="00F3331C"/>
    <w:rsid w:val="00F349AE"/>
    <w:rsid w:val="00F57966"/>
    <w:rsid w:val="00F77B09"/>
    <w:rsid w:val="00F82411"/>
    <w:rsid w:val="00F87EE3"/>
    <w:rsid w:val="00F957B4"/>
    <w:rsid w:val="00FB4F95"/>
    <w:rsid w:val="00FB5031"/>
    <w:rsid w:val="00FB6DB3"/>
    <w:rsid w:val="00FD5211"/>
    <w:rsid w:val="00FF1FB8"/>
    <w:rsid w:val="00FF7F1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A0FD1"/>
    <w:pPr>
      <w:spacing w:after="200"/>
    </w:pPr>
    <w:rPr>
      <w:rFonts w:ascii="Arial" w:hAnsi="Arial"/>
      <w:sz w:val="28"/>
      <w:szCs w:val="22"/>
      <w:lang w:eastAsia="en-US"/>
    </w:rPr>
  </w:style>
  <w:style w:type="paragraph" w:styleId="Heading1">
    <w:name w:val="heading 1"/>
    <w:basedOn w:val="Normal"/>
    <w:next w:val="Normal"/>
    <w:link w:val="Heading1Char"/>
    <w:uiPriority w:val="9"/>
    <w:qFormat/>
    <w:rsid w:val="008356FB"/>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8356FB"/>
    <w:pPr>
      <w:keepNext/>
      <w:keepLines/>
      <w:spacing w:before="200" w:after="120"/>
      <w:outlineLvl w:val="1"/>
    </w:pPr>
    <w:rPr>
      <w:rFonts w:eastAsia="Times New Roman"/>
      <w:b/>
      <w:bCs/>
      <w:sz w:val="36"/>
      <w:szCs w:val="26"/>
    </w:rPr>
  </w:style>
  <w:style w:type="paragraph" w:styleId="Heading3">
    <w:name w:val="heading 3"/>
    <w:basedOn w:val="Normal"/>
    <w:next w:val="Normal"/>
    <w:link w:val="Heading3Char"/>
    <w:uiPriority w:val="9"/>
    <w:unhideWhenUsed/>
    <w:rsid w:val="008356FB"/>
    <w:pPr>
      <w:keepNext/>
      <w:keepLines/>
      <w:spacing w:before="200" w:after="0"/>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6B61D8"/>
    <w:rPr>
      <w:rFonts w:ascii="Arial" w:hAnsi="Arial"/>
      <w:sz w:val="24"/>
      <w:szCs w:val="22"/>
      <w:lang w:eastAsia="en-US"/>
    </w:rPr>
  </w:style>
  <w:style w:type="character" w:customStyle="1" w:styleId="Heading1Char">
    <w:name w:val="Heading 1 Char"/>
    <w:basedOn w:val="DefaultParagraphFont"/>
    <w:link w:val="Heading1"/>
    <w:uiPriority w:val="9"/>
    <w:rsid w:val="008356FB"/>
    <w:rPr>
      <w:rFonts w:ascii="Arial" w:eastAsia="Times New Roman" w:hAnsi="Arial"/>
      <w:b/>
      <w:bCs/>
      <w:sz w:val="52"/>
      <w:szCs w:val="28"/>
      <w:lang w:eastAsia="en-US"/>
    </w:rPr>
  </w:style>
  <w:style w:type="paragraph" w:styleId="Title">
    <w:name w:val="Title"/>
    <w:basedOn w:val="Normal"/>
    <w:next w:val="Normal"/>
    <w:link w:val="TitleChar"/>
    <w:uiPriority w:val="10"/>
    <w:qFormat/>
    <w:rsid w:val="00C371B2"/>
    <w:pPr>
      <w:spacing w:after="300"/>
      <w:contextualSpacing/>
    </w:pPr>
    <w:rPr>
      <w:rFonts w:eastAsia="Times New Roman"/>
      <w:b/>
      <w:spacing w:val="5"/>
      <w:kern w:val="28"/>
      <w:sz w:val="52"/>
      <w:szCs w:val="52"/>
    </w:rPr>
  </w:style>
  <w:style w:type="character" w:customStyle="1" w:styleId="TitleChar">
    <w:name w:val="Title Char"/>
    <w:basedOn w:val="DefaultParagraphFont"/>
    <w:link w:val="Title"/>
    <w:uiPriority w:val="10"/>
    <w:rsid w:val="00C371B2"/>
    <w:rPr>
      <w:rFonts w:ascii="Arial" w:eastAsia="Times New Roman" w:hAnsi="Arial" w:cs="Times New Roman"/>
      <w:b/>
      <w:spacing w:val="5"/>
      <w:kern w:val="28"/>
      <w:sz w:val="52"/>
      <w:szCs w:val="52"/>
    </w:rPr>
  </w:style>
  <w:style w:type="character" w:customStyle="1" w:styleId="Heading2Char">
    <w:name w:val="Heading 2 Char"/>
    <w:basedOn w:val="DefaultParagraphFont"/>
    <w:link w:val="Heading2"/>
    <w:uiPriority w:val="9"/>
    <w:rsid w:val="008356FB"/>
    <w:rPr>
      <w:rFonts w:ascii="Arial" w:eastAsia="Times New Roman" w:hAnsi="Arial"/>
      <w:b/>
      <w:bCs/>
      <w:sz w:val="36"/>
      <w:szCs w:val="26"/>
      <w:lang w:eastAsia="en-US"/>
    </w:rPr>
  </w:style>
  <w:style w:type="paragraph" w:styleId="ListParagraph">
    <w:name w:val="List Paragraph"/>
    <w:basedOn w:val="Normal"/>
    <w:uiPriority w:val="34"/>
    <w:qFormat/>
    <w:rsid w:val="00691940"/>
    <w:pPr>
      <w:ind w:left="720"/>
      <w:contextualSpacing/>
    </w:pPr>
  </w:style>
  <w:style w:type="character" w:styleId="Hyperlink">
    <w:name w:val="Hyperlink"/>
    <w:basedOn w:val="DefaultParagraphFont"/>
    <w:uiPriority w:val="99"/>
    <w:unhideWhenUsed/>
    <w:rsid w:val="004724A0"/>
    <w:rPr>
      <w:color w:val="0000FF"/>
      <w:u w:val="single"/>
    </w:rPr>
  </w:style>
  <w:style w:type="paragraph" w:styleId="Header">
    <w:name w:val="header"/>
    <w:basedOn w:val="Normal"/>
    <w:link w:val="HeaderChar"/>
    <w:uiPriority w:val="99"/>
    <w:unhideWhenUsed/>
    <w:rsid w:val="00AA0FD1"/>
    <w:pPr>
      <w:tabs>
        <w:tab w:val="center" w:pos="4513"/>
        <w:tab w:val="right" w:pos="9026"/>
      </w:tabs>
    </w:pPr>
  </w:style>
  <w:style w:type="character" w:customStyle="1" w:styleId="HeaderChar">
    <w:name w:val="Header Char"/>
    <w:basedOn w:val="DefaultParagraphFont"/>
    <w:link w:val="Header"/>
    <w:uiPriority w:val="99"/>
    <w:rsid w:val="00AA0FD1"/>
    <w:rPr>
      <w:rFonts w:ascii="Arial" w:hAnsi="Arial"/>
      <w:sz w:val="28"/>
      <w:szCs w:val="22"/>
      <w:lang w:eastAsia="en-US"/>
    </w:rPr>
  </w:style>
  <w:style w:type="paragraph" w:styleId="Footer">
    <w:name w:val="footer"/>
    <w:basedOn w:val="Normal"/>
    <w:link w:val="FooterChar"/>
    <w:uiPriority w:val="99"/>
    <w:unhideWhenUsed/>
    <w:rsid w:val="00AA0FD1"/>
    <w:pPr>
      <w:tabs>
        <w:tab w:val="center" w:pos="4513"/>
        <w:tab w:val="right" w:pos="9026"/>
      </w:tabs>
    </w:pPr>
  </w:style>
  <w:style w:type="character" w:customStyle="1" w:styleId="FooterChar">
    <w:name w:val="Footer Char"/>
    <w:basedOn w:val="DefaultParagraphFont"/>
    <w:link w:val="Footer"/>
    <w:uiPriority w:val="99"/>
    <w:rsid w:val="00AA0FD1"/>
    <w:rPr>
      <w:rFonts w:ascii="Arial" w:hAnsi="Arial"/>
      <w:sz w:val="28"/>
      <w:szCs w:val="22"/>
      <w:lang w:eastAsia="en-US"/>
    </w:rPr>
  </w:style>
  <w:style w:type="paragraph" w:styleId="FootnoteText">
    <w:name w:val="footnote text"/>
    <w:basedOn w:val="Normal"/>
    <w:link w:val="FootnoteTextChar"/>
    <w:uiPriority w:val="99"/>
    <w:semiHidden/>
    <w:unhideWhenUsed/>
    <w:rsid w:val="00AA0FD1"/>
    <w:pPr>
      <w:spacing w:after="0"/>
    </w:pPr>
    <w:rPr>
      <w:sz w:val="20"/>
      <w:szCs w:val="20"/>
    </w:rPr>
  </w:style>
  <w:style w:type="character" w:customStyle="1" w:styleId="FootnoteTextChar">
    <w:name w:val="Footnote Text Char"/>
    <w:basedOn w:val="DefaultParagraphFont"/>
    <w:link w:val="FootnoteText"/>
    <w:uiPriority w:val="99"/>
    <w:semiHidden/>
    <w:rsid w:val="00AA0FD1"/>
    <w:rPr>
      <w:rFonts w:ascii="Arial" w:hAnsi="Arial"/>
      <w:lang w:eastAsia="en-US"/>
    </w:rPr>
  </w:style>
  <w:style w:type="character" w:styleId="FootnoteReference">
    <w:name w:val="footnote reference"/>
    <w:basedOn w:val="DefaultParagraphFont"/>
    <w:uiPriority w:val="99"/>
    <w:semiHidden/>
    <w:unhideWhenUsed/>
    <w:rsid w:val="00AA0FD1"/>
    <w:rPr>
      <w:vertAlign w:val="superscript"/>
    </w:rPr>
  </w:style>
  <w:style w:type="character" w:customStyle="1" w:styleId="ends2">
    <w:name w:val="ends2"/>
    <w:basedOn w:val="DefaultParagraphFont"/>
    <w:rsid w:val="00AA0FD1"/>
    <w:rPr>
      <w:vanish w:val="0"/>
      <w:webHidden w:val="0"/>
      <w:specVanish w:val="0"/>
    </w:rPr>
  </w:style>
  <w:style w:type="paragraph" w:styleId="TOCHeading">
    <w:name w:val="TOC Heading"/>
    <w:basedOn w:val="Heading1"/>
    <w:next w:val="Normal"/>
    <w:uiPriority w:val="39"/>
    <w:semiHidden/>
    <w:unhideWhenUsed/>
    <w:qFormat/>
    <w:rsid w:val="00AA0FD1"/>
    <w:pPr>
      <w:spacing w:after="0" w:line="276" w:lineRule="auto"/>
      <w:outlineLvl w:val="9"/>
    </w:pPr>
    <w:rPr>
      <w:rFonts w:ascii="Cambria" w:hAnsi="Cambria"/>
      <w:color w:val="365F91"/>
      <w:sz w:val="28"/>
      <w:lang w:val="en-US"/>
    </w:rPr>
  </w:style>
  <w:style w:type="paragraph" w:styleId="TOC1">
    <w:name w:val="toc 1"/>
    <w:basedOn w:val="Normal"/>
    <w:next w:val="Normal"/>
    <w:autoRedefine/>
    <w:uiPriority w:val="39"/>
    <w:unhideWhenUsed/>
    <w:rsid w:val="00AA0FD1"/>
    <w:pPr>
      <w:spacing w:after="100"/>
    </w:pPr>
  </w:style>
  <w:style w:type="paragraph" w:styleId="TOC2">
    <w:name w:val="toc 2"/>
    <w:basedOn w:val="Normal"/>
    <w:next w:val="Normal"/>
    <w:autoRedefine/>
    <w:uiPriority w:val="39"/>
    <w:unhideWhenUsed/>
    <w:rsid w:val="00AA0FD1"/>
    <w:pPr>
      <w:spacing w:after="100"/>
      <w:ind w:left="280"/>
    </w:pPr>
  </w:style>
  <w:style w:type="paragraph" w:styleId="BalloonText">
    <w:name w:val="Balloon Text"/>
    <w:basedOn w:val="Normal"/>
    <w:link w:val="BalloonTextChar"/>
    <w:uiPriority w:val="99"/>
    <w:semiHidden/>
    <w:unhideWhenUsed/>
    <w:rsid w:val="00AA0FD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FD1"/>
    <w:rPr>
      <w:rFonts w:ascii="Tahoma" w:hAnsi="Tahoma" w:cs="Tahoma"/>
      <w:sz w:val="16"/>
      <w:szCs w:val="16"/>
      <w:lang w:eastAsia="en-US"/>
    </w:rPr>
  </w:style>
  <w:style w:type="character" w:styleId="CommentReference">
    <w:name w:val="annotation reference"/>
    <w:basedOn w:val="DefaultParagraphFont"/>
    <w:unhideWhenUsed/>
    <w:rsid w:val="00F3331C"/>
    <w:rPr>
      <w:sz w:val="16"/>
      <w:szCs w:val="16"/>
    </w:rPr>
  </w:style>
  <w:style w:type="paragraph" w:styleId="CommentText">
    <w:name w:val="annotation text"/>
    <w:basedOn w:val="Normal"/>
    <w:link w:val="CommentTextChar"/>
    <w:unhideWhenUsed/>
    <w:rsid w:val="00F3331C"/>
    <w:rPr>
      <w:sz w:val="20"/>
      <w:szCs w:val="20"/>
    </w:rPr>
  </w:style>
  <w:style w:type="character" w:customStyle="1" w:styleId="CommentTextChar">
    <w:name w:val="Comment Text Char"/>
    <w:basedOn w:val="DefaultParagraphFont"/>
    <w:link w:val="CommentText"/>
    <w:rsid w:val="00F3331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3331C"/>
    <w:rPr>
      <w:b/>
      <w:bCs/>
    </w:rPr>
  </w:style>
  <w:style w:type="character" w:customStyle="1" w:styleId="CommentSubjectChar">
    <w:name w:val="Comment Subject Char"/>
    <w:basedOn w:val="CommentTextChar"/>
    <w:link w:val="CommentSubject"/>
    <w:uiPriority w:val="99"/>
    <w:semiHidden/>
    <w:rsid w:val="00F3331C"/>
    <w:rPr>
      <w:b/>
      <w:bCs/>
    </w:rPr>
  </w:style>
  <w:style w:type="paragraph" w:styleId="NormalWeb">
    <w:name w:val="Normal (Web)"/>
    <w:basedOn w:val="Normal"/>
    <w:uiPriority w:val="99"/>
    <w:unhideWhenUsed/>
    <w:rsid w:val="00333DD8"/>
    <w:pPr>
      <w:spacing w:before="100" w:beforeAutospacing="1" w:after="100" w:afterAutospacing="1"/>
    </w:pPr>
    <w:rPr>
      <w:rFonts w:ascii="Times New Roman" w:eastAsia="Times New Roman" w:hAnsi="Times New Roman"/>
      <w:sz w:val="24"/>
      <w:szCs w:val="24"/>
      <w:lang w:eastAsia="en-GB"/>
    </w:rPr>
  </w:style>
  <w:style w:type="character" w:styleId="Strong">
    <w:name w:val="Strong"/>
    <w:basedOn w:val="DefaultParagraphFont"/>
    <w:uiPriority w:val="22"/>
    <w:qFormat/>
    <w:rsid w:val="00333DD8"/>
    <w:rPr>
      <w:b/>
      <w:bCs/>
    </w:rPr>
  </w:style>
  <w:style w:type="character" w:customStyle="1" w:styleId="Heading3Char">
    <w:name w:val="Heading 3 Char"/>
    <w:basedOn w:val="DefaultParagraphFont"/>
    <w:link w:val="Heading3"/>
    <w:uiPriority w:val="9"/>
    <w:rsid w:val="008356FB"/>
    <w:rPr>
      <w:rFonts w:ascii="Arial" w:eastAsia="Times New Roman" w:hAnsi="Arial" w:cs="Times New Roman"/>
      <w:b/>
      <w:bCs/>
      <w:sz w:val="28"/>
      <w:szCs w:val="22"/>
      <w:lang w:eastAsia="en-US"/>
    </w:rPr>
  </w:style>
</w:styles>
</file>

<file path=word/webSettings.xml><?xml version="1.0" encoding="utf-8"?>
<w:webSettings xmlns:r="http://schemas.openxmlformats.org/officeDocument/2006/relationships" xmlns:w="http://schemas.openxmlformats.org/wordprocessingml/2006/main">
  <w:divs>
    <w:div w:id="175123093">
      <w:bodyDiv w:val="1"/>
      <w:marLeft w:val="0"/>
      <w:marRight w:val="0"/>
      <w:marTop w:val="0"/>
      <w:marBottom w:val="0"/>
      <w:divBdr>
        <w:top w:val="none" w:sz="0" w:space="0" w:color="auto"/>
        <w:left w:val="none" w:sz="0" w:space="0" w:color="auto"/>
        <w:bottom w:val="none" w:sz="0" w:space="0" w:color="auto"/>
        <w:right w:val="none" w:sz="0" w:space="0" w:color="auto"/>
      </w:divBdr>
      <w:divsChild>
        <w:div w:id="1606960343">
          <w:marLeft w:val="0"/>
          <w:marRight w:val="0"/>
          <w:marTop w:val="0"/>
          <w:marBottom w:val="0"/>
          <w:divBdr>
            <w:top w:val="none" w:sz="0" w:space="0" w:color="auto"/>
            <w:left w:val="none" w:sz="0" w:space="0" w:color="auto"/>
            <w:bottom w:val="none" w:sz="0" w:space="0" w:color="auto"/>
            <w:right w:val="none" w:sz="0" w:space="0" w:color="auto"/>
          </w:divBdr>
          <w:divsChild>
            <w:div w:id="1636831766">
              <w:marLeft w:val="0"/>
              <w:marRight w:val="0"/>
              <w:marTop w:val="0"/>
              <w:marBottom w:val="0"/>
              <w:divBdr>
                <w:top w:val="none" w:sz="0" w:space="0" w:color="auto"/>
                <w:left w:val="none" w:sz="0" w:space="0" w:color="auto"/>
                <w:bottom w:val="none" w:sz="0" w:space="0" w:color="auto"/>
                <w:right w:val="none" w:sz="0" w:space="0" w:color="auto"/>
              </w:divBdr>
              <w:divsChild>
                <w:div w:id="1400245728">
                  <w:marLeft w:val="0"/>
                  <w:marRight w:val="0"/>
                  <w:marTop w:val="0"/>
                  <w:marBottom w:val="0"/>
                  <w:divBdr>
                    <w:top w:val="none" w:sz="0" w:space="0" w:color="auto"/>
                    <w:left w:val="none" w:sz="0" w:space="0" w:color="auto"/>
                    <w:bottom w:val="none" w:sz="0" w:space="0" w:color="auto"/>
                    <w:right w:val="none" w:sz="0" w:space="0" w:color="auto"/>
                  </w:divBdr>
                  <w:divsChild>
                    <w:div w:id="2102755102">
                      <w:marLeft w:val="0"/>
                      <w:marRight w:val="0"/>
                      <w:marTop w:val="0"/>
                      <w:marBottom w:val="0"/>
                      <w:divBdr>
                        <w:top w:val="none" w:sz="0" w:space="0" w:color="auto"/>
                        <w:left w:val="none" w:sz="0" w:space="0" w:color="auto"/>
                        <w:bottom w:val="none" w:sz="0" w:space="0" w:color="auto"/>
                        <w:right w:val="none" w:sz="0" w:space="0" w:color="auto"/>
                      </w:divBdr>
                      <w:divsChild>
                        <w:div w:id="77995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764525">
      <w:bodyDiv w:val="1"/>
      <w:marLeft w:val="0"/>
      <w:marRight w:val="0"/>
      <w:marTop w:val="0"/>
      <w:marBottom w:val="0"/>
      <w:divBdr>
        <w:top w:val="none" w:sz="0" w:space="0" w:color="auto"/>
        <w:left w:val="none" w:sz="0" w:space="0" w:color="auto"/>
        <w:bottom w:val="none" w:sz="0" w:space="0" w:color="auto"/>
        <w:right w:val="none" w:sz="0" w:space="0" w:color="auto"/>
      </w:divBdr>
    </w:div>
    <w:div w:id="2096779636">
      <w:bodyDiv w:val="1"/>
      <w:marLeft w:val="0"/>
      <w:marRight w:val="0"/>
      <w:marTop w:val="0"/>
      <w:marBottom w:val="0"/>
      <w:divBdr>
        <w:top w:val="none" w:sz="0" w:space="0" w:color="auto"/>
        <w:left w:val="none" w:sz="0" w:space="0" w:color="auto"/>
        <w:bottom w:val="none" w:sz="0" w:space="0" w:color="auto"/>
        <w:right w:val="none" w:sz="0" w:space="0" w:color="auto"/>
      </w:divBdr>
      <w:divsChild>
        <w:div w:id="1552691817">
          <w:marLeft w:val="0"/>
          <w:marRight w:val="0"/>
          <w:marTop w:val="0"/>
          <w:marBottom w:val="0"/>
          <w:divBdr>
            <w:top w:val="none" w:sz="0" w:space="0" w:color="auto"/>
            <w:left w:val="none" w:sz="0" w:space="0" w:color="auto"/>
            <w:bottom w:val="none" w:sz="0" w:space="0" w:color="auto"/>
            <w:right w:val="none" w:sz="0" w:space="0" w:color="auto"/>
          </w:divBdr>
          <w:divsChild>
            <w:div w:id="692922643">
              <w:marLeft w:val="0"/>
              <w:marRight w:val="0"/>
              <w:marTop w:val="0"/>
              <w:marBottom w:val="0"/>
              <w:divBdr>
                <w:top w:val="none" w:sz="0" w:space="0" w:color="auto"/>
                <w:left w:val="none" w:sz="0" w:space="0" w:color="auto"/>
                <w:bottom w:val="none" w:sz="0" w:space="0" w:color="auto"/>
                <w:right w:val="none" w:sz="0" w:space="0" w:color="auto"/>
              </w:divBdr>
              <w:divsChild>
                <w:div w:id="1206606118">
                  <w:marLeft w:val="0"/>
                  <w:marRight w:val="0"/>
                  <w:marTop w:val="0"/>
                  <w:marBottom w:val="0"/>
                  <w:divBdr>
                    <w:top w:val="none" w:sz="0" w:space="0" w:color="auto"/>
                    <w:left w:val="none" w:sz="0" w:space="0" w:color="auto"/>
                    <w:bottom w:val="none" w:sz="0" w:space="0" w:color="auto"/>
                    <w:right w:val="none" w:sz="0" w:space="0" w:color="auto"/>
                  </w:divBdr>
                  <w:divsChild>
                    <w:div w:id="998072108">
                      <w:marLeft w:val="0"/>
                      <w:marRight w:val="0"/>
                      <w:marTop w:val="0"/>
                      <w:marBottom w:val="0"/>
                      <w:divBdr>
                        <w:top w:val="none" w:sz="0" w:space="0" w:color="auto"/>
                        <w:left w:val="none" w:sz="0" w:space="0" w:color="auto"/>
                        <w:bottom w:val="none" w:sz="0" w:space="0" w:color="auto"/>
                        <w:right w:val="none" w:sz="0" w:space="0" w:color="auto"/>
                      </w:divBdr>
                      <w:divsChild>
                        <w:div w:id="158737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ngagementdesk@equalityhumanrights.com" TargetMode="External"/><Relationship Id="rId4" Type="http://schemas.openxmlformats.org/officeDocument/2006/relationships/settings" Target="settings.xml"/><Relationship Id="rId9" Type="http://schemas.openxmlformats.org/officeDocument/2006/relationships/hyperlink" Target="http://www.equalityhumanrights.com/advice-and-guidance/further-and-higher-education-providers-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A2D23-8F5C-4432-B781-B55739A8E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14</Pages>
  <Words>2889</Words>
  <Characters>16473</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EHRC</Company>
  <LinksUpToDate>false</LinksUpToDate>
  <CharactersWithSpaces>19324</CharactersWithSpaces>
  <SharedDoc>false</SharedDoc>
  <HLinks>
    <vt:vector size="66" baseType="variant">
      <vt:variant>
        <vt:i4>6750285</vt:i4>
      </vt:variant>
      <vt:variant>
        <vt:i4>60</vt:i4>
      </vt:variant>
      <vt:variant>
        <vt:i4>0</vt:i4>
      </vt:variant>
      <vt:variant>
        <vt:i4>5</vt:i4>
      </vt:variant>
      <vt:variant>
        <vt:lpwstr>mailto:engagementdesk@equalityhumanrights.com</vt:lpwstr>
      </vt:variant>
      <vt:variant>
        <vt:lpwstr/>
      </vt:variant>
      <vt:variant>
        <vt:i4>7077990</vt:i4>
      </vt:variant>
      <vt:variant>
        <vt:i4>57</vt:i4>
      </vt:variant>
      <vt:variant>
        <vt:i4>0</vt:i4>
      </vt:variant>
      <vt:variant>
        <vt:i4>5</vt:i4>
      </vt:variant>
      <vt:variant>
        <vt:lpwstr>http://www.equalityhumanrights.com/advice-and-guidance/further-and-higher-education-providers-guidance/</vt:lpwstr>
      </vt:variant>
      <vt:variant>
        <vt:lpwstr/>
      </vt:variant>
      <vt:variant>
        <vt:i4>1114168</vt:i4>
      </vt:variant>
      <vt:variant>
        <vt:i4>50</vt:i4>
      </vt:variant>
      <vt:variant>
        <vt:i4>0</vt:i4>
      </vt:variant>
      <vt:variant>
        <vt:i4>5</vt:i4>
      </vt:variant>
      <vt:variant>
        <vt:lpwstr/>
      </vt:variant>
      <vt:variant>
        <vt:lpwstr>_Toc341193309</vt:lpwstr>
      </vt:variant>
      <vt:variant>
        <vt:i4>1114168</vt:i4>
      </vt:variant>
      <vt:variant>
        <vt:i4>44</vt:i4>
      </vt:variant>
      <vt:variant>
        <vt:i4>0</vt:i4>
      </vt:variant>
      <vt:variant>
        <vt:i4>5</vt:i4>
      </vt:variant>
      <vt:variant>
        <vt:lpwstr/>
      </vt:variant>
      <vt:variant>
        <vt:lpwstr>_Toc341193308</vt:lpwstr>
      </vt:variant>
      <vt:variant>
        <vt:i4>1114168</vt:i4>
      </vt:variant>
      <vt:variant>
        <vt:i4>38</vt:i4>
      </vt:variant>
      <vt:variant>
        <vt:i4>0</vt:i4>
      </vt:variant>
      <vt:variant>
        <vt:i4>5</vt:i4>
      </vt:variant>
      <vt:variant>
        <vt:lpwstr/>
      </vt:variant>
      <vt:variant>
        <vt:lpwstr>_Toc341193307</vt:lpwstr>
      </vt:variant>
      <vt:variant>
        <vt:i4>1114168</vt:i4>
      </vt:variant>
      <vt:variant>
        <vt:i4>32</vt:i4>
      </vt:variant>
      <vt:variant>
        <vt:i4>0</vt:i4>
      </vt:variant>
      <vt:variant>
        <vt:i4>5</vt:i4>
      </vt:variant>
      <vt:variant>
        <vt:lpwstr/>
      </vt:variant>
      <vt:variant>
        <vt:lpwstr>_Toc341193306</vt:lpwstr>
      </vt:variant>
      <vt:variant>
        <vt:i4>1114168</vt:i4>
      </vt:variant>
      <vt:variant>
        <vt:i4>26</vt:i4>
      </vt:variant>
      <vt:variant>
        <vt:i4>0</vt:i4>
      </vt:variant>
      <vt:variant>
        <vt:i4>5</vt:i4>
      </vt:variant>
      <vt:variant>
        <vt:lpwstr/>
      </vt:variant>
      <vt:variant>
        <vt:lpwstr>_Toc341193305</vt:lpwstr>
      </vt:variant>
      <vt:variant>
        <vt:i4>1114168</vt:i4>
      </vt:variant>
      <vt:variant>
        <vt:i4>20</vt:i4>
      </vt:variant>
      <vt:variant>
        <vt:i4>0</vt:i4>
      </vt:variant>
      <vt:variant>
        <vt:i4>5</vt:i4>
      </vt:variant>
      <vt:variant>
        <vt:lpwstr/>
      </vt:variant>
      <vt:variant>
        <vt:lpwstr>_Toc341193304</vt:lpwstr>
      </vt:variant>
      <vt:variant>
        <vt:i4>1114168</vt:i4>
      </vt:variant>
      <vt:variant>
        <vt:i4>14</vt:i4>
      </vt:variant>
      <vt:variant>
        <vt:i4>0</vt:i4>
      </vt:variant>
      <vt:variant>
        <vt:i4>5</vt:i4>
      </vt:variant>
      <vt:variant>
        <vt:lpwstr/>
      </vt:variant>
      <vt:variant>
        <vt:lpwstr>_Toc341193303</vt:lpwstr>
      </vt:variant>
      <vt:variant>
        <vt:i4>1114168</vt:i4>
      </vt:variant>
      <vt:variant>
        <vt:i4>8</vt:i4>
      </vt:variant>
      <vt:variant>
        <vt:i4>0</vt:i4>
      </vt:variant>
      <vt:variant>
        <vt:i4>5</vt:i4>
      </vt:variant>
      <vt:variant>
        <vt:lpwstr/>
      </vt:variant>
      <vt:variant>
        <vt:lpwstr>_Toc341193302</vt:lpwstr>
      </vt:variant>
      <vt:variant>
        <vt:i4>1114168</vt:i4>
      </vt:variant>
      <vt:variant>
        <vt:i4>2</vt:i4>
      </vt:variant>
      <vt:variant>
        <vt:i4>0</vt:i4>
      </vt:variant>
      <vt:variant>
        <vt:i4>5</vt:i4>
      </vt:variant>
      <vt:variant>
        <vt:lpwstr/>
      </vt:variant>
      <vt:variant>
        <vt:lpwstr>_Toc341193301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Coulter</dc:creator>
  <cp:lastModifiedBy>ICS</cp:lastModifiedBy>
  <cp:revision>2</cp:revision>
  <cp:lastPrinted>2012-07-12T13:46:00Z</cp:lastPrinted>
  <dcterms:created xsi:type="dcterms:W3CDTF">2012-11-29T14:08:00Z</dcterms:created>
  <dcterms:modified xsi:type="dcterms:W3CDTF">2012-11-29T14:08:00Z</dcterms:modified>
</cp:coreProperties>
</file>