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20" w:rsidRPr="0016313E" w:rsidRDefault="00291E20" w:rsidP="002F77E5">
      <w:pPr>
        <w:pStyle w:val="BCSDocumentcovertitle"/>
        <w:rPr>
          <w:rFonts w:ascii="Calibri" w:hAnsi="Calibri"/>
        </w:rPr>
      </w:pPr>
      <w:bookmarkStart w:id="0" w:name="_Toc114544747"/>
      <w:r w:rsidRPr="0016313E">
        <w:rPr>
          <w:rFonts w:ascii="Calibri" w:hAnsi="Calibri"/>
        </w:rPr>
        <w:t>Harnessing Technology</w:t>
      </w:r>
      <w:r>
        <w:rPr>
          <w:rFonts w:ascii="Calibri" w:hAnsi="Calibri"/>
        </w:rPr>
        <w:t xml:space="preserve"> Survey</w:t>
      </w:r>
      <w:r w:rsidR="002F77E5">
        <w:rPr>
          <w:rFonts w:ascii="Calibri" w:hAnsi="Calibri"/>
        </w:rPr>
        <w:t xml:space="preserve"> 2009-10</w:t>
      </w:r>
      <w:r w:rsidRPr="0016313E">
        <w:rPr>
          <w:rFonts w:ascii="Calibri" w:hAnsi="Calibri"/>
        </w:rPr>
        <w:t xml:space="preserve"> </w:t>
      </w:r>
      <w:r w:rsidRPr="0016313E">
        <w:rPr>
          <w:rFonts w:ascii="Calibri" w:hAnsi="Calibri"/>
        </w:rPr>
        <w:br/>
        <w:t>Adult and Community Learning</w:t>
      </w:r>
      <w:r w:rsidR="002F77E5">
        <w:rPr>
          <w:rFonts w:ascii="Calibri" w:hAnsi="Calibri"/>
        </w:rPr>
        <w:t xml:space="preserve">                                                  </w:t>
      </w:r>
      <w:r>
        <w:rPr>
          <w:rFonts w:ascii="Calibri" w:hAnsi="Calibri"/>
        </w:rPr>
        <w:t>Analytical Report</w:t>
      </w:r>
    </w:p>
    <w:p w:rsidR="00291E20" w:rsidRPr="00DC1999" w:rsidRDefault="00291E20" w:rsidP="00DC1999">
      <w:pPr>
        <w:pStyle w:val="TOCHeading"/>
      </w:pPr>
      <w:r>
        <w:br w:type="page"/>
      </w:r>
      <w:r w:rsidRPr="00DC1999">
        <w:lastRenderedPageBreak/>
        <w:t>Contents</w:t>
      </w:r>
    </w:p>
    <w:p w:rsidR="00291E20" w:rsidRDefault="00F9461D">
      <w:pPr>
        <w:pStyle w:val="TOC1"/>
        <w:tabs>
          <w:tab w:val="right" w:leader="dot" w:pos="9016"/>
        </w:tabs>
        <w:rPr>
          <w:rFonts w:asciiTheme="minorHAnsi" w:eastAsiaTheme="minorEastAsia" w:hAnsiTheme="minorHAnsi" w:cstheme="minorBidi"/>
          <w:b w:val="0"/>
          <w:noProof/>
          <w:color w:val="auto"/>
          <w:sz w:val="22"/>
          <w:szCs w:val="22"/>
        </w:rPr>
      </w:pPr>
      <w:r w:rsidRPr="00F9461D">
        <w:rPr>
          <w:szCs w:val="24"/>
        </w:rPr>
        <w:fldChar w:fldCharType="begin"/>
      </w:r>
      <w:r w:rsidR="00291E20" w:rsidRPr="00117B5E">
        <w:rPr>
          <w:szCs w:val="24"/>
        </w:rPr>
        <w:instrText xml:space="preserve"> TOC \o "1-3" \h \z \u </w:instrText>
      </w:r>
      <w:r w:rsidRPr="00F9461D">
        <w:rPr>
          <w:szCs w:val="24"/>
        </w:rPr>
        <w:fldChar w:fldCharType="separate"/>
      </w:r>
      <w:hyperlink w:anchor="_Toc257276000" w:history="1">
        <w:r w:rsidR="00291E20" w:rsidRPr="00392A47">
          <w:rPr>
            <w:rStyle w:val="Hyperlink"/>
            <w:rFonts w:ascii="Calibri" w:eastAsia="Calibri" w:hAnsi="Calibri"/>
            <w:noProof/>
          </w:rPr>
          <w:t>1</w:t>
        </w:r>
        <w:r w:rsidR="00291E20">
          <w:rPr>
            <w:noProof/>
            <w:webHidden/>
          </w:rPr>
          <w:tab/>
        </w:r>
        <w:r>
          <w:rPr>
            <w:noProof/>
            <w:webHidden/>
          </w:rPr>
          <w:fldChar w:fldCharType="begin"/>
        </w:r>
        <w:r w:rsidR="00291E20">
          <w:rPr>
            <w:noProof/>
            <w:webHidden/>
          </w:rPr>
          <w:instrText xml:space="preserve"> PAGEREF _Toc257276000 \h </w:instrText>
        </w:r>
        <w:r>
          <w:rPr>
            <w:noProof/>
            <w:webHidden/>
          </w:rPr>
        </w:r>
        <w:r>
          <w:rPr>
            <w:noProof/>
            <w:webHidden/>
          </w:rPr>
          <w:fldChar w:fldCharType="separate"/>
        </w:r>
        <w:r w:rsidR="00291E20">
          <w:rPr>
            <w:noProof/>
            <w:webHidden/>
          </w:rPr>
          <w:t>3</w:t>
        </w:r>
        <w:r>
          <w:rPr>
            <w:noProof/>
            <w:webHidden/>
          </w:rPr>
          <w:fldChar w:fldCharType="end"/>
        </w:r>
      </w:hyperlink>
    </w:p>
    <w:p w:rsidR="00291E20" w:rsidRDefault="00F9461D">
      <w:pPr>
        <w:pStyle w:val="TOC1"/>
        <w:tabs>
          <w:tab w:val="left" w:pos="400"/>
          <w:tab w:val="right" w:leader="dot" w:pos="9016"/>
        </w:tabs>
        <w:rPr>
          <w:rFonts w:asciiTheme="minorHAnsi" w:eastAsiaTheme="minorEastAsia" w:hAnsiTheme="minorHAnsi" w:cstheme="minorBidi"/>
          <w:b w:val="0"/>
          <w:noProof/>
          <w:color w:val="auto"/>
          <w:sz w:val="22"/>
          <w:szCs w:val="22"/>
        </w:rPr>
      </w:pPr>
      <w:hyperlink w:anchor="_Toc257276001" w:history="1">
        <w:r w:rsidR="00291E20" w:rsidRPr="00392A47">
          <w:rPr>
            <w:rStyle w:val="Hyperlink"/>
            <w:rFonts w:ascii="Calibri" w:hAnsi="Calibri"/>
            <w:noProof/>
          </w:rPr>
          <w:t>2</w:t>
        </w:r>
        <w:r w:rsidR="00291E20">
          <w:rPr>
            <w:rFonts w:asciiTheme="minorHAnsi" w:eastAsiaTheme="minorEastAsia" w:hAnsiTheme="minorHAnsi" w:cstheme="minorBidi"/>
            <w:b w:val="0"/>
            <w:noProof/>
            <w:color w:val="auto"/>
            <w:sz w:val="22"/>
            <w:szCs w:val="22"/>
          </w:rPr>
          <w:tab/>
        </w:r>
        <w:r w:rsidR="00291E20" w:rsidRPr="00392A47">
          <w:rPr>
            <w:rStyle w:val="Hyperlink"/>
            <w:rFonts w:ascii="Calibri" w:hAnsi="Calibri"/>
            <w:noProof/>
          </w:rPr>
          <w:t>1.0 Aims and Objectives of Contract</w:t>
        </w:r>
        <w:r w:rsidR="00291E20">
          <w:rPr>
            <w:noProof/>
            <w:webHidden/>
          </w:rPr>
          <w:tab/>
        </w:r>
        <w:r>
          <w:rPr>
            <w:noProof/>
            <w:webHidden/>
          </w:rPr>
          <w:fldChar w:fldCharType="begin"/>
        </w:r>
        <w:r w:rsidR="00291E20">
          <w:rPr>
            <w:noProof/>
            <w:webHidden/>
          </w:rPr>
          <w:instrText xml:space="preserve"> PAGEREF _Toc257276001 \h </w:instrText>
        </w:r>
        <w:r>
          <w:rPr>
            <w:noProof/>
            <w:webHidden/>
          </w:rPr>
        </w:r>
        <w:r>
          <w:rPr>
            <w:noProof/>
            <w:webHidden/>
          </w:rPr>
          <w:fldChar w:fldCharType="separate"/>
        </w:r>
        <w:r w:rsidR="00291E20">
          <w:rPr>
            <w:noProof/>
            <w:webHidden/>
          </w:rPr>
          <w:t>5</w:t>
        </w:r>
        <w:r>
          <w:rPr>
            <w:noProof/>
            <w:webHidden/>
          </w:rPr>
          <w:fldChar w:fldCharType="end"/>
        </w:r>
      </w:hyperlink>
    </w:p>
    <w:p w:rsidR="00291E20" w:rsidRDefault="00F9461D">
      <w:pPr>
        <w:pStyle w:val="TOC1"/>
        <w:tabs>
          <w:tab w:val="right" w:leader="dot" w:pos="9016"/>
        </w:tabs>
        <w:rPr>
          <w:rFonts w:asciiTheme="minorHAnsi" w:eastAsiaTheme="minorEastAsia" w:hAnsiTheme="minorHAnsi" w:cstheme="minorBidi"/>
          <w:b w:val="0"/>
          <w:noProof/>
          <w:color w:val="auto"/>
          <w:sz w:val="22"/>
          <w:szCs w:val="22"/>
        </w:rPr>
      </w:pPr>
      <w:hyperlink w:anchor="_Toc257276002" w:history="1">
        <w:r w:rsidR="00291E20" w:rsidRPr="00392A47">
          <w:rPr>
            <w:rStyle w:val="Hyperlink"/>
            <w:rFonts w:ascii="Calibri" w:eastAsia="Calibri" w:hAnsi="Calibri"/>
            <w:noProof/>
          </w:rPr>
          <w:t>2.0 Methods and Response</w:t>
        </w:r>
        <w:r w:rsidR="00291E20">
          <w:rPr>
            <w:noProof/>
            <w:webHidden/>
          </w:rPr>
          <w:tab/>
        </w:r>
        <w:r>
          <w:rPr>
            <w:noProof/>
            <w:webHidden/>
          </w:rPr>
          <w:fldChar w:fldCharType="begin"/>
        </w:r>
        <w:r w:rsidR="00291E20">
          <w:rPr>
            <w:noProof/>
            <w:webHidden/>
          </w:rPr>
          <w:instrText xml:space="preserve"> PAGEREF _Toc257276002 \h </w:instrText>
        </w:r>
        <w:r>
          <w:rPr>
            <w:noProof/>
            <w:webHidden/>
          </w:rPr>
        </w:r>
        <w:r>
          <w:rPr>
            <w:noProof/>
            <w:webHidden/>
          </w:rPr>
          <w:fldChar w:fldCharType="separate"/>
        </w:r>
        <w:r w:rsidR="00291E20">
          <w:rPr>
            <w:noProof/>
            <w:webHidden/>
          </w:rPr>
          <w:t>6</w:t>
        </w:r>
        <w:r>
          <w:rPr>
            <w:noProof/>
            <w:webHidden/>
          </w:rPr>
          <w:fldChar w:fldCharType="end"/>
        </w:r>
      </w:hyperlink>
    </w:p>
    <w:p w:rsidR="00291E20" w:rsidRDefault="00F9461D">
      <w:pPr>
        <w:pStyle w:val="TOC1"/>
        <w:tabs>
          <w:tab w:val="right" w:leader="dot" w:pos="9016"/>
        </w:tabs>
        <w:rPr>
          <w:rFonts w:asciiTheme="minorHAnsi" w:eastAsiaTheme="minorEastAsia" w:hAnsiTheme="minorHAnsi" w:cstheme="minorBidi"/>
          <w:b w:val="0"/>
          <w:noProof/>
          <w:color w:val="auto"/>
          <w:sz w:val="22"/>
          <w:szCs w:val="22"/>
        </w:rPr>
      </w:pPr>
      <w:hyperlink w:anchor="_Toc257276003" w:history="1">
        <w:r w:rsidR="00291E20" w:rsidRPr="00392A47">
          <w:rPr>
            <w:rStyle w:val="Hyperlink"/>
            <w:rFonts w:ascii="Calibri" w:eastAsia="Calibri" w:hAnsi="Calibri"/>
            <w:noProof/>
          </w:rPr>
          <w:t>3.0 Statistical Report</w:t>
        </w:r>
        <w:r w:rsidR="00291E20">
          <w:rPr>
            <w:noProof/>
            <w:webHidden/>
          </w:rPr>
          <w:tab/>
        </w:r>
        <w:r>
          <w:rPr>
            <w:noProof/>
            <w:webHidden/>
          </w:rPr>
          <w:fldChar w:fldCharType="begin"/>
        </w:r>
        <w:r w:rsidR="00291E20">
          <w:rPr>
            <w:noProof/>
            <w:webHidden/>
          </w:rPr>
          <w:instrText xml:space="preserve"> PAGEREF _Toc257276003 \h </w:instrText>
        </w:r>
        <w:r>
          <w:rPr>
            <w:noProof/>
            <w:webHidden/>
          </w:rPr>
        </w:r>
        <w:r>
          <w:rPr>
            <w:noProof/>
            <w:webHidden/>
          </w:rPr>
          <w:fldChar w:fldCharType="separate"/>
        </w:r>
        <w:r w:rsidR="00291E20">
          <w:rPr>
            <w:noProof/>
            <w:webHidden/>
          </w:rPr>
          <w:t>8</w:t>
        </w:r>
        <w:r>
          <w:rPr>
            <w:noProof/>
            <w:webHidden/>
          </w:rPr>
          <w:fldChar w:fldCharType="end"/>
        </w:r>
      </w:hyperlink>
    </w:p>
    <w:p w:rsidR="00291E20" w:rsidRDefault="00F9461D">
      <w:pPr>
        <w:pStyle w:val="TOC1"/>
        <w:tabs>
          <w:tab w:val="left" w:pos="400"/>
          <w:tab w:val="right" w:leader="dot" w:pos="9016"/>
        </w:tabs>
        <w:rPr>
          <w:rFonts w:asciiTheme="minorHAnsi" w:eastAsiaTheme="minorEastAsia" w:hAnsiTheme="minorHAnsi" w:cstheme="minorBidi"/>
          <w:b w:val="0"/>
          <w:noProof/>
          <w:color w:val="auto"/>
          <w:sz w:val="22"/>
          <w:szCs w:val="22"/>
        </w:rPr>
      </w:pPr>
      <w:hyperlink w:anchor="_Toc257276004" w:history="1">
        <w:r w:rsidR="00291E20" w:rsidRPr="00392A47">
          <w:rPr>
            <w:rStyle w:val="Hyperlink"/>
            <w:rFonts w:ascii="Calibri" w:hAnsi="Calibri"/>
            <w:noProof/>
          </w:rPr>
          <w:t>3</w:t>
        </w:r>
        <w:r w:rsidR="00291E20">
          <w:rPr>
            <w:rFonts w:asciiTheme="minorHAnsi" w:eastAsiaTheme="minorEastAsia" w:hAnsiTheme="minorHAnsi" w:cstheme="minorBidi"/>
            <w:b w:val="0"/>
            <w:noProof/>
            <w:color w:val="auto"/>
            <w:sz w:val="22"/>
            <w:szCs w:val="22"/>
          </w:rPr>
          <w:tab/>
        </w:r>
        <w:r w:rsidR="00291E20" w:rsidRPr="00392A47">
          <w:rPr>
            <w:rStyle w:val="Hyperlink"/>
            <w:rFonts w:ascii="Calibri" w:hAnsi="Calibri"/>
            <w:noProof/>
          </w:rPr>
          <w:t>3.1 ACL Senior Managers</w:t>
        </w:r>
        <w:r w:rsidR="00291E20">
          <w:rPr>
            <w:noProof/>
            <w:webHidden/>
          </w:rPr>
          <w:tab/>
        </w:r>
        <w:r>
          <w:rPr>
            <w:noProof/>
            <w:webHidden/>
          </w:rPr>
          <w:fldChar w:fldCharType="begin"/>
        </w:r>
        <w:r w:rsidR="00291E20">
          <w:rPr>
            <w:noProof/>
            <w:webHidden/>
          </w:rPr>
          <w:instrText xml:space="preserve"> PAGEREF _Toc257276004 \h </w:instrText>
        </w:r>
        <w:r>
          <w:rPr>
            <w:noProof/>
            <w:webHidden/>
          </w:rPr>
        </w:r>
        <w:r>
          <w:rPr>
            <w:noProof/>
            <w:webHidden/>
          </w:rPr>
          <w:fldChar w:fldCharType="separate"/>
        </w:r>
        <w:r w:rsidR="00291E20">
          <w:rPr>
            <w:noProof/>
            <w:webHidden/>
          </w:rPr>
          <w:t>8</w:t>
        </w:r>
        <w:r>
          <w:rPr>
            <w:noProof/>
            <w:webHidden/>
          </w:rPr>
          <w:fldChar w:fldCharType="end"/>
        </w:r>
      </w:hyperlink>
    </w:p>
    <w:p w:rsidR="00291E20" w:rsidRDefault="00F9461D">
      <w:pPr>
        <w:pStyle w:val="TOC2"/>
        <w:tabs>
          <w:tab w:val="left" w:pos="880"/>
        </w:tabs>
        <w:rPr>
          <w:rFonts w:asciiTheme="minorHAnsi" w:eastAsiaTheme="minorEastAsia" w:hAnsiTheme="minorHAnsi" w:cstheme="minorBidi"/>
          <w:noProof/>
          <w:color w:val="auto"/>
          <w:sz w:val="22"/>
          <w:szCs w:val="22"/>
        </w:rPr>
      </w:pPr>
      <w:hyperlink w:anchor="_Toc257276005" w:history="1">
        <w:r w:rsidR="00291E20" w:rsidRPr="00392A47">
          <w:rPr>
            <w:rStyle w:val="Hyperlink"/>
            <w:rFonts w:ascii="Calibri" w:hAnsi="Calibri"/>
            <w:i/>
            <w:noProof/>
          </w:rPr>
          <w:t>3.1</w:t>
        </w:r>
        <w:r w:rsidR="00291E20">
          <w:rPr>
            <w:rFonts w:asciiTheme="minorHAnsi" w:eastAsiaTheme="minorEastAsia" w:hAnsiTheme="minorHAnsi" w:cstheme="minorBidi"/>
            <w:noProof/>
            <w:color w:val="auto"/>
            <w:sz w:val="22"/>
            <w:szCs w:val="22"/>
          </w:rPr>
          <w:tab/>
        </w:r>
        <w:r w:rsidR="00291E20" w:rsidRPr="00392A47">
          <w:rPr>
            <w:rStyle w:val="Hyperlink"/>
            <w:rFonts w:ascii="Calibri" w:hAnsi="Calibri"/>
            <w:noProof/>
          </w:rPr>
          <w:t>3.1.1 You and your Organisation</w:t>
        </w:r>
        <w:r w:rsidR="00291E20">
          <w:rPr>
            <w:noProof/>
            <w:webHidden/>
          </w:rPr>
          <w:tab/>
        </w:r>
        <w:r>
          <w:rPr>
            <w:noProof/>
            <w:webHidden/>
          </w:rPr>
          <w:fldChar w:fldCharType="begin"/>
        </w:r>
        <w:r w:rsidR="00291E20">
          <w:rPr>
            <w:noProof/>
            <w:webHidden/>
          </w:rPr>
          <w:instrText xml:space="preserve"> PAGEREF _Toc257276005 \h </w:instrText>
        </w:r>
        <w:r>
          <w:rPr>
            <w:noProof/>
            <w:webHidden/>
          </w:rPr>
        </w:r>
        <w:r>
          <w:rPr>
            <w:noProof/>
            <w:webHidden/>
          </w:rPr>
          <w:fldChar w:fldCharType="separate"/>
        </w:r>
        <w:r w:rsidR="00291E20">
          <w:rPr>
            <w:noProof/>
            <w:webHidden/>
          </w:rPr>
          <w:t>8</w:t>
        </w:r>
        <w:r>
          <w:rPr>
            <w:noProof/>
            <w:webHidden/>
          </w:rPr>
          <w:fldChar w:fldCharType="end"/>
        </w:r>
      </w:hyperlink>
    </w:p>
    <w:p w:rsidR="00291E20" w:rsidRDefault="00F9461D">
      <w:pPr>
        <w:pStyle w:val="TOC2"/>
        <w:rPr>
          <w:rFonts w:asciiTheme="minorHAnsi" w:eastAsiaTheme="minorEastAsia" w:hAnsiTheme="minorHAnsi" w:cstheme="minorBidi"/>
          <w:noProof/>
          <w:color w:val="auto"/>
          <w:sz w:val="22"/>
          <w:szCs w:val="22"/>
        </w:rPr>
      </w:pPr>
      <w:hyperlink w:anchor="_Toc257276006" w:history="1">
        <w:r w:rsidR="00291E20" w:rsidRPr="00392A47">
          <w:rPr>
            <w:rStyle w:val="Hyperlink"/>
            <w:rFonts w:ascii="Calibri" w:eastAsia="Calibri" w:hAnsi="Calibri"/>
            <w:noProof/>
          </w:rPr>
          <w:t>3.3 Strategy and Management</w:t>
        </w:r>
        <w:r w:rsidR="00291E20">
          <w:rPr>
            <w:noProof/>
            <w:webHidden/>
          </w:rPr>
          <w:tab/>
        </w:r>
        <w:r>
          <w:rPr>
            <w:noProof/>
            <w:webHidden/>
          </w:rPr>
          <w:fldChar w:fldCharType="begin"/>
        </w:r>
        <w:r w:rsidR="00291E20">
          <w:rPr>
            <w:noProof/>
            <w:webHidden/>
          </w:rPr>
          <w:instrText xml:space="preserve"> PAGEREF _Toc257276006 \h </w:instrText>
        </w:r>
        <w:r>
          <w:rPr>
            <w:noProof/>
            <w:webHidden/>
          </w:rPr>
        </w:r>
        <w:r>
          <w:rPr>
            <w:noProof/>
            <w:webHidden/>
          </w:rPr>
          <w:fldChar w:fldCharType="separate"/>
        </w:r>
        <w:r w:rsidR="00291E20">
          <w:rPr>
            <w:noProof/>
            <w:webHidden/>
          </w:rPr>
          <w:t>13</w:t>
        </w:r>
        <w:r>
          <w:rPr>
            <w:noProof/>
            <w:webHidden/>
          </w:rPr>
          <w:fldChar w:fldCharType="end"/>
        </w:r>
      </w:hyperlink>
    </w:p>
    <w:p w:rsidR="00291E20" w:rsidRDefault="00F9461D">
      <w:pPr>
        <w:pStyle w:val="TOC2"/>
        <w:tabs>
          <w:tab w:val="left" w:pos="880"/>
        </w:tabs>
        <w:rPr>
          <w:rFonts w:asciiTheme="minorHAnsi" w:eastAsiaTheme="minorEastAsia" w:hAnsiTheme="minorHAnsi" w:cstheme="minorBidi"/>
          <w:noProof/>
          <w:color w:val="auto"/>
          <w:sz w:val="22"/>
          <w:szCs w:val="22"/>
        </w:rPr>
      </w:pPr>
      <w:hyperlink w:anchor="_Toc257276007" w:history="1">
        <w:r w:rsidR="00291E20" w:rsidRPr="00392A47">
          <w:rPr>
            <w:rStyle w:val="Hyperlink"/>
            <w:rFonts w:ascii="Calibri" w:hAnsi="Calibri"/>
            <w:i/>
            <w:noProof/>
          </w:rPr>
          <w:t>3.2</w:t>
        </w:r>
        <w:r w:rsidR="00291E20">
          <w:rPr>
            <w:rFonts w:asciiTheme="minorHAnsi" w:eastAsiaTheme="minorEastAsia" w:hAnsiTheme="minorHAnsi" w:cstheme="minorBidi"/>
            <w:noProof/>
            <w:color w:val="auto"/>
            <w:sz w:val="22"/>
            <w:szCs w:val="22"/>
          </w:rPr>
          <w:tab/>
        </w:r>
        <w:r w:rsidR="00291E20" w:rsidRPr="00392A47">
          <w:rPr>
            <w:rStyle w:val="Hyperlink"/>
            <w:rFonts w:ascii="Calibri" w:hAnsi="Calibri"/>
            <w:noProof/>
          </w:rPr>
          <w:t>3.4 Technology and Access</w:t>
        </w:r>
        <w:r w:rsidR="00291E20">
          <w:rPr>
            <w:noProof/>
            <w:webHidden/>
          </w:rPr>
          <w:tab/>
        </w:r>
        <w:r>
          <w:rPr>
            <w:noProof/>
            <w:webHidden/>
          </w:rPr>
          <w:fldChar w:fldCharType="begin"/>
        </w:r>
        <w:r w:rsidR="00291E20">
          <w:rPr>
            <w:noProof/>
            <w:webHidden/>
          </w:rPr>
          <w:instrText xml:space="preserve"> PAGEREF _Toc257276007 \h </w:instrText>
        </w:r>
        <w:r>
          <w:rPr>
            <w:noProof/>
            <w:webHidden/>
          </w:rPr>
        </w:r>
        <w:r>
          <w:rPr>
            <w:noProof/>
            <w:webHidden/>
          </w:rPr>
          <w:fldChar w:fldCharType="separate"/>
        </w:r>
        <w:r w:rsidR="00291E20">
          <w:rPr>
            <w:noProof/>
            <w:webHidden/>
          </w:rPr>
          <w:t>20</w:t>
        </w:r>
        <w:r>
          <w:rPr>
            <w:noProof/>
            <w:webHidden/>
          </w:rPr>
          <w:fldChar w:fldCharType="end"/>
        </w:r>
      </w:hyperlink>
    </w:p>
    <w:p w:rsidR="00291E20" w:rsidRDefault="00F9461D">
      <w:pPr>
        <w:pStyle w:val="TOC2"/>
        <w:rPr>
          <w:rFonts w:asciiTheme="minorHAnsi" w:eastAsiaTheme="minorEastAsia" w:hAnsiTheme="minorHAnsi" w:cstheme="minorBidi"/>
          <w:noProof/>
          <w:color w:val="auto"/>
          <w:sz w:val="22"/>
          <w:szCs w:val="22"/>
        </w:rPr>
      </w:pPr>
      <w:hyperlink w:anchor="_Toc257276008" w:history="1">
        <w:r w:rsidR="00291E20" w:rsidRPr="00392A47">
          <w:rPr>
            <w:rStyle w:val="Hyperlink"/>
            <w:rFonts w:ascii="Calibri" w:eastAsia="Calibri" w:hAnsi="Calibri"/>
            <w:noProof/>
          </w:rPr>
          <w:t>4  Use of Information and Learning Technology (ILT)</w:t>
        </w:r>
        <w:r w:rsidR="00291E20">
          <w:rPr>
            <w:noProof/>
            <w:webHidden/>
          </w:rPr>
          <w:tab/>
        </w:r>
        <w:r>
          <w:rPr>
            <w:noProof/>
            <w:webHidden/>
          </w:rPr>
          <w:fldChar w:fldCharType="begin"/>
        </w:r>
        <w:r w:rsidR="00291E20">
          <w:rPr>
            <w:noProof/>
            <w:webHidden/>
          </w:rPr>
          <w:instrText xml:space="preserve"> PAGEREF _Toc257276008 \h </w:instrText>
        </w:r>
        <w:r>
          <w:rPr>
            <w:noProof/>
            <w:webHidden/>
          </w:rPr>
        </w:r>
        <w:r>
          <w:rPr>
            <w:noProof/>
            <w:webHidden/>
          </w:rPr>
          <w:fldChar w:fldCharType="separate"/>
        </w:r>
        <w:r w:rsidR="00291E20">
          <w:rPr>
            <w:noProof/>
            <w:webHidden/>
          </w:rPr>
          <w:t>31</w:t>
        </w:r>
        <w:r>
          <w:rPr>
            <w:noProof/>
            <w:webHidden/>
          </w:rPr>
          <w:fldChar w:fldCharType="end"/>
        </w:r>
      </w:hyperlink>
    </w:p>
    <w:p w:rsidR="00291E20" w:rsidRDefault="00F9461D">
      <w:pPr>
        <w:pStyle w:val="TOC2"/>
        <w:tabs>
          <w:tab w:val="left" w:pos="880"/>
        </w:tabs>
        <w:rPr>
          <w:rFonts w:asciiTheme="minorHAnsi" w:eastAsiaTheme="minorEastAsia" w:hAnsiTheme="minorHAnsi" w:cstheme="minorBidi"/>
          <w:noProof/>
          <w:color w:val="auto"/>
          <w:sz w:val="22"/>
          <w:szCs w:val="22"/>
        </w:rPr>
      </w:pPr>
      <w:hyperlink w:anchor="_Toc257276009" w:history="1">
        <w:r w:rsidR="00291E20" w:rsidRPr="00392A47">
          <w:rPr>
            <w:rStyle w:val="Hyperlink"/>
            <w:rFonts w:ascii="Calibri" w:hAnsi="Calibri"/>
            <w:i/>
            <w:noProof/>
          </w:rPr>
          <w:t>3.3</w:t>
        </w:r>
        <w:r w:rsidR="00291E20">
          <w:rPr>
            <w:rFonts w:asciiTheme="minorHAnsi" w:eastAsiaTheme="minorEastAsia" w:hAnsiTheme="minorHAnsi" w:cstheme="minorBidi"/>
            <w:noProof/>
            <w:color w:val="auto"/>
            <w:sz w:val="22"/>
            <w:szCs w:val="22"/>
          </w:rPr>
          <w:tab/>
        </w:r>
        <w:r w:rsidR="00291E20" w:rsidRPr="00392A47">
          <w:rPr>
            <w:rStyle w:val="Hyperlink"/>
            <w:rFonts w:ascii="Calibri" w:hAnsi="Calibri"/>
            <w:noProof/>
          </w:rPr>
          <w:t>4.1 Learning Resources and Staff Skills</w:t>
        </w:r>
        <w:r w:rsidR="00291E20">
          <w:rPr>
            <w:noProof/>
            <w:webHidden/>
          </w:rPr>
          <w:tab/>
        </w:r>
        <w:r>
          <w:rPr>
            <w:noProof/>
            <w:webHidden/>
          </w:rPr>
          <w:fldChar w:fldCharType="begin"/>
        </w:r>
        <w:r w:rsidR="00291E20">
          <w:rPr>
            <w:noProof/>
            <w:webHidden/>
          </w:rPr>
          <w:instrText xml:space="preserve"> PAGEREF _Toc257276009 \h </w:instrText>
        </w:r>
        <w:r>
          <w:rPr>
            <w:noProof/>
            <w:webHidden/>
          </w:rPr>
        </w:r>
        <w:r>
          <w:rPr>
            <w:noProof/>
            <w:webHidden/>
          </w:rPr>
          <w:fldChar w:fldCharType="separate"/>
        </w:r>
        <w:r w:rsidR="00291E20">
          <w:rPr>
            <w:noProof/>
            <w:webHidden/>
          </w:rPr>
          <w:t>32</w:t>
        </w:r>
        <w:r>
          <w:rPr>
            <w:noProof/>
            <w:webHidden/>
          </w:rPr>
          <w:fldChar w:fldCharType="end"/>
        </w:r>
      </w:hyperlink>
    </w:p>
    <w:p w:rsidR="00291E20" w:rsidRDefault="00F9461D">
      <w:pPr>
        <w:pStyle w:val="TOC2"/>
        <w:tabs>
          <w:tab w:val="left" w:pos="880"/>
        </w:tabs>
        <w:rPr>
          <w:rFonts w:asciiTheme="minorHAnsi" w:eastAsiaTheme="minorEastAsia" w:hAnsiTheme="minorHAnsi" w:cstheme="minorBidi"/>
          <w:noProof/>
          <w:color w:val="auto"/>
          <w:sz w:val="22"/>
          <w:szCs w:val="22"/>
        </w:rPr>
      </w:pPr>
      <w:hyperlink w:anchor="_Toc257276010" w:history="1">
        <w:r w:rsidR="00291E20" w:rsidRPr="00392A47">
          <w:rPr>
            <w:rStyle w:val="Hyperlink"/>
            <w:rFonts w:ascii="Calibri" w:hAnsi="Calibri"/>
            <w:i/>
            <w:noProof/>
          </w:rPr>
          <w:t>3.4</w:t>
        </w:r>
        <w:r w:rsidR="00291E20">
          <w:rPr>
            <w:rFonts w:asciiTheme="minorHAnsi" w:eastAsiaTheme="minorEastAsia" w:hAnsiTheme="minorHAnsi" w:cstheme="minorBidi"/>
            <w:noProof/>
            <w:color w:val="auto"/>
            <w:sz w:val="22"/>
            <w:szCs w:val="22"/>
          </w:rPr>
          <w:tab/>
        </w:r>
        <w:r w:rsidR="00291E20" w:rsidRPr="00392A47">
          <w:rPr>
            <w:rStyle w:val="Hyperlink"/>
            <w:rFonts w:ascii="Calibri" w:hAnsi="Calibri"/>
            <w:noProof/>
          </w:rPr>
          <w:t>5  Barriers, Enablers and Impacts</w:t>
        </w:r>
        <w:r w:rsidR="00291E20">
          <w:rPr>
            <w:noProof/>
            <w:webHidden/>
          </w:rPr>
          <w:tab/>
        </w:r>
        <w:r>
          <w:rPr>
            <w:noProof/>
            <w:webHidden/>
          </w:rPr>
          <w:fldChar w:fldCharType="begin"/>
        </w:r>
        <w:r w:rsidR="00291E20">
          <w:rPr>
            <w:noProof/>
            <w:webHidden/>
          </w:rPr>
          <w:instrText xml:space="preserve"> PAGEREF _Toc257276010 \h </w:instrText>
        </w:r>
        <w:r>
          <w:rPr>
            <w:noProof/>
            <w:webHidden/>
          </w:rPr>
        </w:r>
        <w:r>
          <w:rPr>
            <w:noProof/>
            <w:webHidden/>
          </w:rPr>
          <w:fldChar w:fldCharType="separate"/>
        </w:r>
        <w:r w:rsidR="00291E20">
          <w:rPr>
            <w:noProof/>
            <w:webHidden/>
          </w:rPr>
          <w:t>39</w:t>
        </w:r>
        <w:r>
          <w:rPr>
            <w:noProof/>
            <w:webHidden/>
          </w:rPr>
          <w:fldChar w:fldCharType="end"/>
        </w:r>
      </w:hyperlink>
    </w:p>
    <w:p w:rsidR="00291E20" w:rsidRDefault="00F9461D">
      <w:pPr>
        <w:pStyle w:val="TOC1"/>
        <w:tabs>
          <w:tab w:val="left" w:pos="400"/>
          <w:tab w:val="right" w:leader="dot" w:pos="9016"/>
        </w:tabs>
        <w:rPr>
          <w:rFonts w:asciiTheme="minorHAnsi" w:eastAsiaTheme="minorEastAsia" w:hAnsiTheme="minorHAnsi" w:cstheme="minorBidi"/>
          <w:b w:val="0"/>
          <w:noProof/>
          <w:color w:val="auto"/>
          <w:sz w:val="22"/>
          <w:szCs w:val="22"/>
        </w:rPr>
      </w:pPr>
      <w:hyperlink w:anchor="_Toc257276011" w:history="1">
        <w:r w:rsidR="00291E20" w:rsidRPr="00392A47">
          <w:rPr>
            <w:rStyle w:val="Hyperlink"/>
            <w:rFonts w:ascii="Calibri" w:hAnsi="Calibri"/>
            <w:noProof/>
          </w:rPr>
          <w:t>4</w:t>
        </w:r>
        <w:r w:rsidR="00291E20">
          <w:rPr>
            <w:rFonts w:asciiTheme="minorHAnsi" w:eastAsiaTheme="minorEastAsia" w:hAnsiTheme="minorHAnsi" w:cstheme="minorBidi"/>
            <w:b w:val="0"/>
            <w:noProof/>
            <w:color w:val="auto"/>
            <w:sz w:val="22"/>
            <w:szCs w:val="22"/>
          </w:rPr>
          <w:tab/>
        </w:r>
        <w:r w:rsidR="00291E20" w:rsidRPr="00392A47">
          <w:rPr>
            <w:rStyle w:val="Hyperlink"/>
            <w:rFonts w:ascii="Calibri" w:hAnsi="Calibri"/>
            <w:noProof/>
          </w:rPr>
          <w:t>7 ACL Practitioners</w:t>
        </w:r>
        <w:r w:rsidR="00291E20">
          <w:rPr>
            <w:noProof/>
            <w:webHidden/>
          </w:rPr>
          <w:tab/>
        </w:r>
        <w:r>
          <w:rPr>
            <w:noProof/>
            <w:webHidden/>
          </w:rPr>
          <w:fldChar w:fldCharType="begin"/>
        </w:r>
        <w:r w:rsidR="00291E20">
          <w:rPr>
            <w:noProof/>
            <w:webHidden/>
          </w:rPr>
          <w:instrText xml:space="preserve"> PAGEREF _Toc257276011 \h </w:instrText>
        </w:r>
        <w:r>
          <w:rPr>
            <w:noProof/>
            <w:webHidden/>
          </w:rPr>
        </w:r>
        <w:r>
          <w:rPr>
            <w:noProof/>
            <w:webHidden/>
          </w:rPr>
          <w:fldChar w:fldCharType="separate"/>
        </w:r>
        <w:r w:rsidR="00291E20">
          <w:rPr>
            <w:noProof/>
            <w:webHidden/>
          </w:rPr>
          <w:t>47</w:t>
        </w:r>
        <w:r>
          <w:rPr>
            <w:noProof/>
            <w:webHidden/>
          </w:rPr>
          <w:fldChar w:fldCharType="end"/>
        </w:r>
      </w:hyperlink>
    </w:p>
    <w:p w:rsidR="00291E20" w:rsidRDefault="00F9461D">
      <w:pPr>
        <w:pStyle w:val="TOC2"/>
        <w:tabs>
          <w:tab w:val="left" w:pos="880"/>
        </w:tabs>
        <w:rPr>
          <w:rFonts w:asciiTheme="minorHAnsi" w:eastAsiaTheme="minorEastAsia" w:hAnsiTheme="minorHAnsi" w:cstheme="minorBidi"/>
          <w:noProof/>
          <w:color w:val="auto"/>
          <w:sz w:val="22"/>
          <w:szCs w:val="22"/>
        </w:rPr>
      </w:pPr>
      <w:hyperlink w:anchor="_Toc257276012" w:history="1">
        <w:r w:rsidR="00291E20" w:rsidRPr="00392A47">
          <w:rPr>
            <w:rStyle w:val="Hyperlink"/>
            <w:rFonts w:ascii="Calibri" w:hAnsi="Calibri"/>
            <w:i/>
            <w:noProof/>
          </w:rPr>
          <w:t>4.1</w:t>
        </w:r>
        <w:r w:rsidR="00291E20">
          <w:rPr>
            <w:rFonts w:asciiTheme="minorHAnsi" w:eastAsiaTheme="minorEastAsia" w:hAnsiTheme="minorHAnsi" w:cstheme="minorBidi"/>
            <w:noProof/>
            <w:color w:val="auto"/>
            <w:sz w:val="22"/>
            <w:szCs w:val="22"/>
          </w:rPr>
          <w:tab/>
        </w:r>
        <w:r w:rsidR="00291E20" w:rsidRPr="00392A47">
          <w:rPr>
            <w:rStyle w:val="Hyperlink"/>
            <w:rFonts w:ascii="Calibri" w:hAnsi="Calibri"/>
            <w:noProof/>
          </w:rPr>
          <w:t>7.1 You and your Organisation</w:t>
        </w:r>
        <w:r w:rsidR="00291E20">
          <w:rPr>
            <w:noProof/>
            <w:webHidden/>
          </w:rPr>
          <w:tab/>
        </w:r>
        <w:r>
          <w:rPr>
            <w:noProof/>
            <w:webHidden/>
          </w:rPr>
          <w:fldChar w:fldCharType="begin"/>
        </w:r>
        <w:r w:rsidR="00291E20">
          <w:rPr>
            <w:noProof/>
            <w:webHidden/>
          </w:rPr>
          <w:instrText xml:space="preserve"> PAGEREF _Toc257276012 \h </w:instrText>
        </w:r>
        <w:r>
          <w:rPr>
            <w:noProof/>
            <w:webHidden/>
          </w:rPr>
        </w:r>
        <w:r>
          <w:rPr>
            <w:noProof/>
            <w:webHidden/>
          </w:rPr>
          <w:fldChar w:fldCharType="separate"/>
        </w:r>
        <w:r w:rsidR="00291E20">
          <w:rPr>
            <w:noProof/>
            <w:webHidden/>
          </w:rPr>
          <w:t>47</w:t>
        </w:r>
        <w:r>
          <w:rPr>
            <w:noProof/>
            <w:webHidden/>
          </w:rPr>
          <w:fldChar w:fldCharType="end"/>
        </w:r>
      </w:hyperlink>
    </w:p>
    <w:p w:rsidR="00291E20" w:rsidRDefault="00F9461D">
      <w:pPr>
        <w:pStyle w:val="TOC2"/>
        <w:tabs>
          <w:tab w:val="left" w:pos="880"/>
        </w:tabs>
        <w:rPr>
          <w:rFonts w:asciiTheme="minorHAnsi" w:eastAsiaTheme="minorEastAsia" w:hAnsiTheme="minorHAnsi" w:cstheme="minorBidi"/>
          <w:noProof/>
          <w:color w:val="auto"/>
          <w:sz w:val="22"/>
          <w:szCs w:val="22"/>
        </w:rPr>
      </w:pPr>
      <w:hyperlink w:anchor="_Toc257276013" w:history="1">
        <w:r w:rsidR="00291E20" w:rsidRPr="00392A47">
          <w:rPr>
            <w:rStyle w:val="Hyperlink"/>
            <w:rFonts w:ascii="Calibri" w:hAnsi="Calibri"/>
            <w:i/>
            <w:noProof/>
          </w:rPr>
          <w:t>4.2</w:t>
        </w:r>
        <w:r w:rsidR="00291E20">
          <w:rPr>
            <w:rFonts w:asciiTheme="minorHAnsi" w:eastAsiaTheme="minorEastAsia" w:hAnsiTheme="minorHAnsi" w:cstheme="minorBidi"/>
            <w:noProof/>
            <w:color w:val="auto"/>
            <w:sz w:val="22"/>
            <w:szCs w:val="22"/>
          </w:rPr>
          <w:tab/>
        </w:r>
        <w:r w:rsidR="00291E20" w:rsidRPr="00392A47">
          <w:rPr>
            <w:rStyle w:val="Hyperlink"/>
            <w:rFonts w:ascii="Calibri" w:hAnsi="Calibri"/>
            <w:noProof/>
          </w:rPr>
          <w:t>7.2 Technology and Access</w:t>
        </w:r>
        <w:r w:rsidR="00291E20">
          <w:rPr>
            <w:noProof/>
            <w:webHidden/>
          </w:rPr>
          <w:tab/>
        </w:r>
        <w:r>
          <w:rPr>
            <w:noProof/>
            <w:webHidden/>
          </w:rPr>
          <w:fldChar w:fldCharType="begin"/>
        </w:r>
        <w:r w:rsidR="00291E20">
          <w:rPr>
            <w:noProof/>
            <w:webHidden/>
          </w:rPr>
          <w:instrText xml:space="preserve"> PAGEREF _Toc257276013 \h </w:instrText>
        </w:r>
        <w:r>
          <w:rPr>
            <w:noProof/>
            <w:webHidden/>
          </w:rPr>
        </w:r>
        <w:r>
          <w:rPr>
            <w:noProof/>
            <w:webHidden/>
          </w:rPr>
          <w:fldChar w:fldCharType="separate"/>
        </w:r>
        <w:r w:rsidR="00291E20">
          <w:rPr>
            <w:noProof/>
            <w:webHidden/>
          </w:rPr>
          <w:t>51</w:t>
        </w:r>
        <w:r>
          <w:rPr>
            <w:noProof/>
            <w:webHidden/>
          </w:rPr>
          <w:fldChar w:fldCharType="end"/>
        </w:r>
      </w:hyperlink>
    </w:p>
    <w:p w:rsidR="00291E20" w:rsidRDefault="00F9461D">
      <w:pPr>
        <w:pStyle w:val="TOC2"/>
        <w:tabs>
          <w:tab w:val="left" w:pos="880"/>
        </w:tabs>
        <w:rPr>
          <w:rFonts w:asciiTheme="minorHAnsi" w:eastAsiaTheme="minorEastAsia" w:hAnsiTheme="minorHAnsi" w:cstheme="minorBidi"/>
          <w:noProof/>
          <w:color w:val="auto"/>
          <w:sz w:val="22"/>
          <w:szCs w:val="22"/>
        </w:rPr>
      </w:pPr>
      <w:hyperlink w:anchor="_Toc257276014" w:history="1">
        <w:r w:rsidR="00291E20" w:rsidRPr="00392A47">
          <w:rPr>
            <w:rStyle w:val="Hyperlink"/>
            <w:rFonts w:ascii="Calibri" w:hAnsi="Calibri"/>
            <w:i/>
            <w:noProof/>
          </w:rPr>
          <w:t>4.3</w:t>
        </w:r>
        <w:r w:rsidR="00291E20">
          <w:rPr>
            <w:rFonts w:asciiTheme="minorHAnsi" w:eastAsiaTheme="minorEastAsia" w:hAnsiTheme="minorHAnsi" w:cstheme="minorBidi"/>
            <w:noProof/>
            <w:color w:val="auto"/>
            <w:sz w:val="22"/>
            <w:szCs w:val="22"/>
          </w:rPr>
          <w:tab/>
        </w:r>
        <w:r w:rsidR="00291E20" w:rsidRPr="00392A47">
          <w:rPr>
            <w:rStyle w:val="Hyperlink"/>
            <w:rFonts w:ascii="Calibri" w:hAnsi="Calibri"/>
            <w:noProof/>
          </w:rPr>
          <w:t>7.3 Use of Information and Learning Technology (ILT)</w:t>
        </w:r>
        <w:r w:rsidR="00291E20">
          <w:rPr>
            <w:noProof/>
            <w:webHidden/>
          </w:rPr>
          <w:tab/>
        </w:r>
        <w:r>
          <w:rPr>
            <w:noProof/>
            <w:webHidden/>
          </w:rPr>
          <w:fldChar w:fldCharType="begin"/>
        </w:r>
        <w:r w:rsidR="00291E20">
          <w:rPr>
            <w:noProof/>
            <w:webHidden/>
          </w:rPr>
          <w:instrText xml:space="preserve"> PAGEREF _Toc257276014 \h </w:instrText>
        </w:r>
        <w:r>
          <w:rPr>
            <w:noProof/>
            <w:webHidden/>
          </w:rPr>
        </w:r>
        <w:r>
          <w:rPr>
            <w:noProof/>
            <w:webHidden/>
          </w:rPr>
          <w:fldChar w:fldCharType="separate"/>
        </w:r>
        <w:r w:rsidR="00291E20">
          <w:rPr>
            <w:noProof/>
            <w:webHidden/>
          </w:rPr>
          <w:t>56</w:t>
        </w:r>
        <w:r>
          <w:rPr>
            <w:noProof/>
            <w:webHidden/>
          </w:rPr>
          <w:fldChar w:fldCharType="end"/>
        </w:r>
      </w:hyperlink>
    </w:p>
    <w:p w:rsidR="00291E20" w:rsidRDefault="00F9461D">
      <w:pPr>
        <w:pStyle w:val="TOC2"/>
        <w:tabs>
          <w:tab w:val="left" w:pos="880"/>
        </w:tabs>
        <w:rPr>
          <w:rFonts w:asciiTheme="minorHAnsi" w:eastAsiaTheme="minorEastAsia" w:hAnsiTheme="minorHAnsi" w:cstheme="minorBidi"/>
          <w:noProof/>
          <w:color w:val="auto"/>
          <w:sz w:val="22"/>
          <w:szCs w:val="22"/>
        </w:rPr>
      </w:pPr>
      <w:hyperlink w:anchor="_Toc257276015" w:history="1">
        <w:r w:rsidR="00291E20" w:rsidRPr="00392A47">
          <w:rPr>
            <w:rStyle w:val="Hyperlink"/>
            <w:rFonts w:ascii="Calibri" w:hAnsi="Calibri"/>
            <w:i/>
            <w:noProof/>
          </w:rPr>
          <w:t>4.4</w:t>
        </w:r>
        <w:r w:rsidR="00291E20">
          <w:rPr>
            <w:rFonts w:asciiTheme="minorHAnsi" w:eastAsiaTheme="minorEastAsia" w:hAnsiTheme="minorHAnsi" w:cstheme="minorBidi"/>
            <w:noProof/>
            <w:color w:val="auto"/>
            <w:sz w:val="22"/>
            <w:szCs w:val="22"/>
          </w:rPr>
          <w:tab/>
        </w:r>
        <w:r w:rsidR="00291E20" w:rsidRPr="00392A47">
          <w:rPr>
            <w:rStyle w:val="Hyperlink"/>
            <w:rFonts w:ascii="Calibri" w:hAnsi="Calibri"/>
            <w:noProof/>
          </w:rPr>
          <w:t>7.4 Continued Professional Development (CPD)</w:t>
        </w:r>
        <w:r w:rsidR="00291E20">
          <w:rPr>
            <w:noProof/>
            <w:webHidden/>
          </w:rPr>
          <w:tab/>
        </w:r>
        <w:r>
          <w:rPr>
            <w:noProof/>
            <w:webHidden/>
          </w:rPr>
          <w:fldChar w:fldCharType="begin"/>
        </w:r>
        <w:r w:rsidR="00291E20">
          <w:rPr>
            <w:noProof/>
            <w:webHidden/>
          </w:rPr>
          <w:instrText xml:space="preserve"> PAGEREF _Toc257276015 \h </w:instrText>
        </w:r>
        <w:r>
          <w:rPr>
            <w:noProof/>
            <w:webHidden/>
          </w:rPr>
        </w:r>
        <w:r>
          <w:rPr>
            <w:noProof/>
            <w:webHidden/>
          </w:rPr>
          <w:fldChar w:fldCharType="separate"/>
        </w:r>
        <w:r w:rsidR="00291E20">
          <w:rPr>
            <w:noProof/>
            <w:webHidden/>
          </w:rPr>
          <w:t>60</w:t>
        </w:r>
        <w:r>
          <w:rPr>
            <w:noProof/>
            <w:webHidden/>
          </w:rPr>
          <w:fldChar w:fldCharType="end"/>
        </w:r>
      </w:hyperlink>
    </w:p>
    <w:p w:rsidR="00291E20" w:rsidRDefault="00F9461D">
      <w:pPr>
        <w:pStyle w:val="TOC2"/>
        <w:rPr>
          <w:rFonts w:asciiTheme="minorHAnsi" w:eastAsiaTheme="minorEastAsia" w:hAnsiTheme="minorHAnsi" w:cstheme="minorBidi"/>
          <w:noProof/>
          <w:color w:val="auto"/>
          <w:sz w:val="22"/>
          <w:szCs w:val="22"/>
        </w:rPr>
      </w:pPr>
      <w:hyperlink w:anchor="_Toc257276016" w:history="1">
        <w:r w:rsidR="00291E20" w:rsidRPr="00392A47">
          <w:rPr>
            <w:rStyle w:val="Hyperlink"/>
            <w:rFonts w:ascii="Calibri" w:eastAsia="Calibri" w:hAnsi="Calibri"/>
            <w:noProof/>
          </w:rPr>
          <w:t>7.5 Barriers, Enablers and Impacts</w:t>
        </w:r>
        <w:r w:rsidR="00291E20">
          <w:rPr>
            <w:noProof/>
            <w:webHidden/>
          </w:rPr>
          <w:tab/>
        </w:r>
        <w:r>
          <w:rPr>
            <w:noProof/>
            <w:webHidden/>
          </w:rPr>
          <w:fldChar w:fldCharType="begin"/>
        </w:r>
        <w:r w:rsidR="00291E20">
          <w:rPr>
            <w:noProof/>
            <w:webHidden/>
          </w:rPr>
          <w:instrText xml:space="preserve"> PAGEREF _Toc257276016 \h </w:instrText>
        </w:r>
        <w:r>
          <w:rPr>
            <w:noProof/>
            <w:webHidden/>
          </w:rPr>
        </w:r>
        <w:r>
          <w:rPr>
            <w:noProof/>
            <w:webHidden/>
          </w:rPr>
          <w:fldChar w:fldCharType="separate"/>
        </w:r>
        <w:r w:rsidR="00291E20">
          <w:rPr>
            <w:noProof/>
            <w:webHidden/>
          </w:rPr>
          <w:t>63</w:t>
        </w:r>
        <w:r>
          <w:rPr>
            <w:noProof/>
            <w:webHidden/>
          </w:rPr>
          <w:fldChar w:fldCharType="end"/>
        </w:r>
      </w:hyperlink>
    </w:p>
    <w:p w:rsidR="00291E20" w:rsidRDefault="00F9461D">
      <w:pPr>
        <w:pStyle w:val="TOC1"/>
        <w:tabs>
          <w:tab w:val="right" w:leader="dot" w:pos="9016"/>
        </w:tabs>
        <w:rPr>
          <w:rFonts w:asciiTheme="minorHAnsi" w:eastAsiaTheme="minorEastAsia" w:hAnsiTheme="minorHAnsi" w:cstheme="minorBidi"/>
          <w:b w:val="0"/>
          <w:noProof/>
          <w:color w:val="auto"/>
          <w:sz w:val="22"/>
          <w:szCs w:val="22"/>
        </w:rPr>
      </w:pPr>
      <w:hyperlink w:anchor="_Toc257276017" w:history="1">
        <w:r w:rsidR="00291E20" w:rsidRPr="00392A47">
          <w:rPr>
            <w:rStyle w:val="Hyperlink"/>
            <w:rFonts w:ascii="Calibri" w:hAnsi="Calibri"/>
            <w:noProof/>
          </w:rPr>
          <w:t>5</w:t>
        </w:r>
        <w:r w:rsidR="00291E20">
          <w:rPr>
            <w:noProof/>
            <w:webHidden/>
          </w:rPr>
          <w:tab/>
        </w:r>
        <w:r>
          <w:rPr>
            <w:noProof/>
            <w:webHidden/>
          </w:rPr>
          <w:fldChar w:fldCharType="begin"/>
        </w:r>
        <w:r w:rsidR="00291E20">
          <w:rPr>
            <w:noProof/>
            <w:webHidden/>
          </w:rPr>
          <w:instrText xml:space="preserve"> PAGEREF _Toc257276017 \h </w:instrText>
        </w:r>
        <w:r>
          <w:rPr>
            <w:noProof/>
            <w:webHidden/>
          </w:rPr>
        </w:r>
        <w:r>
          <w:rPr>
            <w:noProof/>
            <w:webHidden/>
          </w:rPr>
          <w:fldChar w:fldCharType="separate"/>
        </w:r>
        <w:r w:rsidR="00291E20">
          <w:rPr>
            <w:noProof/>
            <w:webHidden/>
          </w:rPr>
          <w:t>64</w:t>
        </w:r>
        <w:r>
          <w:rPr>
            <w:noProof/>
            <w:webHidden/>
          </w:rPr>
          <w:fldChar w:fldCharType="end"/>
        </w:r>
      </w:hyperlink>
    </w:p>
    <w:p w:rsidR="00291E20" w:rsidRDefault="00F9461D">
      <w:pPr>
        <w:pStyle w:val="TOC1"/>
        <w:tabs>
          <w:tab w:val="right" w:leader="dot" w:pos="9016"/>
        </w:tabs>
        <w:rPr>
          <w:rFonts w:asciiTheme="minorHAnsi" w:eastAsiaTheme="minorEastAsia" w:hAnsiTheme="minorHAnsi" w:cstheme="minorBidi"/>
          <w:b w:val="0"/>
          <w:noProof/>
          <w:color w:val="auto"/>
          <w:sz w:val="22"/>
          <w:szCs w:val="22"/>
        </w:rPr>
      </w:pPr>
      <w:hyperlink w:anchor="_Toc257276018" w:history="1">
        <w:r w:rsidR="00291E20" w:rsidRPr="00392A47">
          <w:rPr>
            <w:rStyle w:val="Hyperlink"/>
            <w:noProof/>
          </w:rPr>
          <w:t>6</w:t>
        </w:r>
        <w:r w:rsidR="00291E20">
          <w:rPr>
            <w:noProof/>
            <w:webHidden/>
          </w:rPr>
          <w:tab/>
        </w:r>
        <w:r>
          <w:rPr>
            <w:noProof/>
            <w:webHidden/>
          </w:rPr>
          <w:fldChar w:fldCharType="begin"/>
        </w:r>
        <w:r w:rsidR="00291E20">
          <w:rPr>
            <w:noProof/>
            <w:webHidden/>
          </w:rPr>
          <w:instrText xml:space="preserve"> PAGEREF _Toc257276018 \h </w:instrText>
        </w:r>
        <w:r>
          <w:rPr>
            <w:noProof/>
            <w:webHidden/>
          </w:rPr>
        </w:r>
        <w:r>
          <w:rPr>
            <w:noProof/>
            <w:webHidden/>
          </w:rPr>
          <w:fldChar w:fldCharType="separate"/>
        </w:r>
        <w:r w:rsidR="00291E20">
          <w:rPr>
            <w:noProof/>
            <w:webHidden/>
          </w:rPr>
          <w:t>64</w:t>
        </w:r>
        <w:r>
          <w:rPr>
            <w:noProof/>
            <w:webHidden/>
          </w:rPr>
          <w:fldChar w:fldCharType="end"/>
        </w:r>
      </w:hyperlink>
    </w:p>
    <w:p w:rsidR="002F77E5" w:rsidRDefault="00F9461D" w:rsidP="00291E20">
      <w:pPr>
        <w:contextualSpacing/>
        <w:rPr>
          <w:sz w:val="24"/>
          <w:szCs w:val="24"/>
        </w:rPr>
      </w:pPr>
      <w:r w:rsidRPr="00117B5E">
        <w:rPr>
          <w:sz w:val="24"/>
          <w:szCs w:val="24"/>
        </w:rPr>
        <w:fldChar w:fldCharType="end"/>
      </w:r>
    </w:p>
    <w:p w:rsidR="00291E20" w:rsidRPr="002F77E5" w:rsidRDefault="002F77E5" w:rsidP="00291E20">
      <w:pPr>
        <w:contextualSpacing/>
        <w:rPr>
          <w:sz w:val="24"/>
          <w:szCs w:val="24"/>
        </w:rPr>
      </w:pPr>
      <w:r>
        <w:rPr>
          <w:sz w:val="24"/>
          <w:szCs w:val="24"/>
        </w:rPr>
        <w:br w:type="page"/>
      </w:r>
      <w:r w:rsidR="00291E20" w:rsidRPr="003722B0">
        <w:rPr>
          <w:b/>
          <w:color w:val="4F6228"/>
          <w:sz w:val="24"/>
          <w:szCs w:val="24"/>
        </w:rPr>
        <w:lastRenderedPageBreak/>
        <w:t>Figures</w:t>
      </w:r>
    </w:p>
    <w:p w:rsidR="00291E20" w:rsidRDefault="00F9461D" w:rsidP="00291E20">
      <w:pPr>
        <w:pStyle w:val="TableofFigures"/>
        <w:tabs>
          <w:tab w:val="right" w:leader="dot" w:pos="9350"/>
        </w:tabs>
        <w:rPr>
          <w:rFonts w:eastAsia="Times New Roman"/>
          <w:noProof/>
          <w:sz w:val="22"/>
        </w:rPr>
      </w:pPr>
      <w:r w:rsidRPr="00F9461D">
        <w:rPr>
          <w:szCs w:val="24"/>
        </w:rPr>
        <w:fldChar w:fldCharType="begin"/>
      </w:r>
      <w:r w:rsidR="00291E20">
        <w:rPr>
          <w:szCs w:val="24"/>
        </w:rPr>
        <w:instrText xml:space="preserve"> TOC \h \z \t "Heading 4" \c </w:instrText>
      </w:r>
      <w:r w:rsidRPr="00F9461D">
        <w:rPr>
          <w:szCs w:val="24"/>
        </w:rPr>
        <w:fldChar w:fldCharType="separate"/>
      </w:r>
      <w:hyperlink w:anchor="_Toc256332117" w:history="1">
        <w:r w:rsidR="00291E20" w:rsidRPr="000B673E">
          <w:rPr>
            <w:rStyle w:val="Hyperlink"/>
            <w:noProof/>
          </w:rPr>
          <w:t>Figure 1:  Location of teaching and learning</w:t>
        </w:r>
        <w:r w:rsidR="00291E20">
          <w:rPr>
            <w:noProof/>
            <w:webHidden/>
          </w:rPr>
          <w:tab/>
        </w:r>
        <w:r>
          <w:rPr>
            <w:noProof/>
            <w:webHidden/>
          </w:rPr>
          <w:fldChar w:fldCharType="begin"/>
        </w:r>
        <w:r w:rsidR="00291E20">
          <w:rPr>
            <w:noProof/>
            <w:webHidden/>
          </w:rPr>
          <w:instrText xml:space="preserve"> PAGEREF _Toc256332117 \h </w:instrText>
        </w:r>
        <w:r>
          <w:rPr>
            <w:noProof/>
            <w:webHidden/>
          </w:rPr>
        </w:r>
        <w:r>
          <w:rPr>
            <w:noProof/>
            <w:webHidden/>
          </w:rPr>
          <w:fldChar w:fldCharType="separate"/>
        </w:r>
        <w:r w:rsidR="00291E20">
          <w:rPr>
            <w:noProof/>
            <w:webHidden/>
          </w:rPr>
          <w:t>11</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18" w:history="1">
        <w:r w:rsidR="00291E20" w:rsidRPr="000B673E">
          <w:rPr>
            <w:rStyle w:val="Hyperlink"/>
            <w:noProof/>
          </w:rPr>
          <w:t>Figure 2:  Percentage of hours worked, per week, by all direct delivery staff</w:t>
        </w:r>
        <w:r w:rsidR="00291E20">
          <w:rPr>
            <w:noProof/>
            <w:webHidden/>
          </w:rPr>
          <w:tab/>
        </w:r>
        <w:r>
          <w:rPr>
            <w:noProof/>
            <w:webHidden/>
          </w:rPr>
          <w:fldChar w:fldCharType="begin"/>
        </w:r>
        <w:r w:rsidR="00291E20">
          <w:rPr>
            <w:noProof/>
            <w:webHidden/>
          </w:rPr>
          <w:instrText xml:space="preserve"> PAGEREF _Toc256332118 \h </w:instrText>
        </w:r>
        <w:r>
          <w:rPr>
            <w:noProof/>
            <w:webHidden/>
          </w:rPr>
        </w:r>
        <w:r>
          <w:rPr>
            <w:noProof/>
            <w:webHidden/>
          </w:rPr>
          <w:fldChar w:fldCharType="separate"/>
        </w:r>
        <w:r w:rsidR="00291E20">
          <w:rPr>
            <w:noProof/>
            <w:webHidden/>
          </w:rPr>
          <w:t>13</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19" w:history="1">
        <w:r w:rsidR="00291E20" w:rsidRPr="000B673E">
          <w:rPr>
            <w:rStyle w:val="Hyperlink"/>
            <w:noProof/>
          </w:rPr>
          <w:t>Figure 3: Frequency with which organisations update their e-strategy</w:t>
        </w:r>
        <w:r w:rsidR="00291E20">
          <w:rPr>
            <w:noProof/>
            <w:webHidden/>
          </w:rPr>
          <w:tab/>
        </w:r>
        <w:r>
          <w:rPr>
            <w:noProof/>
            <w:webHidden/>
          </w:rPr>
          <w:fldChar w:fldCharType="begin"/>
        </w:r>
        <w:r w:rsidR="00291E20">
          <w:rPr>
            <w:noProof/>
            <w:webHidden/>
          </w:rPr>
          <w:instrText xml:space="preserve"> PAGEREF _Toc256332119 \h </w:instrText>
        </w:r>
        <w:r>
          <w:rPr>
            <w:noProof/>
            <w:webHidden/>
          </w:rPr>
        </w:r>
        <w:r>
          <w:rPr>
            <w:noProof/>
            <w:webHidden/>
          </w:rPr>
          <w:fldChar w:fldCharType="separate"/>
        </w:r>
        <w:r w:rsidR="00291E20">
          <w:rPr>
            <w:noProof/>
            <w:webHidden/>
          </w:rPr>
          <w:t>15</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20" w:history="1">
        <w:r w:rsidR="00291E20" w:rsidRPr="000B673E">
          <w:rPr>
            <w:rStyle w:val="Hyperlink"/>
            <w:noProof/>
          </w:rPr>
          <w:t>Figure 4a: Local Authority Commitment to Integrating Technology (part 1)</w:t>
        </w:r>
        <w:r w:rsidR="00291E20">
          <w:rPr>
            <w:noProof/>
            <w:webHidden/>
          </w:rPr>
          <w:tab/>
        </w:r>
        <w:r>
          <w:rPr>
            <w:noProof/>
            <w:webHidden/>
          </w:rPr>
          <w:fldChar w:fldCharType="begin"/>
        </w:r>
        <w:r w:rsidR="00291E20">
          <w:rPr>
            <w:noProof/>
            <w:webHidden/>
          </w:rPr>
          <w:instrText xml:space="preserve"> PAGEREF _Toc256332120 \h </w:instrText>
        </w:r>
        <w:r>
          <w:rPr>
            <w:noProof/>
            <w:webHidden/>
          </w:rPr>
        </w:r>
        <w:r>
          <w:rPr>
            <w:noProof/>
            <w:webHidden/>
          </w:rPr>
          <w:fldChar w:fldCharType="separate"/>
        </w:r>
        <w:r w:rsidR="00291E20">
          <w:rPr>
            <w:noProof/>
            <w:webHidden/>
          </w:rPr>
          <w:t>18</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21" w:history="1">
        <w:r w:rsidR="00291E20" w:rsidRPr="000B673E">
          <w:rPr>
            <w:rStyle w:val="Hyperlink"/>
            <w:noProof/>
          </w:rPr>
          <w:t>Figure 4b: VCS/ WEA Commitment to Integrating Technology (part 2)</w:t>
        </w:r>
        <w:r w:rsidR="00291E20">
          <w:rPr>
            <w:noProof/>
            <w:webHidden/>
          </w:rPr>
          <w:tab/>
        </w:r>
        <w:r>
          <w:rPr>
            <w:noProof/>
            <w:webHidden/>
          </w:rPr>
          <w:fldChar w:fldCharType="begin"/>
        </w:r>
        <w:r w:rsidR="00291E20">
          <w:rPr>
            <w:noProof/>
            <w:webHidden/>
          </w:rPr>
          <w:instrText xml:space="preserve"> PAGEREF _Toc256332121 \h </w:instrText>
        </w:r>
        <w:r>
          <w:rPr>
            <w:noProof/>
            <w:webHidden/>
          </w:rPr>
        </w:r>
        <w:r>
          <w:rPr>
            <w:noProof/>
            <w:webHidden/>
          </w:rPr>
          <w:fldChar w:fldCharType="separate"/>
        </w:r>
        <w:r w:rsidR="00291E20">
          <w:rPr>
            <w:noProof/>
            <w:webHidden/>
          </w:rPr>
          <w:t>20</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22" w:history="1">
        <w:r w:rsidR="00291E20" w:rsidRPr="000B673E">
          <w:rPr>
            <w:rStyle w:val="Hyperlink"/>
            <w:noProof/>
          </w:rPr>
          <w:t>Figure 5: Organisations’ access to technology type, for use with learners</w:t>
        </w:r>
        <w:r w:rsidR="00291E20">
          <w:rPr>
            <w:noProof/>
            <w:webHidden/>
          </w:rPr>
          <w:tab/>
        </w:r>
        <w:r>
          <w:rPr>
            <w:noProof/>
            <w:webHidden/>
          </w:rPr>
          <w:fldChar w:fldCharType="begin"/>
        </w:r>
        <w:r w:rsidR="00291E20">
          <w:rPr>
            <w:noProof/>
            <w:webHidden/>
          </w:rPr>
          <w:instrText xml:space="preserve"> PAGEREF _Toc256332122 \h </w:instrText>
        </w:r>
        <w:r>
          <w:rPr>
            <w:noProof/>
            <w:webHidden/>
          </w:rPr>
        </w:r>
        <w:r>
          <w:rPr>
            <w:noProof/>
            <w:webHidden/>
          </w:rPr>
          <w:fldChar w:fldCharType="separate"/>
        </w:r>
        <w:r w:rsidR="00291E20">
          <w:rPr>
            <w:noProof/>
            <w:webHidden/>
          </w:rPr>
          <w:t>23</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23" w:history="1">
        <w:r w:rsidR="00291E20" w:rsidRPr="000B673E">
          <w:rPr>
            <w:rStyle w:val="Hyperlink"/>
            <w:noProof/>
          </w:rPr>
          <w:t>Figure 6a: Proportion of Local Authorities indicating number of learning sites/ venues within which ACL staff can perform specific online activities</w:t>
        </w:r>
        <w:r w:rsidR="00291E20">
          <w:rPr>
            <w:noProof/>
            <w:webHidden/>
          </w:rPr>
          <w:tab/>
        </w:r>
        <w:r>
          <w:rPr>
            <w:noProof/>
            <w:webHidden/>
          </w:rPr>
          <w:fldChar w:fldCharType="begin"/>
        </w:r>
        <w:r w:rsidR="00291E20">
          <w:rPr>
            <w:noProof/>
            <w:webHidden/>
          </w:rPr>
          <w:instrText xml:space="preserve"> PAGEREF _Toc256332123 \h </w:instrText>
        </w:r>
        <w:r>
          <w:rPr>
            <w:noProof/>
            <w:webHidden/>
          </w:rPr>
        </w:r>
        <w:r>
          <w:rPr>
            <w:noProof/>
            <w:webHidden/>
          </w:rPr>
          <w:fldChar w:fldCharType="separate"/>
        </w:r>
        <w:r w:rsidR="00291E20">
          <w:rPr>
            <w:noProof/>
            <w:webHidden/>
          </w:rPr>
          <w:t>27</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24" w:history="1">
        <w:r w:rsidR="00291E20" w:rsidRPr="000B673E">
          <w:rPr>
            <w:rStyle w:val="Hyperlink"/>
            <w:noProof/>
          </w:rPr>
          <w:t>Figure 6b: Proportion of VCS/ WEAs indicating number of learning sites/ venues within which ACL staff can perform specific online activities</w:t>
        </w:r>
        <w:r w:rsidR="00291E20">
          <w:rPr>
            <w:noProof/>
            <w:webHidden/>
          </w:rPr>
          <w:tab/>
        </w:r>
        <w:r>
          <w:rPr>
            <w:noProof/>
            <w:webHidden/>
          </w:rPr>
          <w:fldChar w:fldCharType="begin"/>
        </w:r>
        <w:r w:rsidR="00291E20">
          <w:rPr>
            <w:noProof/>
            <w:webHidden/>
          </w:rPr>
          <w:instrText xml:space="preserve"> PAGEREF _Toc256332124 \h </w:instrText>
        </w:r>
        <w:r>
          <w:rPr>
            <w:noProof/>
            <w:webHidden/>
          </w:rPr>
        </w:r>
        <w:r>
          <w:rPr>
            <w:noProof/>
            <w:webHidden/>
          </w:rPr>
          <w:fldChar w:fldCharType="separate"/>
        </w:r>
        <w:r w:rsidR="00291E20">
          <w:rPr>
            <w:noProof/>
            <w:webHidden/>
          </w:rPr>
          <w:t>28</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25" w:history="1">
        <w:r w:rsidR="00291E20" w:rsidRPr="000B673E">
          <w:rPr>
            <w:rStyle w:val="Hyperlink"/>
            <w:noProof/>
          </w:rPr>
          <w:t>Figure 7a: Local Authorities’ assessment of their level of ILT implementation, by first 7 categories</w:t>
        </w:r>
        <w:r w:rsidR="00291E20">
          <w:rPr>
            <w:noProof/>
            <w:webHidden/>
          </w:rPr>
          <w:tab/>
        </w:r>
        <w:r>
          <w:rPr>
            <w:noProof/>
            <w:webHidden/>
          </w:rPr>
          <w:fldChar w:fldCharType="begin"/>
        </w:r>
        <w:r w:rsidR="00291E20">
          <w:rPr>
            <w:noProof/>
            <w:webHidden/>
          </w:rPr>
          <w:instrText xml:space="preserve"> PAGEREF _Toc256332125 \h </w:instrText>
        </w:r>
        <w:r>
          <w:rPr>
            <w:noProof/>
            <w:webHidden/>
          </w:rPr>
        </w:r>
        <w:r>
          <w:rPr>
            <w:noProof/>
            <w:webHidden/>
          </w:rPr>
          <w:fldChar w:fldCharType="separate"/>
        </w:r>
        <w:r w:rsidR="00291E20">
          <w:rPr>
            <w:noProof/>
            <w:webHidden/>
          </w:rPr>
          <w:t>30</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26" w:history="1">
        <w:r w:rsidR="00291E20" w:rsidRPr="000B673E">
          <w:rPr>
            <w:rStyle w:val="Hyperlink"/>
            <w:noProof/>
          </w:rPr>
          <w:t>Figure 7b: Local Authorities’ assessment of their level of ILT implementation, by last 7 categories</w:t>
        </w:r>
        <w:r w:rsidR="00291E20">
          <w:rPr>
            <w:noProof/>
            <w:webHidden/>
          </w:rPr>
          <w:tab/>
        </w:r>
        <w:r>
          <w:rPr>
            <w:noProof/>
            <w:webHidden/>
          </w:rPr>
          <w:fldChar w:fldCharType="begin"/>
        </w:r>
        <w:r w:rsidR="00291E20">
          <w:rPr>
            <w:noProof/>
            <w:webHidden/>
          </w:rPr>
          <w:instrText xml:space="preserve"> PAGEREF _Toc256332126 \h </w:instrText>
        </w:r>
        <w:r>
          <w:rPr>
            <w:noProof/>
            <w:webHidden/>
          </w:rPr>
        </w:r>
        <w:r>
          <w:rPr>
            <w:noProof/>
            <w:webHidden/>
          </w:rPr>
          <w:fldChar w:fldCharType="separate"/>
        </w:r>
        <w:r w:rsidR="00291E20">
          <w:rPr>
            <w:noProof/>
            <w:webHidden/>
          </w:rPr>
          <w:t>32</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27" w:history="1">
        <w:r w:rsidR="00291E20" w:rsidRPr="000B673E">
          <w:rPr>
            <w:rStyle w:val="Hyperlink"/>
            <w:noProof/>
          </w:rPr>
          <w:t>Figure 8a: VCS/ WEA assessment of their level of ILT implementation, by first 7 categories</w:t>
        </w:r>
        <w:r w:rsidR="00291E20">
          <w:rPr>
            <w:noProof/>
            <w:webHidden/>
          </w:rPr>
          <w:tab/>
        </w:r>
        <w:r>
          <w:rPr>
            <w:noProof/>
            <w:webHidden/>
          </w:rPr>
          <w:fldChar w:fldCharType="begin"/>
        </w:r>
        <w:r w:rsidR="00291E20">
          <w:rPr>
            <w:noProof/>
            <w:webHidden/>
          </w:rPr>
          <w:instrText xml:space="preserve"> PAGEREF _Toc256332127 \h </w:instrText>
        </w:r>
        <w:r>
          <w:rPr>
            <w:noProof/>
            <w:webHidden/>
          </w:rPr>
        </w:r>
        <w:r>
          <w:rPr>
            <w:noProof/>
            <w:webHidden/>
          </w:rPr>
          <w:fldChar w:fldCharType="separate"/>
        </w:r>
        <w:r w:rsidR="00291E20">
          <w:rPr>
            <w:noProof/>
            <w:webHidden/>
          </w:rPr>
          <w:t>33</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28" w:history="1">
        <w:r w:rsidR="00291E20" w:rsidRPr="000B673E">
          <w:rPr>
            <w:rStyle w:val="Hyperlink"/>
            <w:noProof/>
          </w:rPr>
          <w:t>Figure 8b: VCS/ WEA assessment of their level of ILT implementation, by last 7 categories</w:t>
        </w:r>
        <w:r w:rsidR="00291E20">
          <w:rPr>
            <w:noProof/>
            <w:webHidden/>
          </w:rPr>
          <w:tab/>
        </w:r>
        <w:r>
          <w:rPr>
            <w:noProof/>
            <w:webHidden/>
          </w:rPr>
          <w:fldChar w:fldCharType="begin"/>
        </w:r>
        <w:r w:rsidR="00291E20">
          <w:rPr>
            <w:noProof/>
            <w:webHidden/>
          </w:rPr>
          <w:instrText xml:space="preserve"> PAGEREF _Toc256332128 \h </w:instrText>
        </w:r>
        <w:r>
          <w:rPr>
            <w:noProof/>
            <w:webHidden/>
          </w:rPr>
        </w:r>
        <w:r>
          <w:rPr>
            <w:noProof/>
            <w:webHidden/>
          </w:rPr>
          <w:fldChar w:fldCharType="separate"/>
        </w:r>
        <w:r w:rsidR="00291E20">
          <w:rPr>
            <w:noProof/>
            <w:webHidden/>
          </w:rPr>
          <w:t>34</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29" w:history="1">
        <w:r w:rsidR="00291E20" w:rsidRPr="000B673E">
          <w:rPr>
            <w:rStyle w:val="Hyperlink"/>
            <w:noProof/>
          </w:rPr>
          <w:t>Figure 9a: Perception of ILT skills and knowledge of delivery staff within LA organizations’</w:t>
        </w:r>
        <w:r w:rsidR="00291E20">
          <w:rPr>
            <w:noProof/>
            <w:webHidden/>
          </w:rPr>
          <w:tab/>
        </w:r>
        <w:r>
          <w:rPr>
            <w:noProof/>
            <w:webHidden/>
          </w:rPr>
          <w:fldChar w:fldCharType="begin"/>
        </w:r>
        <w:r w:rsidR="00291E20">
          <w:rPr>
            <w:noProof/>
            <w:webHidden/>
          </w:rPr>
          <w:instrText xml:space="preserve"> PAGEREF _Toc256332129 \h </w:instrText>
        </w:r>
        <w:r>
          <w:rPr>
            <w:noProof/>
            <w:webHidden/>
          </w:rPr>
        </w:r>
        <w:r>
          <w:rPr>
            <w:noProof/>
            <w:webHidden/>
          </w:rPr>
          <w:fldChar w:fldCharType="separate"/>
        </w:r>
        <w:r w:rsidR="00291E20">
          <w:rPr>
            <w:noProof/>
            <w:webHidden/>
          </w:rPr>
          <w:t>38</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30" w:history="1">
        <w:r w:rsidR="00291E20" w:rsidRPr="000B673E">
          <w:rPr>
            <w:rStyle w:val="Hyperlink"/>
            <w:noProof/>
          </w:rPr>
          <w:t>Figure 9b: Perception of ILT skills and knowledge of delivery staff within VCS/ WEA organizations’</w:t>
        </w:r>
        <w:r w:rsidR="00291E20">
          <w:rPr>
            <w:noProof/>
            <w:webHidden/>
          </w:rPr>
          <w:tab/>
        </w:r>
        <w:r>
          <w:rPr>
            <w:noProof/>
            <w:webHidden/>
          </w:rPr>
          <w:fldChar w:fldCharType="begin"/>
        </w:r>
        <w:r w:rsidR="00291E20">
          <w:rPr>
            <w:noProof/>
            <w:webHidden/>
          </w:rPr>
          <w:instrText xml:space="preserve"> PAGEREF _Toc256332130 \h </w:instrText>
        </w:r>
        <w:r>
          <w:rPr>
            <w:noProof/>
            <w:webHidden/>
          </w:rPr>
        </w:r>
        <w:r>
          <w:rPr>
            <w:noProof/>
            <w:webHidden/>
          </w:rPr>
          <w:fldChar w:fldCharType="separate"/>
        </w:r>
        <w:r w:rsidR="00291E20">
          <w:rPr>
            <w:noProof/>
            <w:webHidden/>
          </w:rPr>
          <w:t>40</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31" w:history="1">
        <w:r w:rsidR="00291E20" w:rsidRPr="000B673E">
          <w:rPr>
            <w:rStyle w:val="Hyperlink"/>
            <w:noProof/>
          </w:rPr>
          <w:t>Figure 10: Perceptions of the ILT skills of organizations’ delivery staff</w:t>
        </w:r>
        <w:r w:rsidR="00291E20">
          <w:rPr>
            <w:noProof/>
            <w:webHidden/>
          </w:rPr>
          <w:tab/>
        </w:r>
        <w:r>
          <w:rPr>
            <w:noProof/>
            <w:webHidden/>
          </w:rPr>
          <w:fldChar w:fldCharType="begin"/>
        </w:r>
        <w:r w:rsidR="00291E20">
          <w:rPr>
            <w:noProof/>
            <w:webHidden/>
          </w:rPr>
          <w:instrText xml:space="preserve"> PAGEREF _Toc256332131 \h </w:instrText>
        </w:r>
        <w:r>
          <w:rPr>
            <w:noProof/>
            <w:webHidden/>
          </w:rPr>
        </w:r>
        <w:r>
          <w:rPr>
            <w:noProof/>
            <w:webHidden/>
          </w:rPr>
          <w:fldChar w:fldCharType="separate"/>
        </w:r>
        <w:r w:rsidR="00291E20">
          <w:rPr>
            <w:noProof/>
            <w:webHidden/>
          </w:rPr>
          <w:t>41</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32" w:history="1">
        <w:r w:rsidR="00291E20" w:rsidRPr="000B673E">
          <w:rPr>
            <w:rStyle w:val="Hyperlink"/>
            <w:noProof/>
          </w:rPr>
          <w:t>Figure 11: Regional distribution of practitioners (E-guides and non E-guides)</w:t>
        </w:r>
        <w:r w:rsidR="00291E20">
          <w:rPr>
            <w:noProof/>
            <w:webHidden/>
          </w:rPr>
          <w:tab/>
        </w:r>
        <w:r>
          <w:rPr>
            <w:noProof/>
            <w:webHidden/>
          </w:rPr>
          <w:fldChar w:fldCharType="begin"/>
        </w:r>
        <w:r w:rsidR="00291E20">
          <w:rPr>
            <w:noProof/>
            <w:webHidden/>
          </w:rPr>
          <w:instrText xml:space="preserve"> PAGEREF _Toc256332132 \h </w:instrText>
        </w:r>
        <w:r>
          <w:rPr>
            <w:noProof/>
            <w:webHidden/>
          </w:rPr>
        </w:r>
        <w:r>
          <w:rPr>
            <w:noProof/>
            <w:webHidden/>
          </w:rPr>
          <w:fldChar w:fldCharType="separate"/>
        </w:r>
        <w:r w:rsidR="00291E20">
          <w:rPr>
            <w:noProof/>
            <w:webHidden/>
          </w:rPr>
          <w:t>55</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33" w:history="1">
        <w:r w:rsidR="00291E20" w:rsidRPr="000B673E">
          <w:rPr>
            <w:rStyle w:val="Hyperlink"/>
            <w:noProof/>
          </w:rPr>
          <w:t>Figure 12: Venues within which practitioners teach or facilitate adult learning</w:t>
        </w:r>
        <w:r w:rsidR="00291E20">
          <w:rPr>
            <w:noProof/>
            <w:webHidden/>
          </w:rPr>
          <w:tab/>
        </w:r>
        <w:r>
          <w:rPr>
            <w:noProof/>
            <w:webHidden/>
          </w:rPr>
          <w:fldChar w:fldCharType="begin"/>
        </w:r>
        <w:r w:rsidR="00291E20">
          <w:rPr>
            <w:noProof/>
            <w:webHidden/>
          </w:rPr>
          <w:instrText xml:space="preserve"> PAGEREF _Toc256332133 \h </w:instrText>
        </w:r>
        <w:r>
          <w:rPr>
            <w:noProof/>
            <w:webHidden/>
          </w:rPr>
        </w:r>
        <w:r>
          <w:rPr>
            <w:noProof/>
            <w:webHidden/>
          </w:rPr>
          <w:fldChar w:fldCharType="separate"/>
        </w:r>
        <w:r w:rsidR="00291E20">
          <w:rPr>
            <w:noProof/>
            <w:webHidden/>
          </w:rPr>
          <w:t>57</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34" w:history="1">
        <w:r w:rsidR="00291E20" w:rsidRPr="000B673E">
          <w:rPr>
            <w:rStyle w:val="Hyperlink"/>
            <w:noProof/>
          </w:rPr>
          <w:t>Figure 13: Range of progammes of learning delivered by ACL staff</w:t>
        </w:r>
        <w:r w:rsidR="00291E20">
          <w:rPr>
            <w:noProof/>
            <w:webHidden/>
          </w:rPr>
          <w:tab/>
        </w:r>
        <w:r>
          <w:rPr>
            <w:noProof/>
            <w:webHidden/>
          </w:rPr>
          <w:fldChar w:fldCharType="begin"/>
        </w:r>
        <w:r w:rsidR="00291E20">
          <w:rPr>
            <w:noProof/>
            <w:webHidden/>
          </w:rPr>
          <w:instrText xml:space="preserve"> PAGEREF _Toc256332134 \h </w:instrText>
        </w:r>
        <w:r>
          <w:rPr>
            <w:noProof/>
            <w:webHidden/>
          </w:rPr>
        </w:r>
        <w:r>
          <w:rPr>
            <w:noProof/>
            <w:webHidden/>
          </w:rPr>
          <w:fldChar w:fldCharType="separate"/>
        </w:r>
        <w:r w:rsidR="00291E20">
          <w:rPr>
            <w:noProof/>
            <w:webHidden/>
          </w:rPr>
          <w:t>58</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35" w:history="1">
        <w:r w:rsidR="00291E20" w:rsidRPr="000B673E">
          <w:rPr>
            <w:rStyle w:val="Hyperlink"/>
            <w:noProof/>
          </w:rPr>
          <w:t>Figure 14: Resources that practitioners are both aware of and/ or have used with learners</w:t>
        </w:r>
        <w:r w:rsidR="00291E20">
          <w:rPr>
            <w:noProof/>
            <w:webHidden/>
          </w:rPr>
          <w:tab/>
        </w:r>
        <w:r>
          <w:rPr>
            <w:noProof/>
            <w:webHidden/>
          </w:rPr>
          <w:fldChar w:fldCharType="begin"/>
        </w:r>
        <w:r w:rsidR="00291E20">
          <w:rPr>
            <w:noProof/>
            <w:webHidden/>
          </w:rPr>
          <w:instrText xml:space="preserve"> PAGEREF _Toc256332135 \h </w:instrText>
        </w:r>
        <w:r>
          <w:rPr>
            <w:noProof/>
            <w:webHidden/>
          </w:rPr>
        </w:r>
        <w:r>
          <w:rPr>
            <w:noProof/>
            <w:webHidden/>
          </w:rPr>
          <w:fldChar w:fldCharType="separate"/>
        </w:r>
        <w:r w:rsidR="00291E20">
          <w:rPr>
            <w:noProof/>
            <w:webHidden/>
          </w:rPr>
          <w:t>65</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36" w:history="1">
        <w:r w:rsidR="00291E20" w:rsidRPr="000B673E">
          <w:rPr>
            <w:rStyle w:val="Hyperlink"/>
            <w:noProof/>
          </w:rPr>
          <w:t>Figure 15: Practitioners use of technology to support learning-related activities</w:t>
        </w:r>
        <w:r w:rsidR="00291E20">
          <w:rPr>
            <w:noProof/>
            <w:webHidden/>
          </w:rPr>
          <w:tab/>
        </w:r>
        <w:r>
          <w:rPr>
            <w:noProof/>
            <w:webHidden/>
          </w:rPr>
          <w:fldChar w:fldCharType="begin"/>
        </w:r>
        <w:r w:rsidR="00291E20">
          <w:rPr>
            <w:noProof/>
            <w:webHidden/>
          </w:rPr>
          <w:instrText xml:space="preserve"> PAGEREF _Toc256332136 \h </w:instrText>
        </w:r>
        <w:r>
          <w:rPr>
            <w:noProof/>
            <w:webHidden/>
          </w:rPr>
        </w:r>
        <w:r>
          <w:rPr>
            <w:noProof/>
            <w:webHidden/>
          </w:rPr>
          <w:fldChar w:fldCharType="separate"/>
        </w:r>
        <w:r w:rsidR="00291E20">
          <w:rPr>
            <w:noProof/>
            <w:webHidden/>
          </w:rPr>
          <w:t>68</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37" w:history="1">
        <w:r w:rsidR="00291E20" w:rsidRPr="000B673E">
          <w:rPr>
            <w:rStyle w:val="Hyperlink"/>
            <w:noProof/>
          </w:rPr>
          <w:t>Figure 16: Access and support provided by practitioners’ organisations</w:t>
        </w:r>
        <w:r w:rsidR="00291E20">
          <w:rPr>
            <w:noProof/>
            <w:webHidden/>
          </w:rPr>
          <w:tab/>
        </w:r>
        <w:r>
          <w:rPr>
            <w:noProof/>
            <w:webHidden/>
          </w:rPr>
          <w:fldChar w:fldCharType="begin"/>
        </w:r>
        <w:r w:rsidR="00291E20">
          <w:rPr>
            <w:noProof/>
            <w:webHidden/>
          </w:rPr>
          <w:instrText xml:space="preserve"> PAGEREF _Toc256332137 \h </w:instrText>
        </w:r>
        <w:r>
          <w:rPr>
            <w:noProof/>
            <w:webHidden/>
          </w:rPr>
        </w:r>
        <w:r>
          <w:rPr>
            <w:noProof/>
            <w:webHidden/>
          </w:rPr>
          <w:fldChar w:fldCharType="separate"/>
        </w:r>
        <w:r w:rsidR="00291E20">
          <w:rPr>
            <w:noProof/>
            <w:webHidden/>
          </w:rPr>
          <w:t>73</w:t>
        </w:r>
        <w:r>
          <w:rPr>
            <w:noProof/>
            <w:webHidden/>
          </w:rPr>
          <w:fldChar w:fldCharType="end"/>
        </w:r>
      </w:hyperlink>
    </w:p>
    <w:p w:rsidR="00291E20" w:rsidRDefault="00F9461D" w:rsidP="002F77E5">
      <w:pPr>
        <w:pStyle w:val="Heading1"/>
        <w:numPr>
          <w:ilvl w:val="0"/>
          <w:numId w:val="0"/>
        </w:numPr>
        <w:contextualSpacing/>
        <w:rPr>
          <w:rFonts w:ascii="Calibri" w:eastAsia="Calibri" w:hAnsi="Calibri"/>
          <w:sz w:val="24"/>
          <w:szCs w:val="24"/>
        </w:rPr>
      </w:pPr>
      <w:r>
        <w:rPr>
          <w:rFonts w:ascii="Calibri" w:eastAsia="Calibri" w:hAnsi="Calibri"/>
          <w:sz w:val="24"/>
          <w:szCs w:val="24"/>
        </w:rPr>
        <w:fldChar w:fldCharType="end"/>
      </w:r>
      <w:bookmarkStart w:id="1" w:name="_Toc257276000"/>
      <w:bookmarkEnd w:id="1"/>
    </w:p>
    <w:p w:rsidR="00291E20" w:rsidRDefault="00291E20" w:rsidP="00291E20">
      <w:r>
        <w:br w:type="page"/>
      </w:r>
    </w:p>
    <w:p w:rsidR="00291E20" w:rsidRPr="00667940" w:rsidRDefault="00291E20" w:rsidP="00291E20"/>
    <w:p w:rsidR="00291E20" w:rsidRDefault="00291E20" w:rsidP="00291E20">
      <w:pPr>
        <w:rPr>
          <w:noProof/>
        </w:rPr>
      </w:pPr>
      <w:r w:rsidRPr="003722B0">
        <w:rPr>
          <w:b/>
          <w:color w:val="4F6228"/>
          <w:sz w:val="24"/>
          <w:szCs w:val="24"/>
        </w:rPr>
        <w:t>Tables</w:t>
      </w:r>
      <w:r w:rsidR="00F9461D" w:rsidRPr="00F9461D">
        <w:rPr>
          <w:rFonts w:eastAsia="Calibri"/>
          <w:b/>
          <w:color w:val="4F6228"/>
          <w:sz w:val="24"/>
          <w:szCs w:val="24"/>
        </w:rPr>
        <w:fldChar w:fldCharType="begin"/>
      </w:r>
      <w:r w:rsidRPr="003722B0">
        <w:rPr>
          <w:b/>
          <w:color w:val="4F6228"/>
          <w:sz w:val="24"/>
          <w:szCs w:val="24"/>
        </w:rPr>
        <w:instrText xml:space="preserve"> TOC \h \z \t "Heading 5" \c </w:instrText>
      </w:r>
      <w:r w:rsidR="00F9461D" w:rsidRPr="00F9461D">
        <w:rPr>
          <w:rFonts w:eastAsia="Calibri"/>
          <w:b/>
          <w:color w:val="4F6228"/>
          <w:sz w:val="24"/>
          <w:szCs w:val="24"/>
        </w:rPr>
        <w:fldChar w:fldCharType="separate"/>
      </w:r>
    </w:p>
    <w:p w:rsidR="00291E20" w:rsidRDefault="00F9461D" w:rsidP="00291E20">
      <w:pPr>
        <w:pStyle w:val="TableofFigures"/>
        <w:tabs>
          <w:tab w:val="right" w:leader="dot" w:pos="9350"/>
        </w:tabs>
        <w:rPr>
          <w:rFonts w:eastAsia="Times New Roman"/>
          <w:noProof/>
          <w:sz w:val="22"/>
        </w:rPr>
      </w:pPr>
      <w:hyperlink w:anchor="_Toc256332138" w:history="1">
        <w:r w:rsidR="00291E20" w:rsidRPr="00391F02">
          <w:rPr>
            <w:rStyle w:val="Hyperlink"/>
            <w:noProof/>
          </w:rPr>
          <w:t>Table 1: Regional representation of response</w:t>
        </w:r>
        <w:r w:rsidR="00291E20">
          <w:rPr>
            <w:noProof/>
            <w:webHidden/>
          </w:rPr>
          <w:tab/>
        </w:r>
        <w:r>
          <w:rPr>
            <w:noProof/>
            <w:webHidden/>
          </w:rPr>
          <w:fldChar w:fldCharType="begin"/>
        </w:r>
        <w:r w:rsidR="00291E20">
          <w:rPr>
            <w:noProof/>
            <w:webHidden/>
          </w:rPr>
          <w:instrText xml:space="preserve"> PAGEREF _Toc256332138 \h </w:instrText>
        </w:r>
        <w:r>
          <w:rPr>
            <w:noProof/>
            <w:webHidden/>
          </w:rPr>
        </w:r>
        <w:r>
          <w:rPr>
            <w:noProof/>
            <w:webHidden/>
          </w:rPr>
          <w:fldChar w:fldCharType="separate"/>
        </w:r>
        <w:r w:rsidR="00291E20">
          <w:rPr>
            <w:noProof/>
            <w:webHidden/>
          </w:rPr>
          <w:t>8</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39" w:history="1">
        <w:r w:rsidR="00291E20" w:rsidRPr="00391F02">
          <w:rPr>
            <w:rStyle w:val="Hyperlink"/>
            <w:noProof/>
          </w:rPr>
          <w:t>Table 2:  Registered/ Non-registered Learners in 2007/08:</w:t>
        </w:r>
        <w:r w:rsidR="00291E20">
          <w:rPr>
            <w:noProof/>
            <w:webHidden/>
          </w:rPr>
          <w:tab/>
        </w:r>
        <w:r>
          <w:rPr>
            <w:noProof/>
            <w:webHidden/>
          </w:rPr>
          <w:fldChar w:fldCharType="begin"/>
        </w:r>
        <w:r w:rsidR="00291E20">
          <w:rPr>
            <w:noProof/>
            <w:webHidden/>
          </w:rPr>
          <w:instrText xml:space="preserve"> PAGEREF _Toc256332139 \h </w:instrText>
        </w:r>
        <w:r>
          <w:rPr>
            <w:noProof/>
            <w:webHidden/>
          </w:rPr>
        </w:r>
        <w:r>
          <w:rPr>
            <w:noProof/>
            <w:webHidden/>
          </w:rPr>
          <w:fldChar w:fldCharType="separate"/>
        </w:r>
        <w:r w:rsidR="00291E20">
          <w:rPr>
            <w:noProof/>
            <w:webHidden/>
          </w:rPr>
          <w:t>9</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40" w:history="1">
        <w:r w:rsidR="00291E20" w:rsidRPr="00391F02">
          <w:rPr>
            <w:rStyle w:val="Hyperlink"/>
            <w:noProof/>
          </w:rPr>
          <w:t>Table 3: Learning Locations data distribution (Average, SD and Total)</w:t>
        </w:r>
        <w:r w:rsidR="00291E20">
          <w:rPr>
            <w:noProof/>
            <w:webHidden/>
          </w:rPr>
          <w:tab/>
        </w:r>
        <w:r>
          <w:rPr>
            <w:noProof/>
            <w:webHidden/>
          </w:rPr>
          <w:fldChar w:fldCharType="begin"/>
        </w:r>
        <w:r w:rsidR="00291E20">
          <w:rPr>
            <w:noProof/>
            <w:webHidden/>
          </w:rPr>
          <w:instrText xml:space="preserve"> PAGEREF _Toc256332140 \h </w:instrText>
        </w:r>
        <w:r>
          <w:rPr>
            <w:noProof/>
            <w:webHidden/>
          </w:rPr>
        </w:r>
        <w:r>
          <w:rPr>
            <w:noProof/>
            <w:webHidden/>
          </w:rPr>
          <w:fldChar w:fldCharType="separate"/>
        </w:r>
        <w:r w:rsidR="00291E20">
          <w:rPr>
            <w:noProof/>
            <w:webHidden/>
          </w:rPr>
          <w:t>11</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41" w:history="1">
        <w:r w:rsidR="00291E20" w:rsidRPr="00391F02">
          <w:rPr>
            <w:rStyle w:val="Hyperlink"/>
            <w:noProof/>
          </w:rPr>
          <w:t>Table 4: Elements covered by e-strategy</w:t>
        </w:r>
        <w:r w:rsidR="00291E20">
          <w:rPr>
            <w:noProof/>
            <w:webHidden/>
          </w:rPr>
          <w:tab/>
        </w:r>
        <w:r>
          <w:rPr>
            <w:noProof/>
            <w:webHidden/>
          </w:rPr>
          <w:fldChar w:fldCharType="begin"/>
        </w:r>
        <w:r w:rsidR="00291E20">
          <w:rPr>
            <w:noProof/>
            <w:webHidden/>
          </w:rPr>
          <w:instrText xml:space="preserve"> PAGEREF _Toc256332141 \h </w:instrText>
        </w:r>
        <w:r>
          <w:rPr>
            <w:noProof/>
            <w:webHidden/>
          </w:rPr>
        </w:r>
        <w:r>
          <w:rPr>
            <w:noProof/>
            <w:webHidden/>
          </w:rPr>
          <w:fldChar w:fldCharType="separate"/>
        </w:r>
        <w:r w:rsidR="00291E20">
          <w:rPr>
            <w:noProof/>
            <w:webHidden/>
          </w:rPr>
          <w:t>16</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42" w:history="1">
        <w:r w:rsidR="00291E20" w:rsidRPr="00391F02">
          <w:rPr>
            <w:rStyle w:val="Hyperlink"/>
            <w:noProof/>
          </w:rPr>
          <w:t>Table 5: Comparison of staff skills development levels (2008/09 and 2009/10)</w:t>
        </w:r>
        <w:r w:rsidR="00291E20">
          <w:rPr>
            <w:noProof/>
            <w:webHidden/>
          </w:rPr>
          <w:tab/>
        </w:r>
        <w:r>
          <w:rPr>
            <w:noProof/>
            <w:webHidden/>
          </w:rPr>
          <w:fldChar w:fldCharType="begin"/>
        </w:r>
        <w:r w:rsidR="00291E20">
          <w:rPr>
            <w:noProof/>
            <w:webHidden/>
          </w:rPr>
          <w:instrText xml:space="preserve"> PAGEREF _Toc256332142 \h </w:instrText>
        </w:r>
        <w:r>
          <w:rPr>
            <w:noProof/>
            <w:webHidden/>
          </w:rPr>
        </w:r>
        <w:r>
          <w:rPr>
            <w:noProof/>
            <w:webHidden/>
          </w:rPr>
          <w:fldChar w:fldCharType="separate"/>
        </w:r>
        <w:r w:rsidR="00291E20">
          <w:rPr>
            <w:noProof/>
            <w:webHidden/>
          </w:rPr>
          <w:t>39</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43" w:history="1">
        <w:r w:rsidR="00291E20" w:rsidRPr="00391F02">
          <w:rPr>
            <w:rStyle w:val="Hyperlink"/>
            <w:noProof/>
          </w:rPr>
          <w:t>Table 6: Increase of local authorities offering training to learning support staff since 2008/09</w:t>
        </w:r>
        <w:r w:rsidR="00291E20">
          <w:rPr>
            <w:noProof/>
            <w:webHidden/>
          </w:rPr>
          <w:tab/>
        </w:r>
        <w:r>
          <w:rPr>
            <w:noProof/>
            <w:webHidden/>
          </w:rPr>
          <w:fldChar w:fldCharType="begin"/>
        </w:r>
        <w:r w:rsidR="00291E20">
          <w:rPr>
            <w:noProof/>
            <w:webHidden/>
          </w:rPr>
          <w:instrText xml:space="preserve"> PAGEREF _Toc256332143 \h </w:instrText>
        </w:r>
        <w:r>
          <w:rPr>
            <w:noProof/>
            <w:webHidden/>
          </w:rPr>
        </w:r>
        <w:r>
          <w:rPr>
            <w:noProof/>
            <w:webHidden/>
          </w:rPr>
          <w:fldChar w:fldCharType="separate"/>
        </w:r>
        <w:r w:rsidR="00291E20">
          <w:rPr>
            <w:noProof/>
            <w:webHidden/>
          </w:rPr>
          <w:t>43</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44" w:history="1">
        <w:r w:rsidR="00291E20" w:rsidRPr="00391F02">
          <w:rPr>
            <w:rStyle w:val="Hyperlink"/>
            <w:noProof/>
          </w:rPr>
          <w:t>Table 7: Level of LA respondent agreement with potential positive impacts upon the learner experience</w:t>
        </w:r>
        <w:r w:rsidR="00291E20">
          <w:rPr>
            <w:noProof/>
            <w:webHidden/>
          </w:rPr>
          <w:tab/>
        </w:r>
        <w:r>
          <w:rPr>
            <w:noProof/>
            <w:webHidden/>
          </w:rPr>
          <w:fldChar w:fldCharType="begin"/>
        </w:r>
        <w:r w:rsidR="00291E20">
          <w:rPr>
            <w:noProof/>
            <w:webHidden/>
          </w:rPr>
          <w:instrText xml:space="preserve"> PAGEREF _Toc256332144 \h </w:instrText>
        </w:r>
        <w:r>
          <w:rPr>
            <w:noProof/>
            <w:webHidden/>
          </w:rPr>
        </w:r>
        <w:r>
          <w:rPr>
            <w:noProof/>
            <w:webHidden/>
          </w:rPr>
          <w:fldChar w:fldCharType="separate"/>
        </w:r>
        <w:r w:rsidR="00291E20">
          <w:rPr>
            <w:noProof/>
            <w:webHidden/>
          </w:rPr>
          <w:t>45</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45" w:history="1">
        <w:r w:rsidR="00291E20" w:rsidRPr="00391F02">
          <w:rPr>
            <w:rStyle w:val="Hyperlink"/>
            <w:noProof/>
          </w:rPr>
          <w:t>Table 8: Level of VCS/ WEA respondent agreement with potential positive impacts upon the learner experience</w:t>
        </w:r>
        <w:r w:rsidR="00291E20">
          <w:rPr>
            <w:noProof/>
            <w:webHidden/>
          </w:rPr>
          <w:tab/>
        </w:r>
        <w:r>
          <w:rPr>
            <w:noProof/>
            <w:webHidden/>
          </w:rPr>
          <w:fldChar w:fldCharType="begin"/>
        </w:r>
        <w:r w:rsidR="00291E20">
          <w:rPr>
            <w:noProof/>
            <w:webHidden/>
          </w:rPr>
          <w:instrText xml:space="preserve"> PAGEREF _Toc256332145 \h </w:instrText>
        </w:r>
        <w:r>
          <w:rPr>
            <w:noProof/>
            <w:webHidden/>
          </w:rPr>
        </w:r>
        <w:r>
          <w:rPr>
            <w:noProof/>
            <w:webHidden/>
          </w:rPr>
          <w:fldChar w:fldCharType="separate"/>
        </w:r>
        <w:r w:rsidR="00291E20">
          <w:rPr>
            <w:noProof/>
            <w:webHidden/>
          </w:rPr>
          <w:t>47</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46" w:history="1">
        <w:r w:rsidR="00291E20" w:rsidRPr="00391F02">
          <w:rPr>
            <w:rStyle w:val="Hyperlink"/>
            <w:noProof/>
          </w:rPr>
          <w:t>Table 9: Factors preventing effective use of ILT and e-learning amongst ACL staff (Local Authorities)</w:t>
        </w:r>
        <w:r w:rsidR="00291E20">
          <w:rPr>
            <w:noProof/>
            <w:webHidden/>
          </w:rPr>
          <w:tab/>
        </w:r>
        <w:r>
          <w:rPr>
            <w:noProof/>
            <w:webHidden/>
          </w:rPr>
          <w:fldChar w:fldCharType="begin"/>
        </w:r>
        <w:r w:rsidR="00291E20">
          <w:rPr>
            <w:noProof/>
            <w:webHidden/>
          </w:rPr>
          <w:instrText xml:space="preserve"> PAGEREF _Toc256332146 \h </w:instrText>
        </w:r>
        <w:r>
          <w:rPr>
            <w:noProof/>
            <w:webHidden/>
          </w:rPr>
        </w:r>
        <w:r>
          <w:rPr>
            <w:noProof/>
            <w:webHidden/>
          </w:rPr>
          <w:fldChar w:fldCharType="separate"/>
        </w:r>
        <w:r w:rsidR="00291E20">
          <w:rPr>
            <w:noProof/>
            <w:webHidden/>
          </w:rPr>
          <w:t>49</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47" w:history="1">
        <w:r w:rsidR="00291E20" w:rsidRPr="00391F02">
          <w:rPr>
            <w:rStyle w:val="Hyperlink"/>
            <w:noProof/>
          </w:rPr>
          <w:t>Table 10: Factors preventing effective use of ILT and e-learning amongst ACL staff (VCS/ WEA organisations)</w:t>
        </w:r>
        <w:r w:rsidR="00291E20">
          <w:rPr>
            <w:noProof/>
            <w:webHidden/>
          </w:rPr>
          <w:tab/>
        </w:r>
        <w:r>
          <w:rPr>
            <w:noProof/>
            <w:webHidden/>
          </w:rPr>
          <w:fldChar w:fldCharType="begin"/>
        </w:r>
        <w:r w:rsidR="00291E20">
          <w:rPr>
            <w:noProof/>
            <w:webHidden/>
          </w:rPr>
          <w:instrText xml:space="preserve"> PAGEREF _Toc256332147 \h </w:instrText>
        </w:r>
        <w:r>
          <w:rPr>
            <w:noProof/>
            <w:webHidden/>
          </w:rPr>
        </w:r>
        <w:r>
          <w:rPr>
            <w:noProof/>
            <w:webHidden/>
          </w:rPr>
          <w:fldChar w:fldCharType="separate"/>
        </w:r>
        <w:r w:rsidR="00291E20">
          <w:rPr>
            <w:noProof/>
            <w:webHidden/>
          </w:rPr>
          <w:t>50</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48" w:history="1">
        <w:r w:rsidR="00291E20" w:rsidRPr="00391F02">
          <w:rPr>
            <w:rStyle w:val="Hyperlink"/>
            <w:noProof/>
          </w:rPr>
          <w:t>Table 11: Levels of policy/ external resource support experienced by local authorities</w:t>
        </w:r>
        <w:r w:rsidR="00291E20">
          <w:rPr>
            <w:noProof/>
            <w:webHidden/>
          </w:rPr>
          <w:tab/>
        </w:r>
        <w:r>
          <w:rPr>
            <w:noProof/>
            <w:webHidden/>
          </w:rPr>
          <w:fldChar w:fldCharType="begin"/>
        </w:r>
        <w:r w:rsidR="00291E20">
          <w:rPr>
            <w:noProof/>
            <w:webHidden/>
          </w:rPr>
          <w:instrText xml:space="preserve"> PAGEREF _Toc256332148 \h </w:instrText>
        </w:r>
        <w:r>
          <w:rPr>
            <w:noProof/>
            <w:webHidden/>
          </w:rPr>
        </w:r>
        <w:r>
          <w:rPr>
            <w:noProof/>
            <w:webHidden/>
          </w:rPr>
          <w:fldChar w:fldCharType="separate"/>
        </w:r>
        <w:r w:rsidR="00291E20">
          <w:rPr>
            <w:noProof/>
            <w:webHidden/>
          </w:rPr>
          <w:t>51</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49" w:history="1">
        <w:r w:rsidR="00291E20" w:rsidRPr="00391F02">
          <w:rPr>
            <w:rStyle w:val="Hyperlink"/>
            <w:noProof/>
          </w:rPr>
          <w:t>Table 12: Levels of policy/ external resource support experienced by VCS/ WEA organisations</w:t>
        </w:r>
        <w:r w:rsidR="00291E20">
          <w:rPr>
            <w:noProof/>
            <w:webHidden/>
          </w:rPr>
          <w:tab/>
        </w:r>
        <w:r>
          <w:rPr>
            <w:noProof/>
            <w:webHidden/>
          </w:rPr>
          <w:fldChar w:fldCharType="begin"/>
        </w:r>
        <w:r w:rsidR="00291E20">
          <w:rPr>
            <w:noProof/>
            <w:webHidden/>
          </w:rPr>
          <w:instrText xml:space="preserve"> PAGEREF _Toc256332149 \h </w:instrText>
        </w:r>
        <w:r>
          <w:rPr>
            <w:noProof/>
            <w:webHidden/>
          </w:rPr>
        </w:r>
        <w:r>
          <w:rPr>
            <w:noProof/>
            <w:webHidden/>
          </w:rPr>
          <w:fldChar w:fldCharType="separate"/>
        </w:r>
        <w:r w:rsidR="00291E20">
          <w:rPr>
            <w:noProof/>
            <w:webHidden/>
          </w:rPr>
          <w:t>52</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50" w:history="1">
        <w:r w:rsidR="00291E20" w:rsidRPr="00391F02">
          <w:rPr>
            <w:rStyle w:val="Hyperlink"/>
            <w:noProof/>
          </w:rPr>
          <w:t>Table 13: Extent to which organisations provide E-Guide practitioners with access to equipment</w:t>
        </w:r>
        <w:r w:rsidR="00291E20">
          <w:rPr>
            <w:noProof/>
            <w:webHidden/>
          </w:rPr>
          <w:tab/>
        </w:r>
        <w:r>
          <w:rPr>
            <w:noProof/>
            <w:webHidden/>
          </w:rPr>
          <w:fldChar w:fldCharType="begin"/>
        </w:r>
        <w:r w:rsidR="00291E20">
          <w:rPr>
            <w:noProof/>
            <w:webHidden/>
          </w:rPr>
          <w:instrText xml:space="preserve"> PAGEREF _Toc256332150 \h </w:instrText>
        </w:r>
        <w:r>
          <w:rPr>
            <w:noProof/>
            <w:webHidden/>
          </w:rPr>
        </w:r>
        <w:r>
          <w:rPr>
            <w:noProof/>
            <w:webHidden/>
          </w:rPr>
          <w:fldChar w:fldCharType="separate"/>
        </w:r>
        <w:r w:rsidR="00291E20">
          <w:rPr>
            <w:noProof/>
            <w:webHidden/>
          </w:rPr>
          <w:t>59</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51" w:history="1">
        <w:r w:rsidR="00291E20" w:rsidRPr="00391F02">
          <w:rPr>
            <w:rStyle w:val="Hyperlink"/>
            <w:noProof/>
          </w:rPr>
          <w:t>Table 14: Extent to which organisations provide non E-Guide practitioners with access to equipment</w:t>
        </w:r>
        <w:r w:rsidR="00291E20">
          <w:rPr>
            <w:noProof/>
            <w:webHidden/>
          </w:rPr>
          <w:tab/>
        </w:r>
        <w:r>
          <w:rPr>
            <w:noProof/>
            <w:webHidden/>
          </w:rPr>
          <w:fldChar w:fldCharType="begin"/>
        </w:r>
        <w:r w:rsidR="00291E20">
          <w:rPr>
            <w:noProof/>
            <w:webHidden/>
          </w:rPr>
          <w:instrText xml:space="preserve"> PAGEREF _Toc256332151 \h </w:instrText>
        </w:r>
        <w:r>
          <w:rPr>
            <w:noProof/>
            <w:webHidden/>
          </w:rPr>
        </w:r>
        <w:r>
          <w:rPr>
            <w:noProof/>
            <w:webHidden/>
          </w:rPr>
          <w:fldChar w:fldCharType="separate"/>
        </w:r>
        <w:r w:rsidR="00291E20">
          <w:rPr>
            <w:noProof/>
            <w:webHidden/>
          </w:rPr>
          <w:t>61</w:t>
        </w:r>
        <w:r>
          <w:rPr>
            <w:noProof/>
            <w:webHidden/>
          </w:rPr>
          <w:fldChar w:fldCharType="end"/>
        </w:r>
      </w:hyperlink>
    </w:p>
    <w:p w:rsidR="00291E20" w:rsidRDefault="00F9461D" w:rsidP="00291E20">
      <w:pPr>
        <w:pStyle w:val="TableofFigures"/>
        <w:tabs>
          <w:tab w:val="right" w:leader="dot" w:pos="9350"/>
        </w:tabs>
        <w:rPr>
          <w:rFonts w:eastAsia="Times New Roman"/>
          <w:noProof/>
          <w:sz w:val="22"/>
        </w:rPr>
      </w:pPr>
      <w:hyperlink w:anchor="_Toc256332152" w:history="1">
        <w:r w:rsidR="00291E20" w:rsidRPr="00391F02">
          <w:rPr>
            <w:rStyle w:val="Hyperlink"/>
            <w:noProof/>
          </w:rPr>
          <w:t>Table 15: Practitioners’ levels of access/ ability to undertake the online activities</w:t>
        </w:r>
        <w:r w:rsidR="00291E20">
          <w:rPr>
            <w:noProof/>
            <w:webHidden/>
          </w:rPr>
          <w:tab/>
        </w:r>
        <w:r>
          <w:rPr>
            <w:noProof/>
            <w:webHidden/>
          </w:rPr>
          <w:fldChar w:fldCharType="begin"/>
        </w:r>
        <w:r w:rsidR="00291E20">
          <w:rPr>
            <w:noProof/>
            <w:webHidden/>
          </w:rPr>
          <w:instrText xml:space="preserve"> PAGEREF _Toc256332152 \h </w:instrText>
        </w:r>
        <w:r>
          <w:rPr>
            <w:noProof/>
            <w:webHidden/>
          </w:rPr>
        </w:r>
        <w:r>
          <w:rPr>
            <w:noProof/>
            <w:webHidden/>
          </w:rPr>
          <w:fldChar w:fldCharType="separate"/>
        </w:r>
        <w:r w:rsidR="00291E20">
          <w:rPr>
            <w:noProof/>
            <w:webHidden/>
          </w:rPr>
          <w:t>64</w:t>
        </w:r>
        <w:r>
          <w:rPr>
            <w:noProof/>
            <w:webHidden/>
          </w:rPr>
          <w:fldChar w:fldCharType="end"/>
        </w:r>
      </w:hyperlink>
    </w:p>
    <w:p w:rsidR="00DC1999" w:rsidRDefault="00F9461D" w:rsidP="00DC1999">
      <w:pPr>
        <w:pStyle w:val="Heading1"/>
        <w:numPr>
          <w:ilvl w:val="0"/>
          <w:numId w:val="0"/>
        </w:numPr>
        <w:rPr>
          <w:color w:val="4F6228"/>
        </w:rPr>
      </w:pPr>
      <w:r w:rsidRPr="003722B0">
        <w:rPr>
          <w:color w:val="4F6228"/>
        </w:rPr>
        <w:fldChar w:fldCharType="end"/>
      </w:r>
    </w:p>
    <w:p w:rsidR="00DC1999" w:rsidRPr="00DC1999" w:rsidRDefault="00DC1999" w:rsidP="00DC1999">
      <w:pPr>
        <w:pStyle w:val="BCSParagraph"/>
      </w:pPr>
    </w:p>
    <w:p w:rsidR="00291E20" w:rsidRPr="00DC1999" w:rsidRDefault="00291E20" w:rsidP="00DC1999">
      <w:pPr>
        <w:pStyle w:val="Heading1"/>
      </w:pPr>
      <w:r w:rsidRPr="00117B5E">
        <w:br w:type="page"/>
      </w:r>
      <w:bookmarkStart w:id="2" w:name="_Toc257276001"/>
      <w:r w:rsidRPr="00DC1999">
        <w:lastRenderedPageBreak/>
        <w:t xml:space="preserve">Aims and Objectives of </w:t>
      </w:r>
      <w:bookmarkEnd w:id="2"/>
      <w:r w:rsidR="002F77E5" w:rsidRPr="00DC1999">
        <w:t>the Survey</w:t>
      </w:r>
    </w:p>
    <w:p w:rsidR="00291E20" w:rsidRDefault="00291E20" w:rsidP="00291E20">
      <w:pPr>
        <w:contextualSpacing/>
        <w:rPr>
          <w:b/>
          <w:bCs/>
        </w:rPr>
      </w:pPr>
    </w:p>
    <w:p w:rsidR="00291E20" w:rsidRPr="00667940" w:rsidRDefault="00291E20" w:rsidP="002F77E5">
      <w:pPr>
        <w:pStyle w:val="Heading2"/>
      </w:pPr>
      <w:r>
        <w:t>Background</w:t>
      </w:r>
    </w:p>
    <w:p w:rsidR="00291E20" w:rsidRDefault="00291E20" w:rsidP="000A0B9B">
      <w:pPr>
        <w:pStyle w:val="BCSParagraph"/>
      </w:pPr>
      <w:r w:rsidRPr="00BB5838">
        <w:t>Becta’s work within the further education and skills system began with FE Colleges in 2001, extending to other providers in the Further Education and Skills sector in 2007.  This extension covered FE Colleges, Adult and Community Learning</w:t>
      </w:r>
      <w:r>
        <w:t xml:space="preserve"> (ACL)</w:t>
      </w:r>
      <w:r w:rsidRPr="00BB5838">
        <w:t xml:space="preserve">, Work-Based Learning and Offender Learning. </w:t>
      </w:r>
    </w:p>
    <w:p w:rsidR="006F0149" w:rsidRPr="00BB5838" w:rsidRDefault="006F0149" w:rsidP="000A0B9B">
      <w:pPr>
        <w:pStyle w:val="BCSParagraph"/>
      </w:pPr>
    </w:p>
    <w:p w:rsidR="00291E20" w:rsidRDefault="00291E20" w:rsidP="000A0B9B">
      <w:pPr>
        <w:pStyle w:val="BCSParagraph"/>
      </w:pPr>
      <w:r w:rsidRPr="00BB5838">
        <w:t>The 2008/09 survey illustrated a sector variously engaged with technology but limited by time, with low levels of online learning, and led predominately by enthusiasts.  The 2009/10 surve</w:t>
      </w:r>
      <w:r>
        <w:t xml:space="preserve">y </w:t>
      </w:r>
      <w:r w:rsidR="006F0149">
        <w:t>sought to</w:t>
      </w:r>
      <w:r>
        <w:t xml:space="preserve"> assess the state of ILT implementation within ACL and identify </w:t>
      </w:r>
      <w:r w:rsidR="006F0149">
        <w:t xml:space="preserve">any </w:t>
      </w:r>
      <w:r>
        <w:t>key changes</w:t>
      </w:r>
      <w:r w:rsidRPr="00BB5838">
        <w:t>, one year on</w:t>
      </w:r>
      <w:r>
        <w:t>.</w:t>
      </w:r>
    </w:p>
    <w:p w:rsidR="00291E20" w:rsidRDefault="00291E20" w:rsidP="00291E20">
      <w:pPr>
        <w:contextualSpacing/>
        <w:rPr>
          <w:b/>
          <w:bCs/>
        </w:rPr>
      </w:pPr>
    </w:p>
    <w:p w:rsidR="00291E20" w:rsidRPr="00BB5838" w:rsidRDefault="00291E20" w:rsidP="000A0B9B">
      <w:pPr>
        <w:pStyle w:val="Heading2"/>
        <w:rPr>
          <w:bCs/>
          <w:u w:val="single"/>
        </w:rPr>
      </w:pPr>
      <w:r w:rsidRPr="000A0B9B">
        <w:t>Key Aims and Objectives</w:t>
      </w:r>
      <w:r>
        <w:rPr>
          <w:bCs/>
          <w:u w:val="single"/>
        </w:rPr>
        <w:t>:</w:t>
      </w:r>
    </w:p>
    <w:p w:rsidR="00291E20" w:rsidRPr="00BB5838" w:rsidRDefault="00291E20" w:rsidP="000A0B9B">
      <w:pPr>
        <w:pStyle w:val="BCSParagraph"/>
      </w:pPr>
      <w:r w:rsidRPr="00BB5838">
        <w:t xml:space="preserve">The </w:t>
      </w:r>
      <w:r>
        <w:t>primary aim</w:t>
      </w:r>
      <w:r w:rsidRPr="00BB5838">
        <w:t xml:space="preserve"> of the </w:t>
      </w:r>
      <w:r w:rsidRPr="00BB5838">
        <w:rPr>
          <w:i/>
        </w:rPr>
        <w:t>Harnessing Technology</w:t>
      </w:r>
      <w:r w:rsidRPr="00BB5838">
        <w:t xml:space="preserve"> surveys is to assess the levels of organisational/sectoral </w:t>
      </w:r>
      <w:r>
        <w:t>implementation</w:t>
      </w:r>
      <w:r w:rsidR="006F0149">
        <w:t xml:space="preserve"> of technology</w:t>
      </w:r>
      <w:r w:rsidRPr="00BB5838">
        <w:t xml:space="preserve"> within the various post-16 sub-sectors.  NIACE was commissioned to conduct two surveys in 2009/10; one within the acl/pcdl subsector</w:t>
      </w:r>
      <w:r>
        <w:rPr>
          <w:rStyle w:val="FootnoteReference"/>
          <w:bCs/>
        </w:rPr>
        <w:footnoteReference w:id="1"/>
      </w:r>
      <w:r w:rsidRPr="00BB5838">
        <w:t>, and one within offender learning.  The surveys are intended to secure both provider and practitioner perspectives on the e-Maturity</w:t>
      </w:r>
      <w:r>
        <w:rPr>
          <w:rStyle w:val="FootnoteReference"/>
          <w:bCs/>
        </w:rPr>
        <w:footnoteReference w:id="2"/>
      </w:r>
      <w:r w:rsidRPr="00BB5838">
        <w:t xml:space="preserve"> of their organisations, in line with </w:t>
      </w:r>
      <w:r w:rsidR="006F0149">
        <w:t xml:space="preserve">the </w:t>
      </w:r>
      <w:r w:rsidRPr="006F0149">
        <w:t>Harnessing Technology</w:t>
      </w:r>
      <w:r w:rsidR="006F0149">
        <w:t xml:space="preserve"> Strategy.</w:t>
      </w:r>
    </w:p>
    <w:p w:rsidR="00291E20" w:rsidRPr="00BB5838" w:rsidRDefault="00291E20" w:rsidP="000A0B9B">
      <w:pPr>
        <w:pStyle w:val="BCSParagraph"/>
      </w:pPr>
    </w:p>
    <w:p w:rsidR="00291E20" w:rsidRPr="00BB5838" w:rsidRDefault="00291E20" w:rsidP="000A0B9B">
      <w:pPr>
        <w:pStyle w:val="BCSParagraph"/>
      </w:pPr>
      <w:r w:rsidRPr="00BB5838">
        <w:t xml:space="preserve">The aim of the </w:t>
      </w:r>
      <w:r>
        <w:t>survey therefore</w:t>
      </w:r>
      <w:r w:rsidRPr="00BB5838">
        <w:t xml:space="preserve"> is to su</w:t>
      </w:r>
      <w:r>
        <w:t xml:space="preserve">rvey the level(s) of technology use and implementation </w:t>
      </w:r>
      <w:r w:rsidRPr="00BB5838">
        <w:t>within the adult and community learning sub-sector</w:t>
      </w:r>
      <w:r>
        <w:t xml:space="preserve"> and assess progress towards the system outcomes in the Harnessing Technology Strategy: Next generation learning 2008-14</w:t>
      </w:r>
      <w:r w:rsidRPr="00BB5838">
        <w:t>. The objectives are as follows:</w:t>
      </w:r>
      <w:r w:rsidRPr="00BB5838">
        <w:br/>
      </w:r>
    </w:p>
    <w:p w:rsidR="00291E20" w:rsidRPr="00BB5838" w:rsidRDefault="00291E20" w:rsidP="000A0B9B">
      <w:pPr>
        <w:pStyle w:val="BCSParagraph"/>
      </w:pPr>
      <w:r w:rsidRPr="00BB5838">
        <w:t>Gather information on the use made of technology by institutions and staff in the PCDL sector</w:t>
      </w:r>
    </w:p>
    <w:p w:rsidR="00291E20" w:rsidRPr="00BB5838" w:rsidRDefault="00291E20" w:rsidP="000A0B9B">
      <w:pPr>
        <w:pStyle w:val="BCSParagraph"/>
      </w:pPr>
    </w:p>
    <w:p w:rsidR="00291E20" w:rsidRDefault="00291E20" w:rsidP="000A0B9B">
      <w:pPr>
        <w:pStyle w:val="BCSParagraph"/>
      </w:pPr>
      <w:r w:rsidRPr="00BB5838">
        <w:lastRenderedPageBreak/>
        <w:t xml:space="preserve">Identify and issues affecting the use of technology in the adult and community learning sector  </w:t>
      </w:r>
    </w:p>
    <w:p w:rsidR="00291E20" w:rsidRPr="00D66CCE" w:rsidRDefault="00291E20" w:rsidP="000A0B9B">
      <w:pPr>
        <w:pStyle w:val="BCSParagraph"/>
      </w:pPr>
    </w:p>
    <w:p w:rsidR="00291E20" w:rsidRDefault="00291E20" w:rsidP="000A0B9B">
      <w:pPr>
        <w:pStyle w:val="BCSParagraph"/>
      </w:pPr>
      <w:r>
        <w:t>Identify areas of both strength and weakness within the sub-sector and, where possible,</w:t>
      </w:r>
      <w:r>
        <w:rPr>
          <w:rStyle w:val="FootnoteReference"/>
        </w:rPr>
        <w:footnoteReference w:id="3"/>
      </w:r>
      <w:r>
        <w:t xml:space="preserve"> compare these to the 2008/098 survey.</w:t>
      </w:r>
    </w:p>
    <w:p w:rsidR="00DC1999" w:rsidRPr="00BB5838" w:rsidRDefault="00DC1999" w:rsidP="000A0B9B">
      <w:pPr>
        <w:pStyle w:val="BCSParagraph"/>
      </w:pPr>
    </w:p>
    <w:p w:rsidR="00291E20" w:rsidRPr="000A0B9B" w:rsidRDefault="00291E20" w:rsidP="000A0B9B">
      <w:pPr>
        <w:pStyle w:val="Heading1"/>
        <w:rPr>
          <w:rFonts w:eastAsia="Calibri"/>
        </w:rPr>
      </w:pPr>
      <w:r w:rsidRPr="00BB5838">
        <w:t xml:space="preserve"> </w:t>
      </w:r>
      <w:bookmarkStart w:id="3" w:name="_Toc257276002"/>
      <w:r w:rsidRPr="000A0B9B">
        <w:rPr>
          <w:rFonts w:eastAsia="Calibri"/>
        </w:rPr>
        <w:t>Methods and Response</w:t>
      </w:r>
      <w:bookmarkEnd w:id="3"/>
    </w:p>
    <w:p w:rsidR="00291E20" w:rsidRDefault="00291E20" w:rsidP="00291E20">
      <w:pPr>
        <w:contextualSpacing/>
      </w:pPr>
    </w:p>
    <w:p w:rsidR="00291E20" w:rsidRDefault="00291E20" w:rsidP="000A0B9B">
      <w:pPr>
        <w:pStyle w:val="BCSParagraph"/>
      </w:pPr>
      <w:r>
        <w:t>The following outlines the methods employed and an overview of the mechanism applied to enhance high-level response.</w:t>
      </w:r>
    </w:p>
    <w:p w:rsidR="00291E20" w:rsidRDefault="00291E20" w:rsidP="00291E20">
      <w:pPr>
        <w:contextualSpacing/>
      </w:pPr>
    </w:p>
    <w:p w:rsidR="00291E20" w:rsidRPr="007F220D" w:rsidRDefault="00291E20" w:rsidP="000A0B9B">
      <w:pPr>
        <w:pStyle w:val="Heading2"/>
      </w:pPr>
      <w:r w:rsidRPr="007F220D">
        <w:t>Revision of research instruments:</w:t>
      </w:r>
    </w:p>
    <w:p w:rsidR="00291E20" w:rsidRDefault="00291E20" w:rsidP="000A0B9B">
      <w:pPr>
        <w:pStyle w:val="BCSParagraph"/>
      </w:pPr>
      <w:r>
        <w:t>An</w:t>
      </w:r>
      <w:r w:rsidRPr="000C5570">
        <w:t xml:space="preserve"> early meeting, organised by Becta, drew together the </w:t>
      </w:r>
      <w:r w:rsidRPr="000C5570">
        <w:rPr>
          <w:i/>
        </w:rPr>
        <w:t>Harnessing Technology</w:t>
      </w:r>
      <w:r w:rsidRPr="000C5570">
        <w:t xml:space="preserve"> survey researchers/</w:t>
      </w:r>
      <w:r>
        <w:t>partners</w:t>
      </w:r>
      <w:r w:rsidRPr="000C5570">
        <w:t xml:space="preserve"> to promote collaboration</w:t>
      </w:r>
      <w:r>
        <w:t xml:space="preserve"> and to review the survey structure</w:t>
      </w:r>
      <w:r w:rsidRPr="000C5570">
        <w:t>.</w:t>
      </w:r>
      <w:r w:rsidRPr="000C5570">
        <w:rPr>
          <w:i/>
        </w:rPr>
        <w:t xml:space="preserve"> </w:t>
      </w:r>
      <w:r w:rsidRPr="000C5570">
        <w:t xml:space="preserve">During the meeting, a list of suggested questions and </w:t>
      </w:r>
      <w:r>
        <w:t xml:space="preserve">a common </w:t>
      </w:r>
      <w:r w:rsidRPr="000C5570">
        <w:t xml:space="preserve">structure was </w:t>
      </w:r>
      <w:r>
        <w:t>agreed</w:t>
      </w:r>
      <w:r w:rsidRPr="000C5570">
        <w:t xml:space="preserve"> in order to ensure some degree of methodological comparability across sub-sectors.</w:t>
      </w:r>
    </w:p>
    <w:p w:rsidR="00291E20" w:rsidRDefault="00291E20" w:rsidP="000A0B9B">
      <w:pPr>
        <w:pStyle w:val="BCSParagraph"/>
      </w:pPr>
    </w:p>
    <w:p w:rsidR="00291E20" w:rsidRDefault="00291E20" w:rsidP="000A0B9B">
      <w:pPr>
        <w:pStyle w:val="BCSParagraph"/>
      </w:pPr>
      <w:r>
        <w:t>Prior to the 2008/09 survey, we specified the meaning of the concepts and variables to be studied (conceptualisation), and then developed a series of operational measures (operationalisation) to be used within the research instruments. In 2009/10, these measures were revised in line with (a) feedback from the 2008/09 focus groups which represented both a local authority and wider ACL context, and (b) an online collaborative involving Becta, the McKinnon partnership and Sero.</w:t>
      </w:r>
    </w:p>
    <w:p w:rsidR="00291E20" w:rsidRDefault="00291E20" w:rsidP="000A0B9B">
      <w:pPr>
        <w:pStyle w:val="BCSParagraph"/>
      </w:pPr>
    </w:p>
    <w:p w:rsidR="00291E20" w:rsidRDefault="00291E20" w:rsidP="000A0B9B">
      <w:pPr>
        <w:pStyle w:val="BCSParagraph"/>
      </w:pPr>
      <w:r>
        <w:t>Upon revision,</w:t>
      </w:r>
      <w:r w:rsidRPr="000C5570">
        <w:t xml:space="preserve"> a provider (senior manager) survey a</w:t>
      </w:r>
      <w:r>
        <w:t xml:space="preserve">nd 10 practitioner surveys </w:t>
      </w:r>
      <w:r w:rsidRPr="000C5570">
        <w:t>were distributed to local authority senior managers</w:t>
      </w:r>
      <w:r>
        <w:t xml:space="preserve">.  </w:t>
      </w:r>
      <w:r w:rsidRPr="000C5570">
        <w:t xml:space="preserve">The documents </w:t>
      </w:r>
      <w:r w:rsidR="006069E7">
        <w:t>followed</w:t>
      </w:r>
      <w:r w:rsidRPr="000C5570">
        <w:t xml:space="preserve"> </w:t>
      </w:r>
      <w:r>
        <w:t xml:space="preserve">the 2008/09 format </w:t>
      </w:r>
      <w:r w:rsidR="006069E7">
        <w:t>although</w:t>
      </w:r>
      <w:r>
        <w:t xml:space="preserve">, in many cases, language has been altered and categories added to (a) better reflect terminology in use within the sector, and (b) to include more consideration of new and emerging technologies, particularly those with arguably higher levels of </w:t>
      </w:r>
      <w:r w:rsidR="006069E7">
        <w:t>recognition and use (</w:t>
      </w:r>
      <w:r>
        <w:t>ecological validity</w:t>
      </w:r>
      <w:r w:rsidR="006069E7">
        <w:t>)</w:t>
      </w:r>
      <w:r>
        <w:t xml:space="preserve"> amongst learners.  Primary </w:t>
      </w:r>
      <w:r>
        <w:lastRenderedPageBreak/>
        <w:t xml:space="preserve">alterations include a revision of language use across the </w:t>
      </w:r>
      <w:r w:rsidRPr="000C5570">
        <w:t xml:space="preserve">four-point </w:t>
      </w:r>
      <w:r>
        <w:t xml:space="preserve">e-Maturity </w:t>
      </w:r>
      <w:r w:rsidRPr="000C5570">
        <w:t>scales</w:t>
      </w:r>
      <w:r>
        <w:t>, which now use more sectorally-recognisable terms.  For example, the following scale has been abandoned;</w:t>
      </w:r>
    </w:p>
    <w:p w:rsidR="00291E20" w:rsidRDefault="00291E20" w:rsidP="000A0B9B">
      <w:pPr>
        <w:pStyle w:val="BCSParagraph"/>
      </w:pPr>
    </w:p>
    <w:p w:rsidR="00291E20" w:rsidRPr="008E2AE5" w:rsidRDefault="00291E20" w:rsidP="000A0B9B">
      <w:pPr>
        <w:pStyle w:val="BCSParagraph"/>
      </w:pPr>
      <w:r w:rsidRPr="008E2AE5">
        <w:rPr>
          <w:b/>
        </w:rPr>
        <w:t>Beginning;</w:t>
      </w:r>
      <w:r w:rsidRPr="008E2AE5">
        <w:t xml:space="preserve"> This is at the early stages of being implemented.</w:t>
      </w:r>
    </w:p>
    <w:p w:rsidR="00291E20" w:rsidRPr="008E2AE5" w:rsidRDefault="00291E20" w:rsidP="000A0B9B">
      <w:pPr>
        <w:pStyle w:val="BCSParagraph"/>
      </w:pPr>
      <w:r w:rsidRPr="008E2AE5">
        <w:rPr>
          <w:b/>
        </w:rPr>
        <w:t>Developing;</w:t>
      </w:r>
      <w:r w:rsidRPr="008E2AE5">
        <w:t xml:space="preserve"> This has been partly implemented but we are still working towards introducing it fully.</w:t>
      </w:r>
    </w:p>
    <w:p w:rsidR="00291E20" w:rsidRPr="008E2AE5" w:rsidRDefault="00291E20" w:rsidP="000A0B9B">
      <w:pPr>
        <w:pStyle w:val="BCSParagraph"/>
      </w:pPr>
      <w:r w:rsidRPr="008E2AE5">
        <w:rPr>
          <w:b/>
        </w:rPr>
        <w:t>Performing;</w:t>
      </w:r>
      <w:r w:rsidRPr="008E2AE5">
        <w:t xml:space="preserve"> This has been fully implemented.</w:t>
      </w:r>
    </w:p>
    <w:p w:rsidR="00291E20" w:rsidRPr="008E2AE5" w:rsidRDefault="00291E20" w:rsidP="000A0B9B">
      <w:pPr>
        <w:pStyle w:val="BCSParagraph"/>
      </w:pPr>
      <w:r w:rsidRPr="008E2AE5">
        <w:rPr>
          <w:b/>
        </w:rPr>
        <w:t>Pioneering;</w:t>
      </w:r>
      <w:r w:rsidRPr="008E2AE5">
        <w:t xml:space="preserve"> This has been fully implemented and has been highlighted by inspections/external agencies as an excellent achievement.</w:t>
      </w:r>
    </w:p>
    <w:p w:rsidR="00291E20" w:rsidRDefault="00291E20" w:rsidP="000A0B9B">
      <w:pPr>
        <w:pStyle w:val="BCSParagraph"/>
      </w:pPr>
      <w:r w:rsidRPr="008E2AE5">
        <w:rPr>
          <w:b/>
        </w:rPr>
        <w:t>Not applicable</w:t>
      </w:r>
      <w:r>
        <w:t>;</w:t>
      </w:r>
      <w:r w:rsidRPr="008E2AE5">
        <w:t xml:space="preserve"> at our organisation.</w:t>
      </w:r>
    </w:p>
    <w:p w:rsidR="00291E20" w:rsidRDefault="00291E20" w:rsidP="000A0B9B">
      <w:pPr>
        <w:pStyle w:val="BCSParagraph"/>
      </w:pPr>
    </w:p>
    <w:p w:rsidR="00291E20" w:rsidRDefault="00291E20" w:rsidP="000A0B9B">
      <w:pPr>
        <w:pStyle w:val="BCSParagraph"/>
      </w:pPr>
      <w:r>
        <w:t>To be replaced with a new scal</w:t>
      </w:r>
      <w:r w:rsidR="000A0B9B">
        <w:t>e and more detailed descriptors.</w:t>
      </w:r>
    </w:p>
    <w:p w:rsidR="00291E20" w:rsidRDefault="00291E20" w:rsidP="000A0B9B">
      <w:pPr>
        <w:pStyle w:val="BCSParagraph"/>
      </w:pPr>
    </w:p>
    <w:p w:rsidR="00291E20" w:rsidRDefault="00291E20" w:rsidP="000A0B9B">
      <w:pPr>
        <w:pStyle w:val="BCSParagraph"/>
      </w:pPr>
      <w:r w:rsidRPr="000C3EE7">
        <w:rPr>
          <w:b/>
        </w:rPr>
        <w:t>None;</w:t>
      </w:r>
      <w:r>
        <w:t xml:space="preserve"> this does not occur at our organisation</w:t>
      </w:r>
    </w:p>
    <w:p w:rsidR="00291E20" w:rsidRDefault="00291E20" w:rsidP="000A0B9B">
      <w:pPr>
        <w:pStyle w:val="BCSParagraph"/>
      </w:pPr>
      <w:r w:rsidRPr="000C3EE7">
        <w:rPr>
          <w:b/>
        </w:rPr>
        <w:t>Initiating;</w:t>
      </w:r>
      <w:r>
        <w:t xml:space="preserve"> only a small number of staff have the skills and knowledge to do this, but the majority need training and support to do this</w:t>
      </w:r>
    </w:p>
    <w:p w:rsidR="00291E20" w:rsidRDefault="00291E20" w:rsidP="000A0B9B">
      <w:pPr>
        <w:pStyle w:val="BCSParagraph"/>
      </w:pPr>
      <w:r w:rsidRPr="000C3EE7">
        <w:rPr>
          <w:b/>
        </w:rPr>
        <w:t>Implementing;</w:t>
      </w:r>
      <w:r>
        <w:t xml:space="preserve"> a large number of staff are able to do this, but there are a few who still need additional training and support to feel confident in using it.</w:t>
      </w:r>
    </w:p>
    <w:p w:rsidR="00291E20" w:rsidRDefault="00291E20" w:rsidP="000A0B9B">
      <w:pPr>
        <w:pStyle w:val="BCSParagraph"/>
      </w:pPr>
      <w:r w:rsidRPr="000C3EE7">
        <w:rPr>
          <w:b/>
        </w:rPr>
        <w:t>Embedding in Practice;</w:t>
      </w:r>
      <w:r>
        <w:t xml:space="preserve"> all of our staff are able to do this confidently</w:t>
      </w:r>
    </w:p>
    <w:p w:rsidR="00291E20" w:rsidRDefault="00291E20" w:rsidP="000A0B9B">
      <w:pPr>
        <w:pStyle w:val="BCSParagraph"/>
      </w:pPr>
      <w:r w:rsidRPr="000C3EE7">
        <w:rPr>
          <w:b/>
        </w:rPr>
        <w:t>Developing new uses;</w:t>
      </w:r>
      <w:r>
        <w:t xml:space="preserve"> Practice in this area is embedded, our organisation has been highlighted by external agencies/ inspections as excellent in this area, and staff regularly seeks new ways of using technology in support of learning.</w:t>
      </w:r>
    </w:p>
    <w:p w:rsidR="00291E20" w:rsidRDefault="00291E20" w:rsidP="000A0B9B">
      <w:pPr>
        <w:pStyle w:val="BCSParagraph"/>
      </w:pPr>
    </w:p>
    <w:p w:rsidR="00291E20" w:rsidRPr="00775CB9" w:rsidRDefault="00291E20" w:rsidP="000A0B9B">
      <w:pPr>
        <w:pStyle w:val="Heading2"/>
      </w:pPr>
      <w:r>
        <w:t>R</w:t>
      </w:r>
      <w:r w:rsidRPr="00775CB9">
        <w:t>esponse:</w:t>
      </w:r>
    </w:p>
    <w:p w:rsidR="00291E20" w:rsidRDefault="00291E20" w:rsidP="000A0B9B">
      <w:pPr>
        <w:pStyle w:val="BCSParagraph"/>
      </w:pPr>
      <w:r>
        <w:t xml:space="preserve">In 2009/10, to enhance the likelihood of achieving both a higher return and a fuller response in terms of reduced missing values, </w:t>
      </w:r>
      <w:r w:rsidR="00DC1999">
        <w:t>the survey was linked to a NIACE</w:t>
      </w:r>
      <w:r>
        <w:t xml:space="preserve">/LSC capital funding stream for e-learning (CaMeL); the survey was distributed alongside the capital application form and was a condition of application.  Subsequently, a </w:t>
      </w:r>
      <w:r>
        <w:lastRenderedPageBreak/>
        <w:t>considerably higher response was achieved from local authorities; in 2008/09 the survey represented returns from 65 (43%) local authorities at a senior manager level.  By comparison, 2009/10 saw a 74% return (111 local authorities), including representation of a b</w:t>
      </w:r>
      <w:r w:rsidR="000A0B9B">
        <w:t>roa</w:t>
      </w:r>
      <w:r>
        <w:t xml:space="preserve">der range of skills and competencies from across the sub-sector.  </w:t>
      </w:r>
    </w:p>
    <w:p w:rsidR="00291E20" w:rsidRDefault="00291E20" w:rsidP="00291E20">
      <w:pPr>
        <w:contextualSpacing/>
      </w:pPr>
    </w:p>
    <w:p w:rsidR="00291E20" w:rsidRDefault="00291E20" w:rsidP="000A0B9B">
      <w:pPr>
        <w:pStyle w:val="BCSParagraph"/>
      </w:pPr>
      <w:r>
        <w:t xml:space="preserve">Equally, practitioner response was considerably greater than in 2008/09.  Whilst in 2008/09, 95 practitioners responded to the survey, in 2009/10 273 practitioners responded.  In addition, the 2008/09 survey showed a distinct difference in the skill levels and use of technology between E-guides and non E-guides; E-guides were both more skilled and made greater use of technology.  Therefore, in 2009/10, the majority of questions have been analysed across the two cohorts, though this should be noted in light of the proportionately larger non E-guide cohort; 86 E-guides and 181 non E-guides.  </w:t>
      </w:r>
    </w:p>
    <w:p w:rsidR="00291E20" w:rsidRDefault="000A0B9B" w:rsidP="000A0B9B">
      <w:pPr>
        <w:pStyle w:val="BCSParagraph"/>
      </w:pPr>
      <w:r>
        <w:tab/>
      </w:r>
    </w:p>
    <w:p w:rsidR="00291E20" w:rsidRPr="0034184F" w:rsidRDefault="00291E20" w:rsidP="000A0B9B">
      <w:pPr>
        <w:pStyle w:val="Heading2"/>
      </w:pPr>
      <w:r w:rsidRPr="0034184F">
        <w:t>Limitations:</w:t>
      </w:r>
    </w:p>
    <w:p w:rsidR="006F3DEB" w:rsidRDefault="00291E20" w:rsidP="006F3DEB">
      <w:pPr>
        <w:pStyle w:val="BCSParagraph"/>
      </w:pPr>
      <w:r>
        <w:t>In order to ensure each response was unique (to avoid double counting within provision), organisations were asked to submit their UPIN number; a unique identifier of LSC-funded organisations.  This means that, necessarily, response comes sole</w:t>
      </w:r>
      <w:r w:rsidR="000A0B9B">
        <w:t>ly from those organisations curr</w:t>
      </w:r>
      <w:r>
        <w:t>ently in receipt of LSC funding.</w:t>
      </w:r>
      <w:bookmarkStart w:id="4" w:name="_Toc257276003"/>
    </w:p>
    <w:p w:rsidR="00291E20" w:rsidRPr="006F3DEB" w:rsidRDefault="00291E20" w:rsidP="006F3DEB">
      <w:pPr>
        <w:pStyle w:val="Heading1"/>
      </w:pPr>
      <w:r w:rsidRPr="006F3DEB">
        <w:rPr>
          <w:rFonts w:eastAsia="Calibri"/>
        </w:rPr>
        <w:t>Statistical Report</w:t>
      </w:r>
      <w:bookmarkEnd w:id="4"/>
    </w:p>
    <w:p w:rsidR="00291E20" w:rsidRPr="00241565" w:rsidRDefault="00291E20" w:rsidP="006F3DEB">
      <w:pPr>
        <w:pStyle w:val="BCSParagraph"/>
      </w:pPr>
      <w:r w:rsidRPr="00241565">
        <w:t xml:space="preserve">The following section comprises a summary and analysis of the ACL provider (senior manager) and practitioner surveys 2009/10.  The data from each cohort is grouped along broadly similar thematic categories in order to facilitate comparison with both the surveys from the previous year (2008/09), and the wider cross-sectoral surveys 2009/10. </w:t>
      </w:r>
    </w:p>
    <w:p w:rsidR="00291E20" w:rsidRPr="00117B5E" w:rsidRDefault="00291E20" w:rsidP="006F3DEB">
      <w:pPr>
        <w:pStyle w:val="Heading2"/>
      </w:pPr>
      <w:bookmarkStart w:id="5" w:name="_Toc257276004"/>
      <w:r w:rsidRPr="00117B5E">
        <w:t xml:space="preserve">ACL </w:t>
      </w:r>
      <w:r>
        <w:t>Senior Managers</w:t>
      </w:r>
      <w:bookmarkEnd w:id="5"/>
    </w:p>
    <w:p w:rsidR="00291E20" w:rsidRPr="00241565" w:rsidRDefault="00291E20" w:rsidP="006F3DEB">
      <w:pPr>
        <w:pStyle w:val="BCSParagraph"/>
      </w:pPr>
      <w:r>
        <w:t>Of the 200 provider senior managers</w:t>
      </w:r>
      <w:r w:rsidRPr="00241565">
        <w:t xml:space="preserve"> responding to the survey, 111 responded on behalf of local authority provision (LAs), whilst 89 have been classified as Voluntary and Community Sector (VCS).  This latter group also includes 8 of the 9 regional Workers Educational Associations (WEAs).  Of the 111 LAs, it should be noted that 6 respondents represented the </w:t>
      </w:r>
      <w:r w:rsidRPr="00241565">
        <w:rPr>
          <w:i/>
        </w:rPr>
        <w:t>majority</w:t>
      </w:r>
      <w:r w:rsidRPr="00241565">
        <w:t xml:space="preserve"> proportion of contracted-out provision</w:t>
      </w:r>
      <w:r w:rsidRPr="00241565">
        <w:rPr>
          <w:rStyle w:val="FootnoteReference"/>
        </w:rPr>
        <w:footnoteReference w:id="4"/>
      </w:r>
      <w:r w:rsidRPr="00241565">
        <w:t xml:space="preserve">, sufficient to be representative in respect of the authorities in question, though not the entirety of provision each case.  </w:t>
      </w:r>
    </w:p>
    <w:p w:rsidR="00291E20" w:rsidRPr="006F3DEB" w:rsidRDefault="00291E20" w:rsidP="006F3DEB">
      <w:pPr>
        <w:pStyle w:val="Heading3"/>
      </w:pPr>
      <w:bookmarkStart w:id="6" w:name="_Toc257276005"/>
      <w:r w:rsidRPr="006F3DEB">
        <w:lastRenderedPageBreak/>
        <w:t>You and your Organisation</w:t>
      </w:r>
      <w:bookmarkEnd w:id="6"/>
    </w:p>
    <w:p w:rsidR="00291E20" w:rsidRPr="00241565" w:rsidRDefault="00291E20" w:rsidP="006F3DEB">
      <w:pPr>
        <w:pStyle w:val="BCSParagraph"/>
      </w:pPr>
      <w:r w:rsidRPr="00241565">
        <w:t>The following section of the survey was intended to define ACL through a profile of characteristics including regional distribution, profile of funding, type of learning venues and an analysis of delivery staff by contracted hours.</w:t>
      </w:r>
    </w:p>
    <w:p w:rsidR="00291E20" w:rsidRPr="00241565" w:rsidRDefault="00291E20" w:rsidP="006F3DEB">
      <w:pPr>
        <w:pStyle w:val="BCSParagraph"/>
      </w:pPr>
    </w:p>
    <w:p w:rsidR="00291E20" w:rsidRDefault="00291E20" w:rsidP="006F3DEB">
      <w:pPr>
        <w:pStyle w:val="BCSParagraph"/>
      </w:pPr>
      <w:r w:rsidRPr="00241565">
        <w:t>Overall, each region w</w:t>
      </w:r>
      <w:r w:rsidR="00DC1999">
        <w:t>as represented</w:t>
      </w:r>
      <w:r>
        <w:t xml:space="preserve"> (</w:t>
      </w:r>
      <w:hyperlink w:anchor="_Table_1:_Regional" w:history="1">
        <w:r w:rsidRPr="00D20B2C">
          <w:rPr>
            <w:rStyle w:val="Hyperlink"/>
          </w:rPr>
          <w:t>table 1</w:t>
        </w:r>
      </w:hyperlink>
      <w:r>
        <w:t>), the South Ea</w:t>
      </w:r>
      <w:r w:rsidR="00DC1999">
        <w:t>st being best represented (89%), followed by London (82%), the East Midlands (78</w:t>
      </w:r>
      <w:r>
        <w:t>%), and the North East and South West (75%, in each case).</w:t>
      </w:r>
    </w:p>
    <w:p w:rsidR="00291E20" w:rsidRDefault="00291E20" w:rsidP="00291E20">
      <w:pPr>
        <w:contextualSpacing/>
      </w:pPr>
    </w:p>
    <w:p w:rsidR="00291E20" w:rsidRPr="00080AD8" w:rsidRDefault="00291E20" w:rsidP="006F3DEB">
      <w:pPr>
        <w:pStyle w:val="BCSTableheadings"/>
        <w:rPr>
          <w:i/>
        </w:rPr>
      </w:pPr>
      <w:bookmarkStart w:id="7" w:name="_Table_1:_Regional"/>
      <w:bookmarkStart w:id="8" w:name="_Toc256332138"/>
      <w:bookmarkEnd w:id="7"/>
      <w:r w:rsidRPr="00080AD8">
        <w:t>Table 1: Regional representation of response</w:t>
      </w:r>
      <w:bookmarkEnd w:id="8"/>
      <w:r w:rsidRPr="00080AD8">
        <w:t xml:space="preserve"> </w:t>
      </w:r>
    </w:p>
    <w:tbl>
      <w:tblPr>
        <w:tblW w:w="7170" w:type="dxa"/>
        <w:tblInd w:w="93"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tblPr>
      <w:tblGrid>
        <w:gridCol w:w="2709"/>
        <w:gridCol w:w="1417"/>
        <w:gridCol w:w="1418"/>
        <w:gridCol w:w="1672"/>
      </w:tblGrid>
      <w:tr w:rsidR="00291E20" w:rsidRPr="009278F9" w:rsidTr="00291E20">
        <w:trPr>
          <w:trHeight w:val="300"/>
        </w:trPr>
        <w:tc>
          <w:tcPr>
            <w:tcW w:w="2709" w:type="dxa"/>
            <w:shd w:val="clear" w:color="auto" w:fill="76923C"/>
            <w:noWrap/>
            <w:vAlign w:val="bottom"/>
            <w:hideMark/>
          </w:tcPr>
          <w:p w:rsidR="00291E20" w:rsidRPr="009278F9" w:rsidRDefault="00291E20" w:rsidP="00291E20">
            <w:pPr>
              <w:rPr>
                <w:b/>
                <w:color w:val="000000"/>
              </w:rPr>
            </w:pPr>
            <w:r w:rsidRPr="009278F9">
              <w:rPr>
                <w:b/>
                <w:color w:val="000000"/>
              </w:rPr>
              <w:t>Region</w:t>
            </w:r>
          </w:p>
        </w:tc>
        <w:tc>
          <w:tcPr>
            <w:tcW w:w="1417" w:type="dxa"/>
            <w:shd w:val="clear" w:color="auto" w:fill="76923C"/>
            <w:noWrap/>
            <w:vAlign w:val="bottom"/>
            <w:hideMark/>
          </w:tcPr>
          <w:p w:rsidR="00291E20" w:rsidRPr="009278F9" w:rsidRDefault="00291E20" w:rsidP="00291E20">
            <w:pPr>
              <w:rPr>
                <w:b/>
                <w:color w:val="000000"/>
              </w:rPr>
            </w:pPr>
            <w:r w:rsidRPr="009278F9">
              <w:rPr>
                <w:b/>
                <w:color w:val="000000"/>
              </w:rPr>
              <w:t>Total L</w:t>
            </w:r>
            <w:r w:rsidR="00DC1999" w:rsidRPr="009278F9">
              <w:rPr>
                <w:b/>
                <w:color w:val="000000"/>
              </w:rPr>
              <w:t>a</w:t>
            </w:r>
            <w:r w:rsidRPr="009278F9">
              <w:rPr>
                <w:b/>
                <w:color w:val="000000"/>
              </w:rPr>
              <w:t>s</w:t>
            </w:r>
          </w:p>
        </w:tc>
        <w:tc>
          <w:tcPr>
            <w:tcW w:w="1418" w:type="dxa"/>
            <w:shd w:val="clear" w:color="auto" w:fill="76923C"/>
            <w:noWrap/>
            <w:vAlign w:val="bottom"/>
            <w:hideMark/>
          </w:tcPr>
          <w:p w:rsidR="00291E20" w:rsidRPr="009278F9" w:rsidRDefault="00291E20" w:rsidP="00291E20">
            <w:pPr>
              <w:rPr>
                <w:b/>
                <w:color w:val="000000"/>
              </w:rPr>
            </w:pPr>
            <w:r w:rsidRPr="009278F9">
              <w:rPr>
                <w:b/>
                <w:color w:val="000000"/>
              </w:rPr>
              <w:t>Response</w:t>
            </w:r>
          </w:p>
        </w:tc>
        <w:tc>
          <w:tcPr>
            <w:tcW w:w="1626" w:type="dxa"/>
            <w:shd w:val="clear" w:color="auto" w:fill="76923C"/>
            <w:noWrap/>
            <w:vAlign w:val="bottom"/>
            <w:hideMark/>
          </w:tcPr>
          <w:p w:rsidR="00291E20" w:rsidRPr="009278F9" w:rsidRDefault="00291E20" w:rsidP="00291E20">
            <w:pPr>
              <w:rPr>
                <w:b/>
                <w:color w:val="000000"/>
              </w:rPr>
            </w:pPr>
            <w:r>
              <w:rPr>
                <w:b/>
                <w:color w:val="000000"/>
              </w:rPr>
              <w:t>Representation</w:t>
            </w:r>
          </w:p>
        </w:tc>
      </w:tr>
      <w:tr w:rsidR="00291E20" w:rsidRPr="009278F9" w:rsidTr="00291E20">
        <w:trPr>
          <w:trHeight w:val="300"/>
        </w:trPr>
        <w:tc>
          <w:tcPr>
            <w:tcW w:w="2709" w:type="dxa"/>
            <w:shd w:val="clear" w:color="auto" w:fill="auto"/>
            <w:noWrap/>
            <w:vAlign w:val="bottom"/>
            <w:hideMark/>
          </w:tcPr>
          <w:p w:rsidR="00291E20" w:rsidRPr="009278F9" w:rsidRDefault="00291E20" w:rsidP="006F3DEB">
            <w:pPr>
              <w:pStyle w:val="BCSTabletext"/>
            </w:pPr>
            <w:r w:rsidRPr="009278F9">
              <w:t>East</w:t>
            </w:r>
          </w:p>
        </w:tc>
        <w:tc>
          <w:tcPr>
            <w:tcW w:w="1417" w:type="dxa"/>
            <w:shd w:val="clear" w:color="auto" w:fill="auto"/>
            <w:noWrap/>
            <w:vAlign w:val="bottom"/>
            <w:hideMark/>
          </w:tcPr>
          <w:p w:rsidR="00291E20" w:rsidRPr="009278F9" w:rsidRDefault="00291E20" w:rsidP="006F3DEB">
            <w:pPr>
              <w:pStyle w:val="BCSTabletext"/>
            </w:pPr>
            <w:r w:rsidRPr="009278F9">
              <w:t>10</w:t>
            </w:r>
          </w:p>
        </w:tc>
        <w:tc>
          <w:tcPr>
            <w:tcW w:w="1418" w:type="dxa"/>
            <w:shd w:val="clear" w:color="auto" w:fill="auto"/>
            <w:vAlign w:val="bottom"/>
            <w:hideMark/>
          </w:tcPr>
          <w:p w:rsidR="00291E20" w:rsidRPr="009278F9" w:rsidRDefault="00291E20" w:rsidP="006F3DEB">
            <w:pPr>
              <w:pStyle w:val="BCSTabletext"/>
            </w:pPr>
            <w:r w:rsidRPr="009278F9">
              <w:t>7</w:t>
            </w:r>
          </w:p>
        </w:tc>
        <w:tc>
          <w:tcPr>
            <w:tcW w:w="1626" w:type="dxa"/>
            <w:shd w:val="clear" w:color="auto" w:fill="auto"/>
            <w:noWrap/>
            <w:vAlign w:val="bottom"/>
            <w:hideMark/>
          </w:tcPr>
          <w:p w:rsidR="00291E20" w:rsidRPr="009278F9" w:rsidRDefault="00DC1999" w:rsidP="00DC1999">
            <w:pPr>
              <w:pStyle w:val="BCSTabletext"/>
              <w:jc w:val="center"/>
            </w:pPr>
            <w:r>
              <w:t>70</w:t>
            </w:r>
            <w:r w:rsidR="00291E20" w:rsidRPr="009278F9">
              <w:t>%</w:t>
            </w:r>
          </w:p>
        </w:tc>
      </w:tr>
      <w:tr w:rsidR="00291E20" w:rsidRPr="009278F9" w:rsidTr="00291E20">
        <w:trPr>
          <w:trHeight w:val="300"/>
        </w:trPr>
        <w:tc>
          <w:tcPr>
            <w:tcW w:w="2709" w:type="dxa"/>
            <w:shd w:val="clear" w:color="auto" w:fill="auto"/>
            <w:noWrap/>
            <w:vAlign w:val="bottom"/>
            <w:hideMark/>
          </w:tcPr>
          <w:p w:rsidR="00291E20" w:rsidRPr="009278F9" w:rsidRDefault="00291E20" w:rsidP="006F3DEB">
            <w:pPr>
              <w:pStyle w:val="BCSTabletext"/>
            </w:pPr>
            <w:r w:rsidRPr="009278F9">
              <w:t>East Mid</w:t>
            </w:r>
            <w:r>
              <w:t>lands</w:t>
            </w:r>
          </w:p>
        </w:tc>
        <w:tc>
          <w:tcPr>
            <w:tcW w:w="1417" w:type="dxa"/>
            <w:shd w:val="clear" w:color="auto" w:fill="auto"/>
            <w:noWrap/>
            <w:vAlign w:val="bottom"/>
            <w:hideMark/>
          </w:tcPr>
          <w:p w:rsidR="00291E20" w:rsidRPr="009278F9" w:rsidRDefault="00291E20" w:rsidP="006F3DEB">
            <w:pPr>
              <w:pStyle w:val="BCSTabletext"/>
            </w:pPr>
            <w:r w:rsidRPr="009278F9">
              <w:t>9</w:t>
            </w:r>
          </w:p>
        </w:tc>
        <w:tc>
          <w:tcPr>
            <w:tcW w:w="1418" w:type="dxa"/>
            <w:shd w:val="clear" w:color="auto" w:fill="auto"/>
            <w:vAlign w:val="bottom"/>
            <w:hideMark/>
          </w:tcPr>
          <w:p w:rsidR="00291E20" w:rsidRPr="009278F9" w:rsidRDefault="00291E20" w:rsidP="006F3DEB">
            <w:pPr>
              <w:pStyle w:val="BCSTabletext"/>
            </w:pPr>
            <w:r w:rsidRPr="009278F9">
              <w:t>7</w:t>
            </w:r>
          </w:p>
        </w:tc>
        <w:tc>
          <w:tcPr>
            <w:tcW w:w="1626" w:type="dxa"/>
            <w:shd w:val="clear" w:color="auto" w:fill="auto"/>
            <w:noWrap/>
            <w:vAlign w:val="bottom"/>
            <w:hideMark/>
          </w:tcPr>
          <w:p w:rsidR="00291E20" w:rsidRPr="009278F9" w:rsidRDefault="00DC1999" w:rsidP="00DC1999">
            <w:pPr>
              <w:pStyle w:val="BCSTabletext"/>
              <w:jc w:val="center"/>
            </w:pPr>
            <w:r>
              <w:t>78</w:t>
            </w:r>
            <w:r w:rsidR="00291E20" w:rsidRPr="009278F9">
              <w:t>%</w:t>
            </w:r>
          </w:p>
        </w:tc>
      </w:tr>
      <w:tr w:rsidR="00291E20" w:rsidRPr="009278F9" w:rsidTr="00291E20">
        <w:trPr>
          <w:trHeight w:val="300"/>
        </w:trPr>
        <w:tc>
          <w:tcPr>
            <w:tcW w:w="2709" w:type="dxa"/>
            <w:shd w:val="clear" w:color="auto" w:fill="auto"/>
            <w:noWrap/>
            <w:vAlign w:val="bottom"/>
            <w:hideMark/>
          </w:tcPr>
          <w:p w:rsidR="00291E20" w:rsidRPr="009278F9" w:rsidRDefault="00291E20" w:rsidP="006F3DEB">
            <w:pPr>
              <w:pStyle w:val="BCSTabletext"/>
            </w:pPr>
            <w:r w:rsidRPr="009278F9">
              <w:t>London</w:t>
            </w:r>
          </w:p>
        </w:tc>
        <w:tc>
          <w:tcPr>
            <w:tcW w:w="1417" w:type="dxa"/>
            <w:shd w:val="clear" w:color="auto" w:fill="auto"/>
            <w:noWrap/>
            <w:vAlign w:val="bottom"/>
            <w:hideMark/>
          </w:tcPr>
          <w:p w:rsidR="00291E20" w:rsidRPr="009278F9" w:rsidRDefault="00291E20" w:rsidP="006F3DEB">
            <w:pPr>
              <w:pStyle w:val="BCSTabletext"/>
            </w:pPr>
            <w:r w:rsidRPr="009278F9">
              <w:t>33</w:t>
            </w:r>
          </w:p>
        </w:tc>
        <w:tc>
          <w:tcPr>
            <w:tcW w:w="1418" w:type="dxa"/>
            <w:shd w:val="clear" w:color="auto" w:fill="auto"/>
            <w:vAlign w:val="bottom"/>
            <w:hideMark/>
          </w:tcPr>
          <w:p w:rsidR="00291E20" w:rsidRPr="009278F9" w:rsidRDefault="00291E20" w:rsidP="006F3DEB">
            <w:pPr>
              <w:pStyle w:val="BCSTabletext"/>
            </w:pPr>
            <w:r w:rsidRPr="009278F9">
              <w:t>27</w:t>
            </w:r>
          </w:p>
        </w:tc>
        <w:tc>
          <w:tcPr>
            <w:tcW w:w="1626" w:type="dxa"/>
            <w:shd w:val="clear" w:color="auto" w:fill="auto"/>
            <w:noWrap/>
            <w:vAlign w:val="bottom"/>
            <w:hideMark/>
          </w:tcPr>
          <w:p w:rsidR="00291E20" w:rsidRPr="009278F9" w:rsidRDefault="00DC1999" w:rsidP="00DC1999">
            <w:pPr>
              <w:pStyle w:val="BCSTabletext"/>
              <w:jc w:val="center"/>
            </w:pPr>
            <w:r>
              <w:t>82</w:t>
            </w:r>
            <w:r w:rsidR="00291E20" w:rsidRPr="009278F9">
              <w:t>%</w:t>
            </w:r>
          </w:p>
        </w:tc>
      </w:tr>
      <w:tr w:rsidR="00291E20" w:rsidRPr="009278F9" w:rsidTr="00291E20">
        <w:trPr>
          <w:trHeight w:val="300"/>
        </w:trPr>
        <w:tc>
          <w:tcPr>
            <w:tcW w:w="2709" w:type="dxa"/>
            <w:shd w:val="clear" w:color="auto" w:fill="auto"/>
            <w:noWrap/>
            <w:vAlign w:val="bottom"/>
            <w:hideMark/>
          </w:tcPr>
          <w:p w:rsidR="00291E20" w:rsidRPr="009278F9" w:rsidRDefault="00291E20" w:rsidP="006F3DEB">
            <w:pPr>
              <w:pStyle w:val="BCSTabletext"/>
            </w:pPr>
            <w:r w:rsidRPr="009278F9">
              <w:t>North East</w:t>
            </w:r>
          </w:p>
        </w:tc>
        <w:tc>
          <w:tcPr>
            <w:tcW w:w="1417" w:type="dxa"/>
            <w:shd w:val="clear" w:color="auto" w:fill="auto"/>
            <w:noWrap/>
            <w:vAlign w:val="bottom"/>
            <w:hideMark/>
          </w:tcPr>
          <w:p w:rsidR="00291E20" w:rsidRPr="009278F9" w:rsidRDefault="00291E20" w:rsidP="006F3DEB">
            <w:pPr>
              <w:pStyle w:val="BCSTabletext"/>
            </w:pPr>
            <w:r w:rsidRPr="009278F9">
              <w:t>12</w:t>
            </w:r>
          </w:p>
        </w:tc>
        <w:tc>
          <w:tcPr>
            <w:tcW w:w="1418" w:type="dxa"/>
            <w:shd w:val="clear" w:color="auto" w:fill="auto"/>
            <w:vAlign w:val="bottom"/>
            <w:hideMark/>
          </w:tcPr>
          <w:p w:rsidR="00291E20" w:rsidRPr="009278F9" w:rsidRDefault="00291E20" w:rsidP="006F3DEB">
            <w:pPr>
              <w:pStyle w:val="BCSTabletext"/>
            </w:pPr>
            <w:r w:rsidRPr="009278F9">
              <w:t>9</w:t>
            </w:r>
          </w:p>
        </w:tc>
        <w:tc>
          <w:tcPr>
            <w:tcW w:w="1626" w:type="dxa"/>
            <w:shd w:val="clear" w:color="auto" w:fill="auto"/>
            <w:noWrap/>
            <w:vAlign w:val="bottom"/>
            <w:hideMark/>
          </w:tcPr>
          <w:p w:rsidR="00291E20" w:rsidRPr="009278F9" w:rsidRDefault="00291E20" w:rsidP="00DC1999">
            <w:pPr>
              <w:pStyle w:val="BCSTabletext"/>
              <w:jc w:val="center"/>
            </w:pPr>
            <w:r w:rsidRPr="009278F9">
              <w:t>75%</w:t>
            </w:r>
          </w:p>
        </w:tc>
      </w:tr>
      <w:tr w:rsidR="00291E20" w:rsidRPr="009278F9" w:rsidTr="00291E20">
        <w:trPr>
          <w:trHeight w:val="300"/>
        </w:trPr>
        <w:tc>
          <w:tcPr>
            <w:tcW w:w="2709" w:type="dxa"/>
            <w:shd w:val="clear" w:color="auto" w:fill="auto"/>
            <w:noWrap/>
            <w:vAlign w:val="bottom"/>
            <w:hideMark/>
          </w:tcPr>
          <w:p w:rsidR="00291E20" w:rsidRPr="009278F9" w:rsidRDefault="00291E20" w:rsidP="006F3DEB">
            <w:pPr>
              <w:pStyle w:val="BCSTabletext"/>
            </w:pPr>
            <w:r w:rsidRPr="009278F9">
              <w:t>North West</w:t>
            </w:r>
          </w:p>
        </w:tc>
        <w:tc>
          <w:tcPr>
            <w:tcW w:w="1417" w:type="dxa"/>
            <w:shd w:val="clear" w:color="auto" w:fill="auto"/>
            <w:noWrap/>
            <w:vAlign w:val="bottom"/>
            <w:hideMark/>
          </w:tcPr>
          <w:p w:rsidR="00291E20" w:rsidRPr="009278F9" w:rsidRDefault="00291E20" w:rsidP="006F3DEB">
            <w:pPr>
              <w:pStyle w:val="BCSTabletext"/>
            </w:pPr>
            <w:r w:rsidRPr="009278F9">
              <w:t>22</w:t>
            </w:r>
          </w:p>
        </w:tc>
        <w:tc>
          <w:tcPr>
            <w:tcW w:w="1418" w:type="dxa"/>
            <w:shd w:val="clear" w:color="auto" w:fill="auto"/>
            <w:vAlign w:val="bottom"/>
            <w:hideMark/>
          </w:tcPr>
          <w:p w:rsidR="00291E20" w:rsidRPr="009278F9" w:rsidRDefault="00291E20" w:rsidP="006F3DEB">
            <w:pPr>
              <w:pStyle w:val="BCSTabletext"/>
            </w:pPr>
            <w:r w:rsidRPr="009278F9">
              <w:t>14</w:t>
            </w:r>
          </w:p>
        </w:tc>
        <w:tc>
          <w:tcPr>
            <w:tcW w:w="1626" w:type="dxa"/>
            <w:shd w:val="clear" w:color="auto" w:fill="auto"/>
            <w:noWrap/>
            <w:vAlign w:val="bottom"/>
            <w:hideMark/>
          </w:tcPr>
          <w:p w:rsidR="00291E20" w:rsidRPr="009278F9" w:rsidRDefault="00DC1999" w:rsidP="00DC1999">
            <w:pPr>
              <w:pStyle w:val="BCSTabletext"/>
              <w:jc w:val="center"/>
            </w:pPr>
            <w:r>
              <w:t>64</w:t>
            </w:r>
            <w:r w:rsidR="00291E20" w:rsidRPr="009278F9">
              <w:t>%</w:t>
            </w:r>
          </w:p>
        </w:tc>
      </w:tr>
      <w:tr w:rsidR="00291E20" w:rsidRPr="009278F9" w:rsidTr="00291E20">
        <w:trPr>
          <w:trHeight w:val="300"/>
        </w:trPr>
        <w:tc>
          <w:tcPr>
            <w:tcW w:w="2709" w:type="dxa"/>
            <w:shd w:val="clear" w:color="auto" w:fill="auto"/>
            <w:noWrap/>
            <w:vAlign w:val="bottom"/>
            <w:hideMark/>
          </w:tcPr>
          <w:p w:rsidR="00291E20" w:rsidRPr="009278F9" w:rsidRDefault="00291E20" w:rsidP="006F3DEB">
            <w:pPr>
              <w:pStyle w:val="BCSTabletext"/>
            </w:pPr>
            <w:r w:rsidRPr="009278F9">
              <w:t>South East</w:t>
            </w:r>
          </w:p>
        </w:tc>
        <w:tc>
          <w:tcPr>
            <w:tcW w:w="1417" w:type="dxa"/>
            <w:shd w:val="clear" w:color="auto" w:fill="auto"/>
            <w:noWrap/>
            <w:vAlign w:val="bottom"/>
            <w:hideMark/>
          </w:tcPr>
          <w:p w:rsidR="00291E20" w:rsidRPr="009278F9" w:rsidRDefault="00291E20" w:rsidP="006F3DEB">
            <w:pPr>
              <w:pStyle w:val="BCSTabletext"/>
            </w:pPr>
            <w:r w:rsidRPr="009278F9">
              <w:t>19</w:t>
            </w:r>
          </w:p>
        </w:tc>
        <w:tc>
          <w:tcPr>
            <w:tcW w:w="1418" w:type="dxa"/>
            <w:shd w:val="clear" w:color="auto" w:fill="auto"/>
            <w:vAlign w:val="bottom"/>
            <w:hideMark/>
          </w:tcPr>
          <w:p w:rsidR="00291E20" w:rsidRPr="009278F9" w:rsidRDefault="00291E20" w:rsidP="006F3DEB">
            <w:pPr>
              <w:pStyle w:val="BCSTabletext"/>
            </w:pPr>
            <w:r w:rsidRPr="009278F9">
              <w:t>17</w:t>
            </w:r>
          </w:p>
        </w:tc>
        <w:tc>
          <w:tcPr>
            <w:tcW w:w="1626" w:type="dxa"/>
            <w:shd w:val="clear" w:color="auto" w:fill="auto"/>
            <w:noWrap/>
            <w:vAlign w:val="bottom"/>
            <w:hideMark/>
          </w:tcPr>
          <w:p w:rsidR="00291E20" w:rsidRPr="009278F9" w:rsidRDefault="00DC1999" w:rsidP="00DC1999">
            <w:pPr>
              <w:pStyle w:val="BCSTabletext"/>
              <w:jc w:val="center"/>
            </w:pPr>
            <w:r>
              <w:t>89</w:t>
            </w:r>
            <w:r w:rsidR="00291E20" w:rsidRPr="009278F9">
              <w:t>%</w:t>
            </w:r>
          </w:p>
        </w:tc>
      </w:tr>
      <w:tr w:rsidR="00291E20" w:rsidRPr="009278F9" w:rsidTr="00291E20">
        <w:trPr>
          <w:trHeight w:val="300"/>
        </w:trPr>
        <w:tc>
          <w:tcPr>
            <w:tcW w:w="2709" w:type="dxa"/>
            <w:shd w:val="clear" w:color="auto" w:fill="auto"/>
            <w:noWrap/>
            <w:vAlign w:val="bottom"/>
            <w:hideMark/>
          </w:tcPr>
          <w:p w:rsidR="00291E20" w:rsidRPr="009278F9" w:rsidRDefault="00291E20" w:rsidP="006F3DEB">
            <w:pPr>
              <w:pStyle w:val="BCSTabletext"/>
            </w:pPr>
            <w:r w:rsidRPr="009278F9">
              <w:t>South West</w:t>
            </w:r>
          </w:p>
        </w:tc>
        <w:tc>
          <w:tcPr>
            <w:tcW w:w="1417" w:type="dxa"/>
            <w:shd w:val="clear" w:color="auto" w:fill="auto"/>
            <w:noWrap/>
            <w:vAlign w:val="bottom"/>
            <w:hideMark/>
          </w:tcPr>
          <w:p w:rsidR="00291E20" w:rsidRPr="009278F9" w:rsidRDefault="00291E20" w:rsidP="006F3DEB">
            <w:pPr>
              <w:pStyle w:val="BCSTabletext"/>
            </w:pPr>
            <w:r w:rsidRPr="009278F9">
              <w:t>16</w:t>
            </w:r>
          </w:p>
        </w:tc>
        <w:tc>
          <w:tcPr>
            <w:tcW w:w="1418" w:type="dxa"/>
            <w:shd w:val="clear" w:color="auto" w:fill="auto"/>
            <w:vAlign w:val="bottom"/>
            <w:hideMark/>
          </w:tcPr>
          <w:p w:rsidR="00291E20" w:rsidRPr="009278F9" w:rsidRDefault="00291E20" w:rsidP="006F3DEB">
            <w:pPr>
              <w:pStyle w:val="BCSTabletext"/>
            </w:pPr>
            <w:r w:rsidRPr="009278F9">
              <w:t>12</w:t>
            </w:r>
          </w:p>
        </w:tc>
        <w:tc>
          <w:tcPr>
            <w:tcW w:w="1626" w:type="dxa"/>
            <w:shd w:val="clear" w:color="auto" w:fill="auto"/>
            <w:noWrap/>
            <w:vAlign w:val="bottom"/>
            <w:hideMark/>
          </w:tcPr>
          <w:p w:rsidR="00291E20" w:rsidRPr="009278F9" w:rsidRDefault="00DC1999" w:rsidP="00DC1999">
            <w:pPr>
              <w:pStyle w:val="BCSTabletext"/>
              <w:jc w:val="center"/>
            </w:pPr>
            <w:r>
              <w:t>75</w:t>
            </w:r>
            <w:r w:rsidR="00291E20" w:rsidRPr="009278F9">
              <w:t>%</w:t>
            </w:r>
          </w:p>
        </w:tc>
      </w:tr>
      <w:tr w:rsidR="00291E20" w:rsidRPr="009278F9" w:rsidTr="00291E20">
        <w:trPr>
          <w:trHeight w:val="300"/>
        </w:trPr>
        <w:tc>
          <w:tcPr>
            <w:tcW w:w="2709" w:type="dxa"/>
            <w:shd w:val="clear" w:color="auto" w:fill="auto"/>
            <w:noWrap/>
            <w:vAlign w:val="bottom"/>
            <w:hideMark/>
          </w:tcPr>
          <w:p w:rsidR="00291E20" w:rsidRPr="009278F9" w:rsidRDefault="00291E20" w:rsidP="006F3DEB">
            <w:pPr>
              <w:pStyle w:val="BCSTabletext"/>
            </w:pPr>
            <w:r w:rsidRPr="009278F9">
              <w:t>West Mid</w:t>
            </w:r>
            <w:r>
              <w:t>lands</w:t>
            </w:r>
          </w:p>
        </w:tc>
        <w:tc>
          <w:tcPr>
            <w:tcW w:w="1417" w:type="dxa"/>
            <w:shd w:val="clear" w:color="auto" w:fill="auto"/>
            <w:noWrap/>
            <w:vAlign w:val="bottom"/>
            <w:hideMark/>
          </w:tcPr>
          <w:p w:rsidR="00291E20" w:rsidRPr="009278F9" w:rsidRDefault="00291E20" w:rsidP="006F3DEB">
            <w:pPr>
              <w:pStyle w:val="BCSTabletext"/>
            </w:pPr>
            <w:r w:rsidRPr="009278F9">
              <w:t>14</w:t>
            </w:r>
          </w:p>
        </w:tc>
        <w:tc>
          <w:tcPr>
            <w:tcW w:w="1418" w:type="dxa"/>
            <w:shd w:val="clear" w:color="auto" w:fill="auto"/>
            <w:vAlign w:val="bottom"/>
            <w:hideMark/>
          </w:tcPr>
          <w:p w:rsidR="00291E20" w:rsidRPr="009278F9" w:rsidRDefault="00291E20" w:rsidP="006F3DEB">
            <w:pPr>
              <w:pStyle w:val="BCSTabletext"/>
            </w:pPr>
            <w:r w:rsidRPr="009278F9">
              <w:t>7</w:t>
            </w:r>
          </w:p>
        </w:tc>
        <w:tc>
          <w:tcPr>
            <w:tcW w:w="1626" w:type="dxa"/>
            <w:shd w:val="clear" w:color="auto" w:fill="auto"/>
            <w:noWrap/>
            <w:vAlign w:val="bottom"/>
            <w:hideMark/>
          </w:tcPr>
          <w:p w:rsidR="00291E20" w:rsidRPr="009278F9" w:rsidRDefault="00DC1999" w:rsidP="00DC1999">
            <w:pPr>
              <w:pStyle w:val="BCSTabletext"/>
              <w:jc w:val="center"/>
            </w:pPr>
            <w:r>
              <w:t>50</w:t>
            </w:r>
            <w:r w:rsidR="00291E20" w:rsidRPr="009278F9">
              <w:t>%</w:t>
            </w:r>
          </w:p>
        </w:tc>
      </w:tr>
      <w:tr w:rsidR="00291E20" w:rsidRPr="009278F9" w:rsidTr="00291E20">
        <w:trPr>
          <w:trHeight w:val="300"/>
        </w:trPr>
        <w:tc>
          <w:tcPr>
            <w:tcW w:w="2709" w:type="dxa"/>
            <w:shd w:val="clear" w:color="auto" w:fill="auto"/>
            <w:noWrap/>
            <w:vAlign w:val="bottom"/>
            <w:hideMark/>
          </w:tcPr>
          <w:p w:rsidR="00291E20" w:rsidRPr="009278F9" w:rsidRDefault="00291E20" w:rsidP="006F3DEB">
            <w:pPr>
              <w:pStyle w:val="BCSTabletext"/>
            </w:pPr>
            <w:r w:rsidRPr="009278F9">
              <w:t>Yorks</w:t>
            </w:r>
            <w:r>
              <w:t>hire</w:t>
            </w:r>
            <w:r w:rsidRPr="009278F9">
              <w:t xml:space="preserve"> &amp; Humber</w:t>
            </w:r>
            <w:r>
              <w:t>side</w:t>
            </w:r>
          </w:p>
        </w:tc>
        <w:tc>
          <w:tcPr>
            <w:tcW w:w="1417" w:type="dxa"/>
            <w:shd w:val="clear" w:color="auto" w:fill="auto"/>
            <w:noWrap/>
            <w:vAlign w:val="bottom"/>
            <w:hideMark/>
          </w:tcPr>
          <w:p w:rsidR="00291E20" w:rsidRPr="009278F9" w:rsidRDefault="00291E20" w:rsidP="006F3DEB">
            <w:pPr>
              <w:pStyle w:val="BCSTabletext"/>
            </w:pPr>
            <w:r w:rsidRPr="009278F9">
              <w:t>15</w:t>
            </w:r>
          </w:p>
        </w:tc>
        <w:tc>
          <w:tcPr>
            <w:tcW w:w="1418" w:type="dxa"/>
            <w:shd w:val="clear" w:color="auto" w:fill="auto"/>
            <w:vAlign w:val="bottom"/>
            <w:hideMark/>
          </w:tcPr>
          <w:p w:rsidR="00291E20" w:rsidRPr="009278F9" w:rsidRDefault="00291E20" w:rsidP="006F3DEB">
            <w:pPr>
              <w:pStyle w:val="BCSTabletext"/>
            </w:pPr>
            <w:r w:rsidRPr="009278F9">
              <w:t>11</w:t>
            </w:r>
          </w:p>
        </w:tc>
        <w:tc>
          <w:tcPr>
            <w:tcW w:w="1626" w:type="dxa"/>
            <w:shd w:val="clear" w:color="auto" w:fill="auto"/>
            <w:noWrap/>
            <w:vAlign w:val="bottom"/>
            <w:hideMark/>
          </w:tcPr>
          <w:p w:rsidR="00291E20" w:rsidRPr="009278F9" w:rsidRDefault="00DC1999" w:rsidP="00DC1999">
            <w:pPr>
              <w:pStyle w:val="BCSTabletext"/>
              <w:jc w:val="center"/>
            </w:pPr>
            <w:r>
              <w:t>73</w:t>
            </w:r>
            <w:r w:rsidR="00291E20" w:rsidRPr="009278F9">
              <w:t>%</w:t>
            </w:r>
          </w:p>
        </w:tc>
      </w:tr>
    </w:tbl>
    <w:p w:rsidR="006F3DEB" w:rsidRDefault="006F3DEB" w:rsidP="00291E20">
      <w:pPr>
        <w:contextualSpacing/>
        <w:rPr>
          <w:u w:val="single"/>
        </w:rPr>
      </w:pPr>
    </w:p>
    <w:p w:rsidR="006F3DEB" w:rsidRDefault="006F3DEB" w:rsidP="00291E20">
      <w:pPr>
        <w:contextualSpacing/>
        <w:rPr>
          <w:u w:val="single"/>
        </w:rPr>
      </w:pPr>
    </w:p>
    <w:p w:rsidR="00291E20" w:rsidRDefault="00291E20" w:rsidP="006F3DEB">
      <w:pPr>
        <w:pStyle w:val="Heading3"/>
        <w:rPr>
          <w:u w:val="single"/>
        </w:rPr>
      </w:pPr>
      <w:r w:rsidRPr="006F3DEB">
        <w:t>Proportion of registered learners</w:t>
      </w:r>
    </w:p>
    <w:p w:rsidR="006F3DEB" w:rsidRPr="00241565" w:rsidRDefault="006F3DEB" w:rsidP="00291E20">
      <w:pPr>
        <w:contextualSpacing/>
        <w:rPr>
          <w:u w:val="single"/>
        </w:rPr>
      </w:pPr>
    </w:p>
    <w:p w:rsidR="00291E20" w:rsidRDefault="00291E20" w:rsidP="006F3DEB">
      <w:pPr>
        <w:pStyle w:val="BCSParagraph"/>
      </w:pPr>
      <w:r w:rsidRPr="00241565">
        <w:t xml:space="preserve">Respondents were asked to indicate how many adult learners their organisation delivered learning to in the academic year 2007/08, in terms of both registrations on courses of formal learning, and non-registered learners who had benefited from learning at their centre.  </w:t>
      </w:r>
      <w:r w:rsidR="00DC1999">
        <w:t>A</w:t>
      </w:r>
      <w:r w:rsidRPr="00265474">
        <w:t xml:space="preserve"> far greater proportion of learners were registered on courses of formal learning (8.5 out of 10) than not.</w:t>
      </w:r>
      <w:r w:rsidRPr="00241565">
        <w:t xml:space="preserve">  However, there was little difference between LAs and VCS/WEA, with a </w:t>
      </w:r>
      <w:r w:rsidR="00DC1999">
        <w:t>slightly higher proportion (1</w:t>
      </w:r>
      <w:r w:rsidRPr="00241565">
        <w:t xml:space="preserve">%) of learners not registered on formal courses across LAs (see </w:t>
      </w:r>
      <w:hyperlink w:anchor="_Table_2:_" w:history="1">
        <w:r w:rsidRPr="00CC1978">
          <w:rPr>
            <w:rStyle w:val="Hyperlink"/>
          </w:rPr>
          <w:t>table 2</w:t>
        </w:r>
      </w:hyperlink>
      <w:r w:rsidRPr="00241565">
        <w:t>).</w:t>
      </w:r>
    </w:p>
    <w:p w:rsidR="006F3DEB" w:rsidRDefault="006F3DEB" w:rsidP="006F3DEB">
      <w:pPr>
        <w:pStyle w:val="BCSParagraph"/>
      </w:pPr>
    </w:p>
    <w:p w:rsidR="006F3DEB" w:rsidRPr="00241565" w:rsidRDefault="006F3DEB" w:rsidP="006F3DEB">
      <w:pPr>
        <w:pStyle w:val="BCSParagraph"/>
      </w:pPr>
    </w:p>
    <w:p w:rsidR="00291E20" w:rsidRDefault="00291E20" w:rsidP="006F3DEB">
      <w:pPr>
        <w:pStyle w:val="BCSTableheadings"/>
      </w:pPr>
      <w:bookmarkStart w:id="9" w:name="_Table_1:_"/>
      <w:bookmarkStart w:id="10" w:name="_Table_2:_"/>
      <w:bookmarkStart w:id="11" w:name="_Toc256332139"/>
      <w:bookmarkEnd w:id="9"/>
      <w:bookmarkEnd w:id="10"/>
      <w:r w:rsidRPr="00E42CA3">
        <w:lastRenderedPageBreak/>
        <w:t>Table</w:t>
      </w:r>
      <w:r>
        <w:t xml:space="preserve"> 2</w:t>
      </w:r>
      <w:r w:rsidRPr="00E42CA3">
        <w:t>:  Registered/ Non-registered Learners in 2007/08</w:t>
      </w:r>
      <w:bookmarkEnd w:id="11"/>
    </w:p>
    <w:p w:rsidR="006F3DEB" w:rsidRPr="00E42CA3" w:rsidRDefault="006F3DEB" w:rsidP="006F3DEB">
      <w:pPr>
        <w:pStyle w:val="BCSTableheadings"/>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9"/>
        <w:gridCol w:w="3085"/>
        <w:gridCol w:w="3078"/>
      </w:tblGrid>
      <w:tr w:rsidR="00291E20" w:rsidRPr="00241565" w:rsidTr="00291E20">
        <w:tc>
          <w:tcPr>
            <w:tcW w:w="3192" w:type="dxa"/>
            <w:shd w:val="clear" w:color="auto" w:fill="76923C"/>
          </w:tcPr>
          <w:p w:rsidR="00291E20" w:rsidRPr="00241565" w:rsidRDefault="00291E20" w:rsidP="00291E20">
            <w:pPr>
              <w:contextualSpacing/>
            </w:pPr>
          </w:p>
        </w:tc>
        <w:tc>
          <w:tcPr>
            <w:tcW w:w="3192" w:type="dxa"/>
            <w:shd w:val="clear" w:color="auto" w:fill="76923C"/>
          </w:tcPr>
          <w:p w:rsidR="00291E20" w:rsidRPr="00241565" w:rsidRDefault="00291E20" w:rsidP="00291E20">
            <w:pPr>
              <w:contextualSpacing/>
              <w:rPr>
                <w:b/>
              </w:rPr>
            </w:pPr>
            <w:r w:rsidRPr="00241565">
              <w:rPr>
                <w:b/>
              </w:rPr>
              <w:t>Local Authorities</w:t>
            </w:r>
          </w:p>
        </w:tc>
        <w:tc>
          <w:tcPr>
            <w:tcW w:w="3192" w:type="dxa"/>
            <w:shd w:val="clear" w:color="auto" w:fill="76923C"/>
          </w:tcPr>
          <w:p w:rsidR="00291E20" w:rsidRPr="00241565" w:rsidRDefault="00291E20" w:rsidP="00291E20">
            <w:pPr>
              <w:contextualSpacing/>
              <w:rPr>
                <w:b/>
              </w:rPr>
            </w:pPr>
            <w:r w:rsidRPr="00241565">
              <w:rPr>
                <w:b/>
              </w:rPr>
              <w:t>VCS/WEA</w:t>
            </w:r>
          </w:p>
        </w:tc>
      </w:tr>
      <w:tr w:rsidR="00291E20" w:rsidRPr="00241565" w:rsidTr="00291E20">
        <w:tc>
          <w:tcPr>
            <w:tcW w:w="3192" w:type="dxa"/>
          </w:tcPr>
          <w:p w:rsidR="00291E20" w:rsidRPr="00241565" w:rsidRDefault="00291E20" w:rsidP="00291E20">
            <w:pPr>
              <w:contextualSpacing/>
            </w:pPr>
            <w:r w:rsidRPr="00241565">
              <w:t>Non-Registered</w:t>
            </w:r>
          </w:p>
        </w:tc>
        <w:tc>
          <w:tcPr>
            <w:tcW w:w="3192" w:type="dxa"/>
          </w:tcPr>
          <w:p w:rsidR="00291E20" w:rsidRPr="00241565" w:rsidRDefault="00DC1999" w:rsidP="00291E20">
            <w:pPr>
              <w:contextualSpacing/>
            </w:pPr>
            <w:r>
              <w:t>15</w:t>
            </w:r>
            <w:r w:rsidR="00291E20" w:rsidRPr="00241565">
              <w:t>%</w:t>
            </w:r>
          </w:p>
        </w:tc>
        <w:tc>
          <w:tcPr>
            <w:tcW w:w="3192" w:type="dxa"/>
          </w:tcPr>
          <w:p w:rsidR="00291E20" w:rsidRPr="00241565" w:rsidRDefault="00DC1999" w:rsidP="00291E20">
            <w:pPr>
              <w:contextualSpacing/>
            </w:pPr>
            <w:r>
              <w:t>14</w:t>
            </w:r>
            <w:r w:rsidR="00291E20" w:rsidRPr="00241565">
              <w:t>%</w:t>
            </w:r>
          </w:p>
        </w:tc>
      </w:tr>
      <w:tr w:rsidR="00291E20" w:rsidRPr="00241565" w:rsidTr="00291E20">
        <w:tc>
          <w:tcPr>
            <w:tcW w:w="3192" w:type="dxa"/>
          </w:tcPr>
          <w:p w:rsidR="00291E20" w:rsidRPr="00241565" w:rsidRDefault="00291E20" w:rsidP="00291E20">
            <w:pPr>
              <w:contextualSpacing/>
            </w:pPr>
            <w:r w:rsidRPr="00241565">
              <w:t>Registered</w:t>
            </w:r>
          </w:p>
        </w:tc>
        <w:tc>
          <w:tcPr>
            <w:tcW w:w="3192" w:type="dxa"/>
          </w:tcPr>
          <w:p w:rsidR="00291E20" w:rsidRPr="00241565" w:rsidRDefault="00DC1999" w:rsidP="00291E20">
            <w:pPr>
              <w:contextualSpacing/>
            </w:pPr>
            <w:r>
              <w:t>85</w:t>
            </w:r>
            <w:r w:rsidR="00291E20" w:rsidRPr="00241565">
              <w:t>%</w:t>
            </w:r>
          </w:p>
        </w:tc>
        <w:tc>
          <w:tcPr>
            <w:tcW w:w="3192" w:type="dxa"/>
          </w:tcPr>
          <w:p w:rsidR="00291E20" w:rsidRPr="00241565" w:rsidRDefault="00DC1999" w:rsidP="00291E20">
            <w:pPr>
              <w:contextualSpacing/>
            </w:pPr>
            <w:r>
              <w:t>86</w:t>
            </w:r>
            <w:r w:rsidR="00291E20" w:rsidRPr="00241565">
              <w:t>%</w:t>
            </w:r>
          </w:p>
        </w:tc>
      </w:tr>
    </w:tbl>
    <w:p w:rsidR="00291E20" w:rsidRDefault="00291E20" w:rsidP="00291E20">
      <w:pPr>
        <w:contextualSpacing/>
        <w:rPr>
          <w:sz w:val="24"/>
          <w:szCs w:val="24"/>
        </w:rPr>
      </w:pPr>
    </w:p>
    <w:p w:rsidR="00291E20" w:rsidRPr="00241565" w:rsidRDefault="00291E20" w:rsidP="006F3DEB">
      <w:pPr>
        <w:pStyle w:val="Heading3"/>
      </w:pPr>
      <w:r w:rsidRPr="00241565">
        <w:t>Profile of Funding:</w:t>
      </w:r>
    </w:p>
    <w:p w:rsidR="00291E20" w:rsidRPr="00241565" w:rsidRDefault="00291E20" w:rsidP="006F3DEB">
      <w:pPr>
        <w:pStyle w:val="BCSParagraph"/>
      </w:pPr>
      <w:r w:rsidRPr="00241565">
        <w:t>When asked what types of funding organisations received (from a pre-defined list), higher levels of funding was seen amongst LA pr</w:t>
      </w:r>
      <w:r w:rsidR="00DC1999">
        <w:t>oviders than VCS/ WEA.</w:t>
      </w:r>
      <w:r w:rsidRPr="00241565">
        <w:t xml:space="preserve"> </w:t>
      </w:r>
    </w:p>
    <w:p w:rsidR="00291E20" w:rsidRPr="00241565" w:rsidRDefault="00291E20" w:rsidP="00391871">
      <w:pPr>
        <w:pStyle w:val="BCSBulletparagraph"/>
      </w:pPr>
      <w:r w:rsidRPr="00241565">
        <w:t>100% of LA respondents indicated that they were in receipt of LSC funding, whilst 56.18% of VCS/ WEA drew down this money.</w:t>
      </w:r>
    </w:p>
    <w:p w:rsidR="00291E20" w:rsidRPr="00241565" w:rsidRDefault="00DC1999" w:rsidP="00391871">
      <w:pPr>
        <w:pStyle w:val="BCSBulletparagraph"/>
      </w:pPr>
      <w:r>
        <w:t>96</w:t>
      </w:r>
      <w:r w:rsidR="00291E20" w:rsidRPr="00241565">
        <w:t>% of LAs received WFL (Wider Family Learning) and FLLN (Family, Language, Literacy and Numeracy Funding), respectively, whilst fewer than 10% of VCS/ WEAs drew dow</w:t>
      </w:r>
      <w:r>
        <w:t>n these funds in each case; 9% WFL and 8</w:t>
      </w:r>
      <w:r w:rsidR="00291E20" w:rsidRPr="00241565">
        <w:t>% FLLN.</w:t>
      </w:r>
    </w:p>
    <w:p w:rsidR="00291E20" w:rsidRPr="00241565" w:rsidRDefault="00DC1999" w:rsidP="00391871">
      <w:pPr>
        <w:pStyle w:val="BCSBulletparagraph"/>
      </w:pPr>
      <w:r>
        <w:t>83</w:t>
      </w:r>
      <w:r w:rsidR="00291E20" w:rsidRPr="00241565">
        <w:t>% of LAs were in receipt of NLDC funding (Neighborhood Learning for Deprived</w:t>
      </w:r>
      <w:r>
        <w:t xml:space="preserve"> Communities), compared to 51</w:t>
      </w:r>
      <w:r w:rsidR="00291E20" w:rsidRPr="00241565">
        <w:t>% of VCS/ WEA</w:t>
      </w:r>
    </w:p>
    <w:p w:rsidR="00291E20" w:rsidRPr="00241565" w:rsidRDefault="00291E20" w:rsidP="00391871">
      <w:pPr>
        <w:pStyle w:val="BCSBulletparagraph"/>
      </w:pPr>
      <w:r w:rsidRPr="00241565">
        <w:t>First Steps</w:t>
      </w:r>
      <w:r w:rsidR="00DC1999">
        <w:t xml:space="preserve"> funding was drawn down by 86% of LAs and 17</w:t>
      </w:r>
      <w:r w:rsidRPr="00241565">
        <w:t>% of VCS/ WEA organisations, however</w:t>
      </w:r>
    </w:p>
    <w:p w:rsidR="00291E20" w:rsidRPr="00241565" w:rsidRDefault="00291E20" w:rsidP="00391871">
      <w:pPr>
        <w:pStyle w:val="BCSBulletparagraph"/>
      </w:pPr>
      <w:r w:rsidRPr="00241565">
        <w:t xml:space="preserve">A greater proportion of VCS/ WEA organisations had </w:t>
      </w:r>
      <w:r w:rsidR="00DC1999">
        <w:t>accessed European funding (39%), compared to 25</w:t>
      </w:r>
      <w:r w:rsidRPr="00241565">
        <w:t>% of LAs.</w:t>
      </w:r>
    </w:p>
    <w:p w:rsidR="00291E20" w:rsidRPr="00241565" w:rsidRDefault="00291E20" w:rsidP="006F3DEB">
      <w:pPr>
        <w:pStyle w:val="BCSParagraph"/>
      </w:pPr>
    </w:p>
    <w:p w:rsidR="00291E20" w:rsidRPr="00241565" w:rsidRDefault="00DC1999" w:rsidP="006F3DEB">
      <w:pPr>
        <w:pStyle w:val="BCSParagraph"/>
      </w:pPr>
      <w:r>
        <w:t xml:space="preserve">In </w:t>
      </w:r>
      <w:r w:rsidR="00291E20" w:rsidRPr="00241565">
        <w:t>Local Authorities, there has been a slight increase in the proportion of organisations receiving listed funding types since 2008/09, although the ranked order is similar, FLLN being most cited and European least so.  However, NLDC fun</w:t>
      </w:r>
      <w:r>
        <w:t>ds have seen an increase of 8</w:t>
      </w:r>
      <w:r w:rsidR="00291E20" w:rsidRPr="00241565">
        <w:t>%, and EU</w:t>
      </w:r>
      <w:r>
        <w:t xml:space="preserve"> funding has been cited by 16% more organisations than in 2008-09</w:t>
      </w:r>
      <w:r w:rsidR="00291E20" w:rsidRPr="00241565">
        <w:t>.</w:t>
      </w:r>
    </w:p>
    <w:p w:rsidR="00291E20" w:rsidRPr="00241565" w:rsidRDefault="00291E20" w:rsidP="00291E20">
      <w:pPr>
        <w:contextualSpacing/>
        <w:rPr>
          <w:u w:val="single"/>
        </w:rPr>
      </w:pPr>
    </w:p>
    <w:p w:rsidR="00291E20" w:rsidRPr="00241565" w:rsidRDefault="00291E20" w:rsidP="00391871">
      <w:pPr>
        <w:pStyle w:val="Heading3"/>
      </w:pPr>
      <w:r w:rsidRPr="00241565">
        <w:t>Model of delivery:</w:t>
      </w:r>
    </w:p>
    <w:p w:rsidR="00291E20" w:rsidRPr="00241565" w:rsidRDefault="00291E20" w:rsidP="00391871">
      <w:pPr>
        <w:pStyle w:val="BCSParagraph"/>
      </w:pPr>
      <w:r w:rsidRPr="00241565">
        <w:t>Similar to the proportions s</w:t>
      </w:r>
      <w:r w:rsidR="00DC1999">
        <w:t>een in the 2008/09 survey, 79</w:t>
      </w:r>
      <w:r w:rsidRPr="00241565">
        <w:t xml:space="preserve">% of </w:t>
      </w:r>
      <w:r w:rsidR="00DC1999">
        <w:t>local authorities and 90</w:t>
      </w:r>
      <w:r w:rsidRPr="00241565">
        <w:t xml:space="preserve">% of VCS/ WEAs employed a direct delivery model, whilst the remainder </w:t>
      </w:r>
      <w:r w:rsidR="00DC1999">
        <w:t>is</w:t>
      </w:r>
      <w:r w:rsidRPr="00241565">
        <w:t xml:space="preserve"> contracted out.</w:t>
      </w:r>
    </w:p>
    <w:p w:rsidR="00291E20" w:rsidRDefault="00291E20" w:rsidP="00391871">
      <w:pPr>
        <w:pStyle w:val="BCSParagraph"/>
      </w:pPr>
    </w:p>
    <w:p w:rsidR="00391871" w:rsidRDefault="00391871" w:rsidP="00DC1999">
      <w:pPr>
        <w:pStyle w:val="Heading2"/>
        <w:numPr>
          <w:ilvl w:val="0"/>
          <w:numId w:val="0"/>
        </w:numPr>
        <w:ind w:left="576"/>
      </w:pPr>
    </w:p>
    <w:p w:rsidR="00391871" w:rsidRPr="00241565" w:rsidRDefault="00391871" w:rsidP="00391871">
      <w:pPr>
        <w:pStyle w:val="Heading3"/>
        <w:numPr>
          <w:ilvl w:val="0"/>
          <w:numId w:val="0"/>
        </w:numPr>
        <w:ind w:left="720"/>
      </w:pPr>
    </w:p>
    <w:p w:rsidR="00291E20" w:rsidRPr="00241565" w:rsidRDefault="00291E20" w:rsidP="00391871">
      <w:pPr>
        <w:pStyle w:val="Heading3"/>
        <w:rPr>
          <w:u w:val="single"/>
        </w:rPr>
      </w:pPr>
      <w:r w:rsidRPr="00DC1999">
        <w:rPr>
          <w:rStyle w:val="Heading2Char"/>
        </w:rPr>
        <w:t>Learning Locations</w:t>
      </w:r>
      <w:r w:rsidRPr="00241565">
        <w:rPr>
          <w:u w:val="single"/>
        </w:rPr>
        <w:t>:</w:t>
      </w:r>
    </w:p>
    <w:p w:rsidR="00291E20" w:rsidRPr="00241565" w:rsidRDefault="00F9461D" w:rsidP="00391871">
      <w:pPr>
        <w:pStyle w:val="BCSParagraph"/>
      </w:pPr>
      <w:hyperlink w:anchor="_Figure_1:_" w:history="1">
        <w:r w:rsidR="00291E20" w:rsidRPr="00241565">
          <w:rPr>
            <w:rStyle w:val="Hyperlink"/>
          </w:rPr>
          <w:t>Figure 1</w:t>
        </w:r>
      </w:hyperlink>
      <w:r w:rsidR="00291E20" w:rsidRPr="00241565">
        <w:t xml:space="preserve"> illustrates all learning locations types as a proportion of (a) total number of centres cited by LAs, and (b) total number of centres cited by VCS/ WEAs.  The greatest proportion of learning locations type for </w:t>
      </w:r>
      <w:r w:rsidR="00DC1999">
        <w:t>LAs were learning centres (39</w:t>
      </w:r>
      <w:r w:rsidR="00291E20" w:rsidRPr="00241565">
        <w:t>%), foll</w:t>
      </w:r>
      <w:r w:rsidR="00DC1999">
        <w:t>owed by ‘other’ locations (19%), community centres (7</w:t>
      </w:r>
      <w:r w:rsidR="00291E20" w:rsidRPr="00241565">
        <w:t>%), libraries (</w:t>
      </w:r>
      <w:r w:rsidR="00DC1999">
        <w:t>7</w:t>
      </w:r>
      <w:r w:rsidR="007045CD">
        <w:t>%) and village halls (7</w:t>
      </w:r>
      <w:r w:rsidR="00291E20" w:rsidRPr="00241565">
        <w:t>%).  The least frequent</w:t>
      </w:r>
      <w:r w:rsidR="007045CD">
        <w:t>ly used were public houses (0.3</w:t>
      </w:r>
      <w:r w:rsidR="00291E20" w:rsidRPr="00241565">
        <w:t>%) and, equally, few learning locations enabled learni</w:t>
      </w:r>
      <w:r w:rsidR="007045CD">
        <w:t>ng delivered at a distance (5</w:t>
      </w:r>
      <w:r w:rsidR="00291E20" w:rsidRPr="00241565">
        <w:t>%)</w:t>
      </w:r>
    </w:p>
    <w:p w:rsidR="00291E20" w:rsidRPr="00241565" w:rsidRDefault="00291E20" w:rsidP="00391871">
      <w:pPr>
        <w:pStyle w:val="BCSParagraph"/>
      </w:pPr>
    </w:p>
    <w:p w:rsidR="00291E20" w:rsidRPr="00241565" w:rsidRDefault="00291E20" w:rsidP="00391871">
      <w:pPr>
        <w:pStyle w:val="BCSParagraph"/>
      </w:pPr>
      <w:r w:rsidRPr="00241565">
        <w:t>Conversely, VCS/ WEAs enabled learning delivered at a dist</w:t>
      </w:r>
      <w:r w:rsidR="007045CD">
        <w:t>ance in 22</w:t>
      </w:r>
      <w:r w:rsidRPr="00241565">
        <w:t>% of locations,</w:t>
      </w:r>
      <w:r w:rsidR="007045CD">
        <w:t xml:space="preserve"> though ‘other’ locations (24</w:t>
      </w:r>
      <w:r w:rsidRPr="00241565">
        <w:t>%) were the most used for delivery.</w:t>
      </w:r>
      <w:r w:rsidRPr="00241565">
        <w:tab/>
        <w:t xml:space="preserve">  Le</w:t>
      </w:r>
      <w:r w:rsidR="007045CD">
        <w:t>arning centres constituted 24</w:t>
      </w:r>
      <w:r w:rsidRPr="00241565">
        <w:t>% of all VCS/ WEA l</w:t>
      </w:r>
      <w:r w:rsidR="007045CD">
        <w:t>ocations and public houses (0.2</w:t>
      </w:r>
      <w:r w:rsidRPr="00241565">
        <w:t xml:space="preserve">%) were the locations least used for delivery of learning.  </w:t>
      </w:r>
    </w:p>
    <w:p w:rsidR="00291E20" w:rsidRPr="00241565" w:rsidRDefault="00291E20" w:rsidP="00391871">
      <w:pPr>
        <w:pStyle w:val="BCSParagraph"/>
      </w:pPr>
    </w:p>
    <w:p w:rsidR="00291E20" w:rsidRPr="00241565" w:rsidRDefault="00291E20" w:rsidP="00391871">
      <w:pPr>
        <w:pStyle w:val="BCSParagraph"/>
      </w:pPr>
      <w:r w:rsidRPr="00241565">
        <w:t xml:space="preserve">Although it may appear that the VCS/ WEAs are making most use of distance learning, </w:t>
      </w:r>
      <w:hyperlink w:anchor="_Table_3:_Learning" w:history="1">
        <w:r w:rsidRPr="00CC1978">
          <w:rPr>
            <w:rStyle w:val="Hyperlink"/>
          </w:rPr>
          <w:t>Table 3</w:t>
        </w:r>
      </w:hyperlink>
      <w:r w:rsidRPr="00241565">
        <w:t xml:space="preserve"> details the dist</w:t>
      </w:r>
      <w:r w:rsidR="007045CD">
        <w:t>ribution of data</w:t>
      </w:r>
      <w:r w:rsidRPr="00241565">
        <w:t xml:space="preserve"> indicating that responses were highly uneven in distribution.  In this instance, one organisation offered distance learning in</w:t>
      </w:r>
      <w:r w:rsidR="007045CD">
        <w:t xml:space="preserve"> 1026 cases, skewing the average. N</w:t>
      </w:r>
      <w:r w:rsidRPr="00241565">
        <w:t xml:space="preserve">either </w:t>
      </w:r>
      <w:r w:rsidR="009F31D8">
        <w:t>type of provider</w:t>
      </w:r>
      <w:r w:rsidRPr="00241565">
        <w:t xml:space="preserve"> offer</w:t>
      </w:r>
      <w:r w:rsidR="009F31D8">
        <w:t>s</w:t>
      </w:r>
      <w:r w:rsidRPr="00241565">
        <w:t xml:space="preserve"> high </w:t>
      </w:r>
      <w:r w:rsidR="009F31D8">
        <w:t>volumes</w:t>
      </w:r>
      <w:r w:rsidRPr="00241565">
        <w:t xml:space="preserve"> of distance learning.</w:t>
      </w:r>
    </w:p>
    <w:p w:rsidR="00391871" w:rsidRDefault="00391871" w:rsidP="00391871">
      <w:pPr>
        <w:pStyle w:val="BCSParagraph"/>
        <w:rPr>
          <w:sz w:val="22"/>
          <w:szCs w:val="22"/>
        </w:rPr>
      </w:pPr>
      <w:bookmarkStart w:id="12" w:name="_Table_2:_Learning"/>
      <w:bookmarkStart w:id="13" w:name="_Figure_1:_"/>
      <w:bookmarkStart w:id="14" w:name="_Toc256332117"/>
      <w:bookmarkEnd w:id="12"/>
      <w:bookmarkEnd w:id="13"/>
    </w:p>
    <w:p w:rsidR="00391871" w:rsidRDefault="00391871" w:rsidP="00391871">
      <w:pPr>
        <w:pStyle w:val="BCSParagraph"/>
        <w:rPr>
          <w:sz w:val="22"/>
          <w:szCs w:val="22"/>
        </w:rPr>
      </w:pPr>
    </w:p>
    <w:p w:rsidR="00391871" w:rsidRDefault="00391871" w:rsidP="00391871">
      <w:pPr>
        <w:pStyle w:val="BCSParagraph"/>
        <w:rPr>
          <w:sz w:val="22"/>
          <w:szCs w:val="22"/>
        </w:rPr>
      </w:pPr>
    </w:p>
    <w:p w:rsidR="00391871" w:rsidRDefault="00391871" w:rsidP="00391871">
      <w:pPr>
        <w:pStyle w:val="BCSParagraph"/>
        <w:rPr>
          <w:sz w:val="22"/>
          <w:szCs w:val="22"/>
        </w:rPr>
      </w:pPr>
    </w:p>
    <w:p w:rsidR="00391871" w:rsidRDefault="00391871" w:rsidP="00391871">
      <w:pPr>
        <w:pStyle w:val="BCSParagraph"/>
        <w:rPr>
          <w:sz w:val="22"/>
          <w:szCs w:val="22"/>
        </w:rPr>
      </w:pPr>
    </w:p>
    <w:p w:rsidR="00391871" w:rsidRDefault="00391871" w:rsidP="00391871">
      <w:pPr>
        <w:pStyle w:val="BCSParagraph"/>
        <w:rPr>
          <w:sz w:val="22"/>
          <w:szCs w:val="22"/>
        </w:rPr>
      </w:pPr>
    </w:p>
    <w:p w:rsidR="00391871" w:rsidRDefault="00391871" w:rsidP="00391871">
      <w:pPr>
        <w:pStyle w:val="BCSParagraph"/>
        <w:rPr>
          <w:sz w:val="22"/>
          <w:szCs w:val="22"/>
        </w:rPr>
      </w:pPr>
    </w:p>
    <w:p w:rsidR="00391871" w:rsidRDefault="00391871" w:rsidP="00391871">
      <w:pPr>
        <w:pStyle w:val="BCSParagraph"/>
        <w:rPr>
          <w:sz w:val="22"/>
          <w:szCs w:val="22"/>
        </w:rPr>
      </w:pPr>
    </w:p>
    <w:p w:rsidR="00391871" w:rsidRDefault="00391871" w:rsidP="00391871">
      <w:pPr>
        <w:pStyle w:val="BCSParagraph"/>
        <w:rPr>
          <w:sz w:val="22"/>
          <w:szCs w:val="22"/>
        </w:rPr>
      </w:pPr>
    </w:p>
    <w:p w:rsidR="00391871" w:rsidRDefault="00391871" w:rsidP="00391871">
      <w:pPr>
        <w:pStyle w:val="BCSParagraph"/>
        <w:rPr>
          <w:sz w:val="22"/>
          <w:szCs w:val="22"/>
        </w:rPr>
      </w:pPr>
    </w:p>
    <w:p w:rsidR="00291E20" w:rsidRPr="00241565" w:rsidRDefault="00291E20" w:rsidP="00391871">
      <w:pPr>
        <w:pStyle w:val="BCSTableheadings"/>
      </w:pPr>
      <w:r w:rsidRPr="00241565">
        <w:t>Figure 1:  Location of teaching and learning</w:t>
      </w:r>
      <w:bookmarkEnd w:id="14"/>
    </w:p>
    <w:p w:rsidR="00291E20" w:rsidRPr="00A42835" w:rsidRDefault="002102AA" w:rsidP="00291E20">
      <w:pPr>
        <w:ind w:left="-567"/>
        <w:contextualSpacing/>
        <w:rPr>
          <w:sz w:val="24"/>
        </w:rPr>
      </w:pPr>
      <w:r>
        <w:rPr>
          <w:noProof/>
        </w:rPr>
        <w:drawing>
          <wp:inline distT="0" distB="0" distL="0" distR="0">
            <wp:extent cx="6866255" cy="450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866255" cy="4508500"/>
                    </a:xfrm>
                    <a:prstGeom prst="rect">
                      <a:avLst/>
                    </a:prstGeom>
                    <a:noFill/>
                    <a:ln w="9525">
                      <a:noFill/>
                      <a:miter lim="800000"/>
                      <a:headEnd/>
                      <a:tailEnd/>
                    </a:ln>
                  </pic:spPr>
                </pic:pic>
              </a:graphicData>
            </a:graphic>
          </wp:inline>
        </w:drawing>
      </w:r>
    </w:p>
    <w:p w:rsidR="00291E20" w:rsidRDefault="00291E20" w:rsidP="00291E20">
      <w:pPr>
        <w:contextualSpacing/>
        <w:rPr>
          <w:sz w:val="24"/>
        </w:rPr>
      </w:pPr>
    </w:p>
    <w:p w:rsidR="00391871" w:rsidRDefault="00391871" w:rsidP="00291E20">
      <w:pPr>
        <w:contextualSpacing/>
        <w:rPr>
          <w:sz w:val="24"/>
        </w:rPr>
      </w:pPr>
    </w:p>
    <w:p w:rsidR="00391871" w:rsidRDefault="00391871" w:rsidP="00291E20">
      <w:pPr>
        <w:contextualSpacing/>
        <w:rPr>
          <w:sz w:val="24"/>
        </w:rPr>
      </w:pPr>
    </w:p>
    <w:p w:rsidR="00391871" w:rsidRDefault="00391871" w:rsidP="00291E20">
      <w:pPr>
        <w:contextualSpacing/>
        <w:rPr>
          <w:sz w:val="24"/>
        </w:rPr>
      </w:pPr>
    </w:p>
    <w:p w:rsidR="00391871" w:rsidRDefault="00391871" w:rsidP="00291E20">
      <w:pPr>
        <w:contextualSpacing/>
        <w:rPr>
          <w:sz w:val="24"/>
        </w:rPr>
      </w:pPr>
    </w:p>
    <w:p w:rsidR="00391871" w:rsidRDefault="00391871" w:rsidP="00291E20">
      <w:pPr>
        <w:contextualSpacing/>
        <w:rPr>
          <w:sz w:val="24"/>
        </w:rPr>
      </w:pPr>
    </w:p>
    <w:p w:rsidR="00391871" w:rsidRDefault="00391871" w:rsidP="00291E20">
      <w:pPr>
        <w:contextualSpacing/>
        <w:rPr>
          <w:sz w:val="24"/>
        </w:rPr>
      </w:pPr>
    </w:p>
    <w:p w:rsidR="00391871" w:rsidRDefault="00391871" w:rsidP="00291E20">
      <w:pPr>
        <w:contextualSpacing/>
        <w:rPr>
          <w:sz w:val="24"/>
        </w:rPr>
      </w:pPr>
    </w:p>
    <w:p w:rsidR="00391871" w:rsidRDefault="00391871" w:rsidP="00291E20">
      <w:pPr>
        <w:contextualSpacing/>
        <w:rPr>
          <w:sz w:val="24"/>
        </w:rPr>
      </w:pPr>
    </w:p>
    <w:p w:rsidR="00391871" w:rsidRDefault="00391871" w:rsidP="00291E20">
      <w:pPr>
        <w:contextualSpacing/>
        <w:rPr>
          <w:sz w:val="24"/>
        </w:rPr>
      </w:pPr>
    </w:p>
    <w:p w:rsidR="00391871" w:rsidRDefault="00391871" w:rsidP="00291E20">
      <w:pPr>
        <w:contextualSpacing/>
        <w:rPr>
          <w:sz w:val="24"/>
        </w:rPr>
      </w:pPr>
    </w:p>
    <w:p w:rsidR="00391871" w:rsidRDefault="00391871" w:rsidP="00291E20">
      <w:pPr>
        <w:contextualSpacing/>
        <w:rPr>
          <w:sz w:val="24"/>
        </w:rPr>
      </w:pPr>
    </w:p>
    <w:p w:rsidR="00391871" w:rsidRDefault="00391871" w:rsidP="00291E20">
      <w:pPr>
        <w:contextualSpacing/>
        <w:rPr>
          <w:sz w:val="24"/>
        </w:rPr>
      </w:pPr>
    </w:p>
    <w:p w:rsidR="00391871" w:rsidRDefault="00391871" w:rsidP="00291E20">
      <w:pPr>
        <w:contextualSpacing/>
        <w:rPr>
          <w:sz w:val="24"/>
        </w:rPr>
      </w:pPr>
    </w:p>
    <w:p w:rsidR="00391871" w:rsidRDefault="00391871" w:rsidP="00291E20">
      <w:pPr>
        <w:contextualSpacing/>
        <w:rPr>
          <w:sz w:val="24"/>
        </w:rPr>
      </w:pPr>
    </w:p>
    <w:p w:rsidR="00391871" w:rsidRDefault="00391871" w:rsidP="00291E20">
      <w:pPr>
        <w:contextualSpacing/>
        <w:rPr>
          <w:sz w:val="24"/>
        </w:rPr>
      </w:pPr>
    </w:p>
    <w:p w:rsidR="00391871" w:rsidRDefault="00391871" w:rsidP="00291E20">
      <w:pPr>
        <w:contextualSpacing/>
        <w:rPr>
          <w:sz w:val="24"/>
        </w:rPr>
      </w:pPr>
    </w:p>
    <w:p w:rsidR="00391871" w:rsidRDefault="00391871" w:rsidP="00291E20">
      <w:pPr>
        <w:contextualSpacing/>
        <w:rPr>
          <w:sz w:val="24"/>
        </w:rPr>
      </w:pPr>
    </w:p>
    <w:p w:rsidR="00391871" w:rsidRPr="006F431E" w:rsidRDefault="00391871" w:rsidP="00291E20">
      <w:pPr>
        <w:contextualSpacing/>
        <w:rPr>
          <w:sz w:val="24"/>
        </w:rPr>
      </w:pPr>
    </w:p>
    <w:p w:rsidR="00291E20" w:rsidRPr="00E42CA3" w:rsidRDefault="00291E20" w:rsidP="00391871">
      <w:pPr>
        <w:pStyle w:val="BCSTableheadings"/>
        <w:rPr>
          <w:i/>
        </w:rPr>
      </w:pPr>
      <w:bookmarkStart w:id="15" w:name="_Table_2:_Learning_1"/>
      <w:bookmarkStart w:id="16" w:name="_Table_3:_Learning"/>
      <w:bookmarkStart w:id="17" w:name="_Toc256332140"/>
      <w:bookmarkEnd w:id="15"/>
      <w:bookmarkEnd w:id="16"/>
      <w:r>
        <w:t>Table 3</w:t>
      </w:r>
      <w:r w:rsidRPr="00E42CA3">
        <w:t>: Learning Locations data distribution (Average, SD and Total)</w:t>
      </w:r>
      <w:bookmarkEnd w:id="17"/>
    </w:p>
    <w:p w:rsidR="00291E20" w:rsidRDefault="00291E20" w:rsidP="00291E20">
      <w:pPr>
        <w:tabs>
          <w:tab w:val="left" w:pos="2700"/>
        </w:tabs>
        <w:contextualSpacing/>
        <w:rPr>
          <w:sz w:val="24"/>
        </w:rPr>
      </w:pPr>
      <w:r>
        <w:rPr>
          <w:sz w:val="24"/>
        </w:rPr>
        <w:tab/>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7"/>
        <w:gridCol w:w="1128"/>
        <w:gridCol w:w="1291"/>
        <w:gridCol w:w="1372"/>
        <w:gridCol w:w="1321"/>
        <w:gridCol w:w="1417"/>
        <w:gridCol w:w="1276"/>
      </w:tblGrid>
      <w:tr w:rsidR="00291E20" w:rsidRPr="00241565" w:rsidTr="00391871">
        <w:trPr>
          <w:trHeight w:val="70"/>
        </w:trPr>
        <w:tc>
          <w:tcPr>
            <w:tcW w:w="1517" w:type="dxa"/>
            <w:tcBorders>
              <w:top w:val="single" w:sz="4" w:space="0" w:color="000000"/>
              <w:left w:val="single" w:sz="4" w:space="0" w:color="000000"/>
              <w:bottom w:val="nil"/>
              <w:right w:val="single" w:sz="4" w:space="0" w:color="000000"/>
            </w:tcBorders>
            <w:shd w:val="clear" w:color="auto" w:fill="76923C"/>
          </w:tcPr>
          <w:p w:rsidR="00291E20" w:rsidRPr="00241565" w:rsidRDefault="00291E20" w:rsidP="00291E20">
            <w:pPr>
              <w:contextualSpacing/>
              <w:rPr>
                <w:b/>
              </w:rPr>
            </w:pPr>
          </w:p>
        </w:tc>
        <w:tc>
          <w:tcPr>
            <w:tcW w:w="3791" w:type="dxa"/>
            <w:gridSpan w:val="3"/>
            <w:tcBorders>
              <w:top w:val="single" w:sz="4" w:space="0" w:color="000000"/>
              <w:left w:val="single" w:sz="4" w:space="0" w:color="000000"/>
              <w:bottom w:val="nil"/>
              <w:right w:val="single" w:sz="4" w:space="0" w:color="000000"/>
            </w:tcBorders>
            <w:shd w:val="clear" w:color="auto" w:fill="76923C"/>
          </w:tcPr>
          <w:p w:rsidR="00291E20" w:rsidRPr="00241565" w:rsidRDefault="00291E20" w:rsidP="00291E20">
            <w:pPr>
              <w:contextualSpacing/>
              <w:rPr>
                <w:b/>
              </w:rPr>
            </w:pPr>
            <w:r w:rsidRPr="00241565">
              <w:rPr>
                <w:b/>
              </w:rPr>
              <w:t>Voluntary, Community and WEA</w:t>
            </w:r>
          </w:p>
        </w:tc>
        <w:tc>
          <w:tcPr>
            <w:tcW w:w="4014" w:type="dxa"/>
            <w:gridSpan w:val="3"/>
            <w:tcBorders>
              <w:top w:val="single" w:sz="4" w:space="0" w:color="000000"/>
              <w:left w:val="single" w:sz="4" w:space="0" w:color="000000"/>
              <w:bottom w:val="nil"/>
              <w:right w:val="single" w:sz="4" w:space="0" w:color="000000"/>
            </w:tcBorders>
            <w:shd w:val="clear" w:color="auto" w:fill="76923C"/>
          </w:tcPr>
          <w:p w:rsidR="00291E20" w:rsidRPr="00241565" w:rsidRDefault="00291E20" w:rsidP="00291E20">
            <w:pPr>
              <w:contextualSpacing/>
              <w:rPr>
                <w:b/>
              </w:rPr>
            </w:pPr>
            <w:r w:rsidRPr="00241565">
              <w:rPr>
                <w:b/>
              </w:rPr>
              <w:t>Local Authorities</w:t>
            </w:r>
          </w:p>
        </w:tc>
      </w:tr>
      <w:tr w:rsidR="00291E20" w:rsidRPr="00241565" w:rsidTr="00291E20">
        <w:tc>
          <w:tcPr>
            <w:tcW w:w="1517" w:type="dxa"/>
            <w:tcBorders>
              <w:top w:val="nil"/>
              <w:left w:val="single" w:sz="4" w:space="0" w:color="000000"/>
              <w:bottom w:val="single" w:sz="4" w:space="0" w:color="000000"/>
              <w:right w:val="single" w:sz="4" w:space="0" w:color="000000"/>
            </w:tcBorders>
            <w:shd w:val="clear" w:color="auto" w:fill="76923C"/>
          </w:tcPr>
          <w:p w:rsidR="00291E20" w:rsidRPr="00241565" w:rsidRDefault="00291E20" w:rsidP="00291E20">
            <w:pPr>
              <w:contextualSpacing/>
              <w:rPr>
                <w:b/>
              </w:rPr>
            </w:pPr>
          </w:p>
        </w:tc>
        <w:tc>
          <w:tcPr>
            <w:tcW w:w="1128" w:type="dxa"/>
            <w:tcBorders>
              <w:top w:val="nil"/>
              <w:left w:val="single" w:sz="4" w:space="0" w:color="000000"/>
              <w:bottom w:val="single" w:sz="4" w:space="0" w:color="000000"/>
              <w:right w:val="nil"/>
            </w:tcBorders>
            <w:shd w:val="clear" w:color="auto" w:fill="76923C"/>
          </w:tcPr>
          <w:p w:rsidR="00291E20" w:rsidRPr="00241565" w:rsidRDefault="00291E20" w:rsidP="00391871">
            <w:pPr>
              <w:pStyle w:val="BCSTabletext"/>
            </w:pPr>
            <w:r w:rsidRPr="00241565">
              <w:t xml:space="preserve">Average (mean) </w:t>
            </w:r>
          </w:p>
        </w:tc>
        <w:tc>
          <w:tcPr>
            <w:tcW w:w="1291" w:type="dxa"/>
            <w:tcBorders>
              <w:top w:val="nil"/>
              <w:left w:val="nil"/>
              <w:bottom w:val="single" w:sz="4" w:space="0" w:color="000000"/>
              <w:right w:val="nil"/>
            </w:tcBorders>
            <w:shd w:val="clear" w:color="auto" w:fill="76923C"/>
          </w:tcPr>
          <w:p w:rsidR="00291E20" w:rsidRPr="00241565" w:rsidRDefault="00291E20" w:rsidP="00391871">
            <w:pPr>
              <w:pStyle w:val="BCSTabletext"/>
            </w:pPr>
            <w:r w:rsidRPr="00241565">
              <w:t>Standard Deviation</w:t>
            </w:r>
          </w:p>
        </w:tc>
        <w:tc>
          <w:tcPr>
            <w:tcW w:w="1372" w:type="dxa"/>
            <w:tcBorders>
              <w:top w:val="nil"/>
              <w:left w:val="nil"/>
              <w:bottom w:val="single" w:sz="4" w:space="0" w:color="000000"/>
              <w:right w:val="single" w:sz="4" w:space="0" w:color="000000"/>
            </w:tcBorders>
            <w:shd w:val="clear" w:color="auto" w:fill="76923C"/>
          </w:tcPr>
          <w:p w:rsidR="00291E20" w:rsidRPr="00241565" w:rsidRDefault="00291E20" w:rsidP="00391871">
            <w:pPr>
              <w:pStyle w:val="BCSTabletext"/>
            </w:pPr>
            <w:r w:rsidRPr="00241565">
              <w:t>Total no.</w:t>
            </w:r>
          </w:p>
        </w:tc>
        <w:tc>
          <w:tcPr>
            <w:tcW w:w="1321" w:type="dxa"/>
            <w:tcBorders>
              <w:top w:val="nil"/>
              <w:left w:val="single" w:sz="4" w:space="0" w:color="000000"/>
              <w:bottom w:val="single" w:sz="4" w:space="0" w:color="000000"/>
              <w:right w:val="nil"/>
            </w:tcBorders>
            <w:shd w:val="clear" w:color="auto" w:fill="76923C"/>
          </w:tcPr>
          <w:p w:rsidR="00291E20" w:rsidRPr="00241565" w:rsidRDefault="00291E20" w:rsidP="00391871">
            <w:pPr>
              <w:pStyle w:val="BCSTabletext"/>
            </w:pPr>
            <w:r w:rsidRPr="00241565">
              <w:t xml:space="preserve">Average (mean) </w:t>
            </w:r>
          </w:p>
        </w:tc>
        <w:tc>
          <w:tcPr>
            <w:tcW w:w="1417" w:type="dxa"/>
            <w:tcBorders>
              <w:top w:val="nil"/>
              <w:left w:val="nil"/>
              <w:bottom w:val="single" w:sz="4" w:space="0" w:color="000000"/>
              <w:right w:val="nil"/>
            </w:tcBorders>
            <w:shd w:val="clear" w:color="auto" w:fill="76923C"/>
          </w:tcPr>
          <w:p w:rsidR="00291E20" w:rsidRPr="00241565" w:rsidRDefault="00291E20" w:rsidP="00391871">
            <w:pPr>
              <w:pStyle w:val="BCSTabletext"/>
            </w:pPr>
            <w:r w:rsidRPr="00241565">
              <w:t>Standard Deviation</w:t>
            </w:r>
          </w:p>
        </w:tc>
        <w:tc>
          <w:tcPr>
            <w:tcW w:w="1276" w:type="dxa"/>
            <w:tcBorders>
              <w:top w:val="nil"/>
              <w:left w:val="nil"/>
              <w:bottom w:val="single" w:sz="4" w:space="0" w:color="000000"/>
              <w:right w:val="single" w:sz="4" w:space="0" w:color="000000"/>
            </w:tcBorders>
            <w:shd w:val="clear" w:color="auto" w:fill="76923C"/>
          </w:tcPr>
          <w:p w:rsidR="00291E20" w:rsidRPr="00241565" w:rsidRDefault="00291E20" w:rsidP="00391871">
            <w:pPr>
              <w:pStyle w:val="BCSTabletext"/>
            </w:pPr>
            <w:r w:rsidRPr="00241565">
              <w:t>Total no.</w:t>
            </w:r>
          </w:p>
        </w:tc>
      </w:tr>
      <w:tr w:rsidR="00291E20" w:rsidRPr="00241565" w:rsidTr="00291E20">
        <w:tc>
          <w:tcPr>
            <w:tcW w:w="1517" w:type="dxa"/>
            <w:tcBorders>
              <w:top w:val="single" w:sz="4" w:space="0" w:color="000000"/>
              <w:bottom w:val="single" w:sz="4" w:space="0" w:color="000000"/>
            </w:tcBorders>
          </w:tcPr>
          <w:p w:rsidR="00291E20" w:rsidRPr="00241565" w:rsidRDefault="00291E20" w:rsidP="00291E20">
            <w:pPr>
              <w:contextualSpacing/>
              <w:rPr>
                <w:b/>
              </w:rPr>
            </w:pPr>
            <w:r w:rsidRPr="00241565">
              <w:rPr>
                <w:b/>
              </w:rPr>
              <w:t>Learning Centre</w:t>
            </w:r>
          </w:p>
        </w:tc>
        <w:tc>
          <w:tcPr>
            <w:tcW w:w="1128" w:type="dxa"/>
            <w:tcBorders>
              <w:top w:val="single" w:sz="4" w:space="0" w:color="000000"/>
              <w:bottom w:val="single" w:sz="4" w:space="0" w:color="000000"/>
            </w:tcBorders>
          </w:tcPr>
          <w:p w:rsidR="00291E20" w:rsidRPr="00241565" w:rsidRDefault="00291E20" w:rsidP="00391871">
            <w:pPr>
              <w:pStyle w:val="BCSTabletext"/>
            </w:pPr>
            <w:r w:rsidRPr="00241565">
              <w:t>17.95</w:t>
            </w:r>
          </w:p>
        </w:tc>
        <w:tc>
          <w:tcPr>
            <w:tcW w:w="1291" w:type="dxa"/>
            <w:tcBorders>
              <w:top w:val="single" w:sz="4" w:space="0" w:color="000000"/>
              <w:bottom w:val="single" w:sz="4" w:space="0" w:color="000000"/>
            </w:tcBorders>
          </w:tcPr>
          <w:p w:rsidR="00291E20" w:rsidRPr="00241565" w:rsidRDefault="00291E20" w:rsidP="00391871">
            <w:pPr>
              <w:pStyle w:val="BCSTabletext"/>
            </w:pPr>
            <w:r w:rsidRPr="00241565">
              <w:t>60.36</w:t>
            </w:r>
          </w:p>
        </w:tc>
        <w:tc>
          <w:tcPr>
            <w:tcW w:w="1372" w:type="dxa"/>
            <w:tcBorders>
              <w:top w:val="single" w:sz="4" w:space="0" w:color="000000"/>
              <w:bottom w:val="single" w:sz="4" w:space="0" w:color="000000"/>
            </w:tcBorders>
          </w:tcPr>
          <w:p w:rsidR="00291E20" w:rsidRPr="00241565" w:rsidRDefault="00291E20" w:rsidP="00391871">
            <w:pPr>
              <w:pStyle w:val="BCSTabletext"/>
            </w:pPr>
            <w:r w:rsidRPr="00241565">
              <w:t>1,418</w:t>
            </w:r>
          </w:p>
        </w:tc>
        <w:tc>
          <w:tcPr>
            <w:tcW w:w="1321" w:type="dxa"/>
            <w:tcBorders>
              <w:top w:val="single" w:sz="4" w:space="0" w:color="000000"/>
              <w:bottom w:val="single" w:sz="4" w:space="0" w:color="000000"/>
            </w:tcBorders>
          </w:tcPr>
          <w:p w:rsidR="00291E20" w:rsidRPr="00241565" w:rsidRDefault="00291E20" w:rsidP="00391871">
            <w:pPr>
              <w:pStyle w:val="BCSTabletext"/>
            </w:pPr>
            <w:r w:rsidRPr="00241565">
              <w:t>37.10</w:t>
            </w:r>
          </w:p>
        </w:tc>
        <w:tc>
          <w:tcPr>
            <w:tcW w:w="1417" w:type="dxa"/>
            <w:tcBorders>
              <w:top w:val="single" w:sz="4" w:space="0" w:color="000000"/>
              <w:bottom w:val="single" w:sz="4" w:space="0" w:color="000000"/>
            </w:tcBorders>
          </w:tcPr>
          <w:p w:rsidR="00291E20" w:rsidRPr="00241565" w:rsidRDefault="00291E20" w:rsidP="00391871">
            <w:pPr>
              <w:pStyle w:val="BCSTabletext"/>
            </w:pPr>
            <w:r w:rsidRPr="00241565">
              <w:t>38.36</w:t>
            </w:r>
          </w:p>
        </w:tc>
        <w:tc>
          <w:tcPr>
            <w:tcW w:w="1276" w:type="dxa"/>
            <w:tcBorders>
              <w:top w:val="single" w:sz="4" w:space="0" w:color="000000"/>
              <w:bottom w:val="single" w:sz="4" w:space="0" w:color="000000"/>
            </w:tcBorders>
          </w:tcPr>
          <w:p w:rsidR="00291E20" w:rsidRPr="00241565" w:rsidRDefault="00291E20" w:rsidP="00391871">
            <w:pPr>
              <w:pStyle w:val="BCSTabletext"/>
            </w:pPr>
            <w:r w:rsidRPr="00241565">
              <w:t>4,044</w:t>
            </w:r>
          </w:p>
        </w:tc>
      </w:tr>
      <w:tr w:rsidR="00291E20" w:rsidRPr="00241565" w:rsidTr="00291E20">
        <w:tc>
          <w:tcPr>
            <w:tcW w:w="1517" w:type="dxa"/>
            <w:shd w:val="clear" w:color="auto" w:fill="C2D69B"/>
          </w:tcPr>
          <w:p w:rsidR="00291E20" w:rsidRPr="00241565" w:rsidRDefault="00291E20" w:rsidP="00291E20">
            <w:pPr>
              <w:contextualSpacing/>
              <w:rPr>
                <w:b/>
              </w:rPr>
            </w:pPr>
            <w:r w:rsidRPr="00241565">
              <w:rPr>
                <w:b/>
              </w:rPr>
              <w:t>Other Places</w:t>
            </w:r>
          </w:p>
        </w:tc>
        <w:tc>
          <w:tcPr>
            <w:tcW w:w="1128" w:type="dxa"/>
            <w:shd w:val="clear" w:color="auto" w:fill="C2D69B"/>
          </w:tcPr>
          <w:p w:rsidR="00291E20" w:rsidRPr="00241565" w:rsidRDefault="00291E20" w:rsidP="00391871">
            <w:pPr>
              <w:pStyle w:val="BCSTabletext"/>
            </w:pPr>
            <w:r w:rsidRPr="00241565">
              <w:t>17.97</w:t>
            </w:r>
          </w:p>
        </w:tc>
        <w:tc>
          <w:tcPr>
            <w:tcW w:w="1291" w:type="dxa"/>
            <w:shd w:val="clear" w:color="auto" w:fill="C2D69B"/>
          </w:tcPr>
          <w:p w:rsidR="00291E20" w:rsidRPr="00241565" w:rsidRDefault="00291E20" w:rsidP="00391871">
            <w:pPr>
              <w:pStyle w:val="BCSTabletext"/>
            </w:pPr>
            <w:r w:rsidRPr="00241565">
              <w:t>65.20</w:t>
            </w:r>
          </w:p>
        </w:tc>
        <w:tc>
          <w:tcPr>
            <w:tcW w:w="1372" w:type="dxa"/>
            <w:shd w:val="clear" w:color="auto" w:fill="C2D69B"/>
          </w:tcPr>
          <w:p w:rsidR="00291E20" w:rsidRPr="00241565" w:rsidRDefault="00291E20" w:rsidP="00391871">
            <w:pPr>
              <w:pStyle w:val="BCSTabletext"/>
            </w:pPr>
            <w:r w:rsidRPr="00241565">
              <w:t>1,420</w:t>
            </w:r>
          </w:p>
        </w:tc>
        <w:tc>
          <w:tcPr>
            <w:tcW w:w="1321" w:type="dxa"/>
            <w:shd w:val="clear" w:color="auto" w:fill="C2D69B"/>
          </w:tcPr>
          <w:p w:rsidR="00291E20" w:rsidRPr="00241565" w:rsidRDefault="00291E20" w:rsidP="00391871">
            <w:pPr>
              <w:pStyle w:val="BCSTabletext"/>
            </w:pPr>
            <w:r w:rsidRPr="00241565">
              <w:t>17.95</w:t>
            </w:r>
          </w:p>
        </w:tc>
        <w:tc>
          <w:tcPr>
            <w:tcW w:w="1417" w:type="dxa"/>
            <w:shd w:val="clear" w:color="auto" w:fill="C2D69B"/>
          </w:tcPr>
          <w:p w:rsidR="00291E20" w:rsidRPr="00241565" w:rsidRDefault="00291E20" w:rsidP="00391871">
            <w:pPr>
              <w:pStyle w:val="BCSTabletext"/>
            </w:pPr>
            <w:r w:rsidRPr="00241565">
              <w:t>37.73</w:t>
            </w:r>
          </w:p>
        </w:tc>
        <w:tc>
          <w:tcPr>
            <w:tcW w:w="1276" w:type="dxa"/>
            <w:shd w:val="clear" w:color="auto" w:fill="C2D69B"/>
          </w:tcPr>
          <w:p w:rsidR="00291E20" w:rsidRPr="00241565" w:rsidRDefault="00291E20" w:rsidP="00391871">
            <w:pPr>
              <w:pStyle w:val="BCSTabletext"/>
            </w:pPr>
            <w:r w:rsidRPr="00241565">
              <w:t>1,957</w:t>
            </w:r>
          </w:p>
        </w:tc>
      </w:tr>
      <w:tr w:rsidR="00291E20" w:rsidRPr="00241565" w:rsidTr="00291E20">
        <w:tc>
          <w:tcPr>
            <w:tcW w:w="1517" w:type="dxa"/>
            <w:tcBorders>
              <w:bottom w:val="single" w:sz="4" w:space="0" w:color="000000"/>
            </w:tcBorders>
          </w:tcPr>
          <w:p w:rsidR="00291E20" w:rsidRPr="00241565" w:rsidRDefault="00291E20" w:rsidP="00291E20">
            <w:pPr>
              <w:contextualSpacing/>
              <w:rPr>
                <w:b/>
              </w:rPr>
            </w:pPr>
            <w:r w:rsidRPr="00241565">
              <w:rPr>
                <w:b/>
              </w:rPr>
              <w:t>Community Centre</w:t>
            </w:r>
          </w:p>
        </w:tc>
        <w:tc>
          <w:tcPr>
            <w:tcW w:w="1128" w:type="dxa"/>
            <w:tcBorders>
              <w:bottom w:val="single" w:sz="4" w:space="0" w:color="000000"/>
            </w:tcBorders>
          </w:tcPr>
          <w:p w:rsidR="00291E20" w:rsidRPr="00241565" w:rsidRDefault="00291E20" w:rsidP="00391871">
            <w:pPr>
              <w:pStyle w:val="BCSTabletext"/>
            </w:pPr>
            <w:r w:rsidRPr="00241565">
              <w:t>11.19</w:t>
            </w:r>
          </w:p>
        </w:tc>
        <w:tc>
          <w:tcPr>
            <w:tcW w:w="1291" w:type="dxa"/>
            <w:tcBorders>
              <w:bottom w:val="single" w:sz="4" w:space="0" w:color="000000"/>
            </w:tcBorders>
          </w:tcPr>
          <w:p w:rsidR="00291E20" w:rsidRPr="00241565" w:rsidRDefault="00291E20" w:rsidP="00391871">
            <w:pPr>
              <w:pStyle w:val="BCSTabletext"/>
            </w:pPr>
            <w:r w:rsidRPr="00241565">
              <w:t>31.54</w:t>
            </w:r>
          </w:p>
        </w:tc>
        <w:tc>
          <w:tcPr>
            <w:tcW w:w="1372" w:type="dxa"/>
            <w:tcBorders>
              <w:bottom w:val="single" w:sz="4" w:space="0" w:color="000000"/>
            </w:tcBorders>
          </w:tcPr>
          <w:p w:rsidR="00291E20" w:rsidRPr="00241565" w:rsidRDefault="00291E20" w:rsidP="00391871">
            <w:pPr>
              <w:pStyle w:val="BCSTabletext"/>
            </w:pPr>
            <w:r w:rsidRPr="00241565">
              <w:t>884</w:t>
            </w:r>
          </w:p>
        </w:tc>
        <w:tc>
          <w:tcPr>
            <w:tcW w:w="1321" w:type="dxa"/>
            <w:tcBorders>
              <w:bottom w:val="single" w:sz="4" w:space="0" w:color="000000"/>
            </w:tcBorders>
          </w:tcPr>
          <w:p w:rsidR="00291E20" w:rsidRPr="00241565" w:rsidRDefault="00291E20" w:rsidP="00391871">
            <w:pPr>
              <w:pStyle w:val="BCSTabletext"/>
            </w:pPr>
            <w:r w:rsidRPr="00241565">
              <w:t>16.50</w:t>
            </w:r>
          </w:p>
        </w:tc>
        <w:tc>
          <w:tcPr>
            <w:tcW w:w="1417" w:type="dxa"/>
            <w:tcBorders>
              <w:bottom w:val="single" w:sz="4" w:space="0" w:color="000000"/>
            </w:tcBorders>
          </w:tcPr>
          <w:p w:rsidR="00291E20" w:rsidRPr="00241565" w:rsidRDefault="00291E20" w:rsidP="00391871">
            <w:pPr>
              <w:pStyle w:val="BCSTabletext"/>
            </w:pPr>
            <w:r w:rsidRPr="00241565">
              <w:t>20.88</w:t>
            </w:r>
          </w:p>
        </w:tc>
        <w:tc>
          <w:tcPr>
            <w:tcW w:w="1276" w:type="dxa"/>
            <w:tcBorders>
              <w:bottom w:val="single" w:sz="4" w:space="0" w:color="000000"/>
            </w:tcBorders>
          </w:tcPr>
          <w:p w:rsidR="00291E20" w:rsidRPr="00241565" w:rsidRDefault="00291E20" w:rsidP="00391871">
            <w:pPr>
              <w:pStyle w:val="BCSTabletext"/>
            </w:pPr>
            <w:r w:rsidRPr="00241565">
              <w:t>1,798</w:t>
            </w:r>
          </w:p>
        </w:tc>
      </w:tr>
      <w:tr w:rsidR="00291E20" w:rsidRPr="00241565" w:rsidTr="00291E20">
        <w:tc>
          <w:tcPr>
            <w:tcW w:w="1517" w:type="dxa"/>
            <w:shd w:val="clear" w:color="auto" w:fill="C2D69B"/>
          </w:tcPr>
          <w:p w:rsidR="00291E20" w:rsidRPr="00241565" w:rsidRDefault="00291E20" w:rsidP="00291E20">
            <w:pPr>
              <w:contextualSpacing/>
              <w:rPr>
                <w:b/>
              </w:rPr>
            </w:pPr>
            <w:r w:rsidRPr="00241565">
              <w:rPr>
                <w:b/>
              </w:rPr>
              <w:t>Library</w:t>
            </w:r>
          </w:p>
        </w:tc>
        <w:tc>
          <w:tcPr>
            <w:tcW w:w="1128" w:type="dxa"/>
            <w:shd w:val="clear" w:color="auto" w:fill="C2D69B"/>
          </w:tcPr>
          <w:p w:rsidR="00291E20" w:rsidRPr="00241565" w:rsidRDefault="00291E20" w:rsidP="00391871">
            <w:pPr>
              <w:pStyle w:val="BCSTabletext"/>
            </w:pPr>
            <w:r w:rsidRPr="00241565">
              <w:t>3.27</w:t>
            </w:r>
          </w:p>
        </w:tc>
        <w:tc>
          <w:tcPr>
            <w:tcW w:w="1291" w:type="dxa"/>
            <w:shd w:val="clear" w:color="auto" w:fill="C2D69B"/>
          </w:tcPr>
          <w:p w:rsidR="00291E20" w:rsidRPr="00241565" w:rsidRDefault="00291E20" w:rsidP="00391871">
            <w:pPr>
              <w:pStyle w:val="BCSTabletext"/>
            </w:pPr>
            <w:r w:rsidRPr="00241565">
              <w:t>12.43</w:t>
            </w:r>
          </w:p>
        </w:tc>
        <w:tc>
          <w:tcPr>
            <w:tcW w:w="1372" w:type="dxa"/>
            <w:shd w:val="clear" w:color="auto" w:fill="C2D69B"/>
          </w:tcPr>
          <w:p w:rsidR="00291E20" w:rsidRPr="00241565" w:rsidRDefault="00291E20" w:rsidP="00391871">
            <w:pPr>
              <w:pStyle w:val="BCSTabletext"/>
            </w:pPr>
            <w:r w:rsidRPr="00241565">
              <w:t>258</w:t>
            </w:r>
          </w:p>
        </w:tc>
        <w:tc>
          <w:tcPr>
            <w:tcW w:w="1321" w:type="dxa"/>
            <w:shd w:val="clear" w:color="auto" w:fill="C2D69B"/>
          </w:tcPr>
          <w:p w:rsidR="00291E20" w:rsidRPr="00241565" w:rsidRDefault="00291E20" w:rsidP="00391871">
            <w:pPr>
              <w:pStyle w:val="BCSTabletext"/>
            </w:pPr>
            <w:r w:rsidRPr="00241565">
              <w:t>6.45</w:t>
            </w:r>
          </w:p>
        </w:tc>
        <w:tc>
          <w:tcPr>
            <w:tcW w:w="1417" w:type="dxa"/>
            <w:shd w:val="clear" w:color="auto" w:fill="C2D69B"/>
          </w:tcPr>
          <w:p w:rsidR="00291E20" w:rsidRPr="00241565" w:rsidRDefault="00291E20" w:rsidP="00391871">
            <w:pPr>
              <w:pStyle w:val="BCSTabletext"/>
            </w:pPr>
            <w:r w:rsidRPr="00241565">
              <w:t>7.06</w:t>
            </w:r>
          </w:p>
        </w:tc>
        <w:tc>
          <w:tcPr>
            <w:tcW w:w="1276" w:type="dxa"/>
            <w:shd w:val="clear" w:color="auto" w:fill="C2D69B"/>
          </w:tcPr>
          <w:p w:rsidR="00291E20" w:rsidRPr="00241565" w:rsidRDefault="00291E20" w:rsidP="00391871">
            <w:pPr>
              <w:pStyle w:val="BCSTabletext"/>
            </w:pPr>
            <w:r w:rsidRPr="00241565">
              <w:t>703</w:t>
            </w:r>
          </w:p>
        </w:tc>
      </w:tr>
      <w:tr w:rsidR="00291E20" w:rsidRPr="00241565" w:rsidTr="00291E20">
        <w:tc>
          <w:tcPr>
            <w:tcW w:w="1517" w:type="dxa"/>
            <w:tcBorders>
              <w:bottom w:val="single" w:sz="4" w:space="0" w:color="000000"/>
            </w:tcBorders>
          </w:tcPr>
          <w:p w:rsidR="00291E20" w:rsidRPr="00241565" w:rsidRDefault="00291E20" w:rsidP="00291E20">
            <w:pPr>
              <w:contextualSpacing/>
              <w:rPr>
                <w:b/>
              </w:rPr>
            </w:pPr>
            <w:r w:rsidRPr="00241565">
              <w:rPr>
                <w:b/>
              </w:rPr>
              <w:t>Village Hall</w:t>
            </w:r>
          </w:p>
        </w:tc>
        <w:tc>
          <w:tcPr>
            <w:tcW w:w="1128" w:type="dxa"/>
            <w:tcBorders>
              <w:bottom w:val="single" w:sz="4" w:space="0" w:color="000000"/>
            </w:tcBorders>
          </w:tcPr>
          <w:p w:rsidR="00291E20" w:rsidRPr="00241565" w:rsidRDefault="00291E20" w:rsidP="00391871">
            <w:pPr>
              <w:pStyle w:val="BCSTabletext"/>
            </w:pPr>
            <w:r w:rsidRPr="00241565">
              <w:t>3.13</w:t>
            </w:r>
          </w:p>
        </w:tc>
        <w:tc>
          <w:tcPr>
            <w:tcW w:w="1291" w:type="dxa"/>
            <w:tcBorders>
              <w:bottom w:val="single" w:sz="4" w:space="0" w:color="000000"/>
            </w:tcBorders>
          </w:tcPr>
          <w:p w:rsidR="00291E20" w:rsidRPr="00241565" w:rsidRDefault="00291E20" w:rsidP="00391871">
            <w:pPr>
              <w:pStyle w:val="BCSTabletext"/>
            </w:pPr>
            <w:r w:rsidRPr="00241565">
              <w:t>8.99</w:t>
            </w:r>
          </w:p>
        </w:tc>
        <w:tc>
          <w:tcPr>
            <w:tcW w:w="1372" w:type="dxa"/>
            <w:tcBorders>
              <w:bottom w:val="single" w:sz="4" w:space="0" w:color="000000"/>
            </w:tcBorders>
          </w:tcPr>
          <w:p w:rsidR="00291E20" w:rsidRPr="00241565" w:rsidRDefault="00291E20" w:rsidP="00391871">
            <w:pPr>
              <w:pStyle w:val="BCSTabletext"/>
            </w:pPr>
            <w:r w:rsidRPr="00241565">
              <w:t>247</w:t>
            </w:r>
          </w:p>
        </w:tc>
        <w:tc>
          <w:tcPr>
            <w:tcW w:w="1321" w:type="dxa"/>
            <w:tcBorders>
              <w:bottom w:val="single" w:sz="4" w:space="0" w:color="000000"/>
            </w:tcBorders>
          </w:tcPr>
          <w:p w:rsidR="00291E20" w:rsidRPr="00241565" w:rsidRDefault="00291E20" w:rsidP="00391871">
            <w:pPr>
              <w:pStyle w:val="BCSTabletext"/>
            </w:pPr>
            <w:r w:rsidRPr="00241565">
              <w:t>6.22</w:t>
            </w:r>
          </w:p>
        </w:tc>
        <w:tc>
          <w:tcPr>
            <w:tcW w:w="1417" w:type="dxa"/>
            <w:tcBorders>
              <w:bottom w:val="single" w:sz="4" w:space="0" w:color="000000"/>
            </w:tcBorders>
          </w:tcPr>
          <w:p w:rsidR="00291E20" w:rsidRPr="00241565" w:rsidRDefault="00291E20" w:rsidP="00391871">
            <w:pPr>
              <w:pStyle w:val="BCSTabletext"/>
            </w:pPr>
            <w:r w:rsidRPr="00241565">
              <w:t>14.36</w:t>
            </w:r>
          </w:p>
        </w:tc>
        <w:tc>
          <w:tcPr>
            <w:tcW w:w="1276" w:type="dxa"/>
            <w:tcBorders>
              <w:bottom w:val="single" w:sz="4" w:space="0" w:color="000000"/>
            </w:tcBorders>
          </w:tcPr>
          <w:p w:rsidR="00291E20" w:rsidRPr="00241565" w:rsidRDefault="00291E20" w:rsidP="00391871">
            <w:pPr>
              <w:pStyle w:val="BCSTabletext"/>
            </w:pPr>
            <w:r w:rsidRPr="00241565">
              <w:t>678</w:t>
            </w:r>
          </w:p>
        </w:tc>
      </w:tr>
      <w:tr w:rsidR="00291E20" w:rsidRPr="00241565" w:rsidTr="00291E20">
        <w:tc>
          <w:tcPr>
            <w:tcW w:w="1517" w:type="dxa"/>
            <w:shd w:val="clear" w:color="auto" w:fill="C2D69B"/>
          </w:tcPr>
          <w:p w:rsidR="00291E20" w:rsidRPr="00241565" w:rsidRDefault="00291E20" w:rsidP="00291E20">
            <w:pPr>
              <w:contextualSpacing/>
              <w:rPr>
                <w:b/>
              </w:rPr>
            </w:pPr>
            <w:r w:rsidRPr="00241565">
              <w:rPr>
                <w:b/>
              </w:rPr>
              <w:t>Place of Worship</w:t>
            </w:r>
          </w:p>
        </w:tc>
        <w:tc>
          <w:tcPr>
            <w:tcW w:w="1128" w:type="dxa"/>
            <w:shd w:val="clear" w:color="auto" w:fill="C2D69B"/>
          </w:tcPr>
          <w:p w:rsidR="00291E20" w:rsidRPr="00241565" w:rsidRDefault="00291E20" w:rsidP="00391871">
            <w:pPr>
              <w:pStyle w:val="BCSTabletext"/>
            </w:pPr>
            <w:r w:rsidRPr="00241565">
              <w:t>5.06</w:t>
            </w:r>
          </w:p>
        </w:tc>
        <w:tc>
          <w:tcPr>
            <w:tcW w:w="1291" w:type="dxa"/>
            <w:shd w:val="clear" w:color="auto" w:fill="C2D69B"/>
          </w:tcPr>
          <w:p w:rsidR="00291E20" w:rsidRPr="00241565" w:rsidRDefault="00291E20" w:rsidP="00391871">
            <w:pPr>
              <w:pStyle w:val="BCSTabletext"/>
            </w:pPr>
            <w:r w:rsidRPr="00241565">
              <w:t>17.43</w:t>
            </w:r>
          </w:p>
        </w:tc>
        <w:tc>
          <w:tcPr>
            <w:tcW w:w="1372" w:type="dxa"/>
            <w:shd w:val="clear" w:color="auto" w:fill="C2D69B"/>
          </w:tcPr>
          <w:p w:rsidR="00291E20" w:rsidRPr="00241565" w:rsidRDefault="00291E20" w:rsidP="00391871">
            <w:pPr>
              <w:pStyle w:val="BCSTabletext"/>
            </w:pPr>
            <w:r w:rsidRPr="00241565">
              <w:t>400</w:t>
            </w:r>
          </w:p>
        </w:tc>
        <w:tc>
          <w:tcPr>
            <w:tcW w:w="1321" w:type="dxa"/>
            <w:shd w:val="clear" w:color="auto" w:fill="C2D69B"/>
          </w:tcPr>
          <w:p w:rsidR="00291E20" w:rsidRPr="00241565" w:rsidRDefault="00291E20" w:rsidP="00391871">
            <w:pPr>
              <w:pStyle w:val="BCSTabletext"/>
            </w:pPr>
            <w:r w:rsidRPr="00241565">
              <w:t>5.61</w:t>
            </w:r>
          </w:p>
        </w:tc>
        <w:tc>
          <w:tcPr>
            <w:tcW w:w="1417" w:type="dxa"/>
            <w:shd w:val="clear" w:color="auto" w:fill="C2D69B"/>
          </w:tcPr>
          <w:p w:rsidR="00291E20" w:rsidRPr="00241565" w:rsidRDefault="00291E20" w:rsidP="00391871">
            <w:pPr>
              <w:pStyle w:val="BCSTabletext"/>
            </w:pPr>
            <w:r w:rsidRPr="00241565">
              <w:t>20.84</w:t>
            </w:r>
          </w:p>
        </w:tc>
        <w:tc>
          <w:tcPr>
            <w:tcW w:w="1276" w:type="dxa"/>
            <w:shd w:val="clear" w:color="auto" w:fill="C2D69B"/>
          </w:tcPr>
          <w:p w:rsidR="00291E20" w:rsidRPr="00241565" w:rsidRDefault="00291E20" w:rsidP="00391871">
            <w:pPr>
              <w:pStyle w:val="BCSTabletext"/>
            </w:pPr>
            <w:r w:rsidRPr="00241565">
              <w:t>612</w:t>
            </w:r>
          </w:p>
        </w:tc>
      </w:tr>
      <w:tr w:rsidR="00291E20" w:rsidRPr="00241565" w:rsidTr="00291E20">
        <w:tc>
          <w:tcPr>
            <w:tcW w:w="1517" w:type="dxa"/>
            <w:tcBorders>
              <w:bottom w:val="single" w:sz="4" w:space="0" w:color="000000"/>
            </w:tcBorders>
          </w:tcPr>
          <w:p w:rsidR="00291E20" w:rsidRPr="00241565" w:rsidRDefault="00291E20" w:rsidP="00291E20">
            <w:pPr>
              <w:contextualSpacing/>
              <w:rPr>
                <w:b/>
              </w:rPr>
            </w:pPr>
            <w:r w:rsidRPr="00241565">
              <w:rPr>
                <w:b/>
              </w:rPr>
              <w:t>At a Distance</w:t>
            </w:r>
          </w:p>
        </w:tc>
        <w:tc>
          <w:tcPr>
            <w:tcW w:w="1128" w:type="dxa"/>
            <w:tcBorders>
              <w:bottom w:val="single" w:sz="4" w:space="0" w:color="000000"/>
            </w:tcBorders>
          </w:tcPr>
          <w:p w:rsidR="00291E20" w:rsidRPr="00241565" w:rsidRDefault="00291E20" w:rsidP="00391871">
            <w:pPr>
              <w:pStyle w:val="BCSTabletext"/>
            </w:pPr>
            <w:r w:rsidRPr="00241565">
              <w:t>16.11</w:t>
            </w:r>
          </w:p>
        </w:tc>
        <w:tc>
          <w:tcPr>
            <w:tcW w:w="1291" w:type="dxa"/>
            <w:tcBorders>
              <w:bottom w:val="single" w:sz="4" w:space="0" w:color="000000"/>
            </w:tcBorders>
          </w:tcPr>
          <w:p w:rsidR="00291E20" w:rsidRPr="00241565" w:rsidRDefault="00291E20" w:rsidP="00391871">
            <w:pPr>
              <w:pStyle w:val="BCSTabletext"/>
            </w:pPr>
            <w:r w:rsidRPr="00241565">
              <w:t>115.79</w:t>
            </w:r>
          </w:p>
        </w:tc>
        <w:tc>
          <w:tcPr>
            <w:tcW w:w="1372" w:type="dxa"/>
            <w:tcBorders>
              <w:bottom w:val="single" w:sz="4" w:space="0" w:color="000000"/>
            </w:tcBorders>
          </w:tcPr>
          <w:p w:rsidR="00291E20" w:rsidRPr="00241565" w:rsidRDefault="00291E20" w:rsidP="00391871">
            <w:pPr>
              <w:pStyle w:val="BCSTabletext"/>
            </w:pPr>
            <w:r w:rsidRPr="00241565">
              <w:t>1,273</w:t>
            </w:r>
          </w:p>
        </w:tc>
        <w:tc>
          <w:tcPr>
            <w:tcW w:w="1321" w:type="dxa"/>
            <w:tcBorders>
              <w:bottom w:val="single" w:sz="4" w:space="0" w:color="000000"/>
            </w:tcBorders>
          </w:tcPr>
          <w:p w:rsidR="00291E20" w:rsidRPr="00241565" w:rsidRDefault="00291E20" w:rsidP="00391871">
            <w:pPr>
              <w:pStyle w:val="BCSTabletext"/>
            </w:pPr>
            <w:r w:rsidRPr="00241565">
              <w:t>4.99</w:t>
            </w:r>
          </w:p>
        </w:tc>
        <w:tc>
          <w:tcPr>
            <w:tcW w:w="1417" w:type="dxa"/>
            <w:tcBorders>
              <w:bottom w:val="single" w:sz="4" w:space="0" w:color="000000"/>
            </w:tcBorders>
          </w:tcPr>
          <w:p w:rsidR="00291E20" w:rsidRPr="00241565" w:rsidRDefault="00291E20" w:rsidP="00391871">
            <w:pPr>
              <w:pStyle w:val="BCSTabletext"/>
            </w:pPr>
            <w:r w:rsidRPr="00241565">
              <w:t>14.11</w:t>
            </w:r>
          </w:p>
        </w:tc>
        <w:tc>
          <w:tcPr>
            <w:tcW w:w="1276" w:type="dxa"/>
            <w:tcBorders>
              <w:bottom w:val="single" w:sz="4" w:space="0" w:color="000000"/>
            </w:tcBorders>
          </w:tcPr>
          <w:p w:rsidR="00291E20" w:rsidRPr="00241565" w:rsidRDefault="00291E20" w:rsidP="00391871">
            <w:pPr>
              <w:pStyle w:val="BCSTabletext"/>
            </w:pPr>
            <w:r w:rsidRPr="00241565">
              <w:t>544</w:t>
            </w:r>
          </w:p>
        </w:tc>
      </w:tr>
      <w:tr w:rsidR="00291E20" w:rsidRPr="00241565" w:rsidTr="00291E20">
        <w:tc>
          <w:tcPr>
            <w:tcW w:w="1517" w:type="dxa"/>
            <w:shd w:val="clear" w:color="auto" w:fill="C2D69B"/>
          </w:tcPr>
          <w:p w:rsidR="00291E20" w:rsidRPr="00241565" w:rsidRDefault="00291E20" w:rsidP="00291E20">
            <w:pPr>
              <w:contextualSpacing/>
              <w:rPr>
                <w:b/>
              </w:rPr>
            </w:pPr>
            <w:r w:rsidRPr="00241565">
              <w:rPr>
                <w:b/>
              </w:rPr>
              <w:t>Public House</w:t>
            </w:r>
          </w:p>
        </w:tc>
        <w:tc>
          <w:tcPr>
            <w:tcW w:w="1128" w:type="dxa"/>
            <w:shd w:val="clear" w:color="auto" w:fill="C2D69B"/>
          </w:tcPr>
          <w:p w:rsidR="00291E20" w:rsidRPr="00241565" w:rsidRDefault="00291E20" w:rsidP="00391871">
            <w:pPr>
              <w:pStyle w:val="BCSTabletext"/>
            </w:pPr>
            <w:r w:rsidRPr="00241565">
              <w:t>0.15</w:t>
            </w:r>
          </w:p>
        </w:tc>
        <w:tc>
          <w:tcPr>
            <w:tcW w:w="1291" w:type="dxa"/>
            <w:shd w:val="clear" w:color="auto" w:fill="C2D69B"/>
          </w:tcPr>
          <w:p w:rsidR="00291E20" w:rsidRPr="00241565" w:rsidRDefault="00291E20" w:rsidP="00391871">
            <w:pPr>
              <w:pStyle w:val="BCSTabletext"/>
            </w:pPr>
            <w:r w:rsidRPr="00241565">
              <w:t>0.66</w:t>
            </w:r>
          </w:p>
        </w:tc>
        <w:tc>
          <w:tcPr>
            <w:tcW w:w="1372" w:type="dxa"/>
            <w:shd w:val="clear" w:color="auto" w:fill="C2D69B"/>
          </w:tcPr>
          <w:p w:rsidR="00291E20" w:rsidRPr="00241565" w:rsidRDefault="00291E20" w:rsidP="00391871">
            <w:pPr>
              <w:pStyle w:val="BCSTabletext"/>
            </w:pPr>
            <w:r w:rsidRPr="00241565">
              <w:t>12</w:t>
            </w:r>
          </w:p>
        </w:tc>
        <w:tc>
          <w:tcPr>
            <w:tcW w:w="1321" w:type="dxa"/>
            <w:shd w:val="clear" w:color="auto" w:fill="C2D69B"/>
          </w:tcPr>
          <w:p w:rsidR="00291E20" w:rsidRPr="00241565" w:rsidRDefault="00291E20" w:rsidP="00391871">
            <w:pPr>
              <w:pStyle w:val="BCSTabletext"/>
            </w:pPr>
            <w:r w:rsidRPr="00241565">
              <w:t>0.28</w:t>
            </w:r>
          </w:p>
        </w:tc>
        <w:tc>
          <w:tcPr>
            <w:tcW w:w="1417" w:type="dxa"/>
            <w:shd w:val="clear" w:color="auto" w:fill="C2D69B"/>
          </w:tcPr>
          <w:p w:rsidR="00291E20" w:rsidRPr="00241565" w:rsidRDefault="00291E20" w:rsidP="00391871">
            <w:pPr>
              <w:pStyle w:val="BCSTabletext"/>
            </w:pPr>
            <w:r w:rsidRPr="00241565">
              <w:t>1.11</w:t>
            </w:r>
          </w:p>
        </w:tc>
        <w:tc>
          <w:tcPr>
            <w:tcW w:w="1276" w:type="dxa"/>
            <w:shd w:val="clear" w:color="auto" w:fill="C2D69B"/>
          </w:tcPr>
          <w:p w:rsidR="00291E20" w:rsidRPr="00241565" w:rsidRDefault="00291E20" w:rsidP="00391871">
            <w:pPr>
              <w:pStyle w:val="BCSTabletext"/>
            </w:pPr>
            <w:r w:rsidRPr="00241565">
              <w:t>30</w:t>
            </w:r>
          </w:p>
        </w:tc>
      </w:tr>
    </w:tbl>
    <w:p w:rsidR="00291E20" w:rsidRPr="00241565" w:rsidRDefault="00291E20" w:rsidP="00391871">
      <w:pPr>
        <w:pStyle w:val="BCSTabletextafter"/>
      </w:pPr>
      <w:r w:rsidRPr="00241565">
        <w:t>(</w:t>
      </w:r>
      <w:r w:rsidRPr="00241565">
        <w:rPr>
          <w:b/>
        </w:rPr>
        <w:t>NB:</w:t>
      </w:r>
      <w:r w:rsidRPr="00241565">
        <w:t xml:space="preserve"> figures based upon 79 VCS/ WEAs and 109 LAs who entered a numeric value against at least one category)</w:t>
      </w:r>
    </w:p>
    <w:p w:rsidR="00291E20" w:rsidRPr="00241565" w:rsidRDefault="00291E20" w:rsidP="00291E20">
      <w:pPr>
        <w:contextualSpacing/>
      </w:pPr>
    </w:p>
    <w:p w:rsidR="00291E20" w:rsidRPr="00375ECD" w:rsidRDefault="00291E20" w:rsidP="00391871">
      <w:pPr>
        <w:pStyle w:val="Heading3"/>
      </w:pPr>
      <w:r w:rsidRPr="00375ECD">
        <w:t>Teaching and Support Staff:</w:t>
      </w:r>
    </w:p>
    <w:p w:rsidR="00291E20" w:rsidRPr="00241565" w:rsidRDefault="00291E20" w:rsidP="00391871">
      <w:pPr>
        <w:pStyle w:val="BCSParagraph"/>
      </w:pPr>
      <w:r w:rsidRPr="00241565">
        <w:t>Respondents were asked to give the number of staff employed by their organisation that were (a) support staff, and (b) delivery/teaching staff employed to support adult learning.  This was coupled with a breakdown of employed staff on the basis of:</w:t>
      </w:r>
    </w:p>
    <w:p w:rsidR="00291E20" w:rsidRPr="00241565" w:rsidRDefault="00291E20" w:rsidP="00391871">
      <w:pPr>
        <w:pStyle w:val="BCSBulletparagraph"/>
      </w:pPr>
      <w:r w:rsidRPr="00241565">
        <w:t>14 or more hours per week</w:t>
      </w:r>
    </w:p>
    <w:p w:rsidR="00291E20" w:rsidRPr="00241565" w:rsidRDefault="00291E20" w:rsidP="00391871">
      <w:pPr>
        <w:pStyle w:val="BCSBulletparagraph"/>
      </w:pPr>
      <w:r w:rsidRPr="00241565">
        <w:t>7 to 13 hours per week, or</w:t>
      </w:r>
    </w:p>
    <w:p w:rsidR="00291E20" w:rsidRPr="00241565" w:rsidRDefault="00291E20" w:rsidP="00391871">
      <w:pPr>
        <w:pStyle w:val="BCSBulletparagraph"/>
      </w:pPr>
      <w:r w:rsidRPr="00241565">
        <w:t>Up to 6 hours per week</w:t>
      </w:r>
    </w:p>
    <w:p w:rsidR="00291E20" w:rsidRPr="00241565" w:rsidRDefault="00291E20" w:rsidP="00291E20">
      <w:pPr>
        <w:ind w:left="360"/>
        <w:contextualSpacing/>
      </w:pPr>
    </w:p>
    <w:p w:rsidR="00291E20" w:rsidRPr="00241565" w:rsidRDefault="00291E20" w:rsidP="00391871">
      <w:pPr>
        <w:pStyle w:val="BCSParagraph"/>
      </w:pPr>
      <w:r w:rsidRPr="00241565">
        <w:t>Of all the teaching staff li</w:t>
      </w:r>
      <w:r w:rsidR="007045CD">
        <w:t>sted by LAs and VCS/ WEAs, 80</w:t>
      </w:r>
      <w:r w:rsidRPr="00241565">
        <w:t>% were employed by</w:t>
      </w:r>
      <w:r w:rsidR="007045CD">
        <w:t xml:space="preserve"> local authorities, whilst 20</w:t>
      </w:r>
      <w:r w:rsidRPr="00241565">
        <w:t xml:space="preserve">% were employed by VCS/ WEAs.  </w:t>
      </w:r>
      <w:r w:rsidR="007045CD">
        <w:t>In terms of support staff, 68</w:t>
      </w:r>
      <w:r w:rsidRPr="00241565">
        <w:t>% we</w:t>
      </w:r>
      <w:r w:rsidR="007045CD">
        <w:t>re employed by LAs, whilst 32</w:t>
      </w:r>
      <w:r w:rsidRPr="00241565">
        <w:t>% were employed by VCS/ WEAs.  Overall, more staff were employed by local authorities in each category, though this should be noted in the context of the number of returns in each case:</w:t>
      </w:r>
    </w:p>
    <w:p w:rsidR="00291E20" w:rsidRPr="00241565" w:rsidRDefault="00291E20" w:rsidP="00391871">
      <w:pPr>
        <w:pStyle w:val="BCSBulletparagraph"/>
      </w:pPr>
      <w:r w:rsidRPr="00241565">
        <w:t xml:space="preserve">Teaching staff: LAs n = 104, VCS/ WEAs n = 85 </w:t>
      </w:r>
    </w:p>
    <w:p w:rsidR="00291E20" w:rsidRPr="00241565" w:rsidRDefault="00291E20" w:rsidP="00391871">
      <w:pPr>
        <w:pStyle w:val="BCSBulletparagraph"/>
      </w:pPr>
      <w:r w:rsidRPr="00241565">
        <w:t xml:space="preserve">Support staff: LAs n = 95, VCS/ WEAs n = 81 </w:t>
      </w:r>
    </w:p>
    <w:p w:rsidR="00291E20" w:rsidRPr="00241565" w:rsidRDefault="00291E20" w:rsidP="00291E20">
      <w:pPr>
        <w:contextualSpacing/>
      </w:pPr>
    </w:p>
    <w:p w:rsidR="00291E20" w:rsidRPr="00241565" w:rsidRDefault="00291E20" w:rsidP="00391871">
      <w:pPr>
        <w:pStyle w:val="BCSParagraph"/>
      </w:pPr>
      <w:r w:rsidRPr="00241565">
        <w:t xml:space="preserve">In terms of contracted teaching hours, </w:t>
      </w:r>
      <w:hyperlink w:anchor="_Figure_2:_" w:history="1">
        <w:r w:rsidRPr="00241565">
          <w:rPr>
            <w:rStyle w:val="Hyperlink"/>
          </w:rPr>
          <w:t>figure 2</w:t>
        </w:r>
      </w:hyperlink>
      <w:r w:rsidRPr="00241565">
        <w:t xml:space="preserve"> shows the proportions of </w:t>
      </w:r>
      <w:r w:rsidRPr="00241565">
        <w:rPr>
          <w:i/>
        </w:rPr>
        <w:t>all</w:t>
      </w:r>
      <w:r w:rsidRPr="00241565">
        <w:t xml:space="preserve"> teaching staff and </w:t>
      </w:r>
      <w:r w:rsidRPr="00241565">
        <w:rPr>
          <w:i/>
        </w:rPr>
        <w:t>all</w:t>
      </w:r>
      <w:r w:rsidRPr="00241565">
        <w:t xml:space="preserve"> support staff by ‘hours worked’, across LA and VCS/ WEA organisations.  </w:t>
      </w:r>
      <w:r w:rsidRPr="00241565">
        <w:lastRenderedPageBreak/>
        <w:t>In both cases, approximate</w:t>
      </w:r>
      <w:r w:rsidR="007045CD">
        <w:t>ly half of teaching staff (49%) and support staff (52</w:t>
      </w:r>
      <w:r w:rsidRPr="00241565">
        <w:t>%) were employed by local authorities on a contract of up to six hours per</w:t>
      </w:r>
      <w:r w:rsidR="007045CD">
        <w:t xml:space="preserve"> week.  VCS/ WEAs employed 13</w:t>
      </w:r>
      <w:r w:rsidRPr="00241565">
        <w:t>%</w:t>
      </w:r>
      <w:r w:rsidR="007045CD">
        <w:t xml:space="preserve"> of all teaching staff and 18</w:t>
      </w:r>
      <w:r w:rsidRPr="00241565">
        <w:t xml:space="preserve">% of all support staff on the same basis.  This was by far the most cited contract type. </w:t>
      </w:r>
    </w:p>
    <w:p w:rsidR="00291E20" w:rsidRPr="00241565" w:rsidRDefault="00291E20" w:rsidP="00391871">
      <w:pPr>
        <w:pStyle w:val="BCSParagraph"/>
      </w:pPr>
    </w:p>
    <w:p w:rsidR="00291E20" w:rsidRPr="00241565" w:rsidRDefault="007045CD" w:rsidP="00391871">
      <w:pPr>
        <w:pStyle w:val="BCSParagraph"/>
      </w:pPr>
      <w:r>
        <w:t>Local authorities employed 15</w:t>
      </w:r>
      <w:r w:rsidR="00291E20" w:rsidRPr="00241565">
        <w:t>%</w:t>
      </w:r>
      <w:r>
        <w:t xml:space="preserve"> of all teaching staff and 12</w:t>
      </w:r>
      <w:r w:rsidR="00291E20" w:rsidRPr="00241565">
        <w:t xml:space="preserve">% of all support staff on the basis of 7 and 13 hours per week.  VCS/ WEAs employed proportionately less </w:t>
      </w:r>
      <w:r>
        <w:t>of all staff on this basis; 3% of teaching staff and 4</w:t>
      </w:r>
      <w:r w:rsidR="00291E20" w:rsidRPr="00241565">
        <w:t xml:space="preserve">% of support staff. </w:t>
      </w:r>
    </w:p>
    <w:p w:rsidR="00291E20" w:rsidRPr="00241565" w:rsidRDefault="00291E20" w:rsidP="00391871">
      <w:pPr>
        <w:pStyle w:val="BCSParagraph"/>
      </w:pPr>
    </w:p>
    <w:p w:rsidR="00291E20" w:rsidRDefault="00291E20" w:rsidP="00391871">
      <w:pPr>
        <w:pStyle w:val="BCSParagraph"/>
      </w:pPr>
      <w:r w:rsidRPr="00241565">
        <w:t>Loc</w:t>
      </w:r>
      <w:r w:rsidR="007045CD">
        <w:t>al authorities employed 15% of all teaching staff and 6</w:t>
      </w:r>
      <w:r w:rsidRPr="00241565">
        <w:t>% of all support staff on the basis of 14 or more hours per week, whilst VCS</w:t>
      </w:r>
      <w:r w:rsidR="007045CD">
        <w:t>/ WEAs were responsible for 5% of teaching staff and 7</w:t>
      </w:r>
      <w:r w:rsidRPr="00241565">
        <w:t xml:space="preserve">% of support staff within this category.  </w:t>
      </w:r>
    </w:p>
    <w:p w:rsidR="00291E20" w:rsidRPr="00241565" w:rsidRDefault="00291E20" w:rsidP="00391871">
      <w:pPr>
        <w:pStyle w:val="BCSTableheadings"/>
      </w:pPr>
      <w:bookmarkStart w:id="18" w:name="_Figure_2:_"/>
      <w:bookmarkStart w:id="19" w:name="_Toc256332118"/>
      <w:bookmarkEnd w:id="18"/>
      <w:r w:rsidRPr="00241565">
        <w:t>Figure 2:  Percentage of hours worked, per week, by all direct delivery staff</w:t>
      </w:r>
      <w:bookmarkEnd w:id="19"/>
    </w:p>
    <w:p w:rsidR="00291E20" w:rsidRDefault="002102AA" w:rsidP="00291E20">
      <w:pPr>
        <w:ind w:left="-567"/>
      </w:pPr>
      <w:r>
        <w:rPr>
          <w:noProof/>
        </w:rPr>
        <w:drawing>
          <wp:inline distT="0" distB="0" distL="0" distR="0">
            <wp:extent cx="6586855" cy="432625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586855" cy="4326255"/>
                    </a:xfrm>
                    <a:prstGeom prst="rect">
                      <a:avLst/>
                    </a:prstGeom>
                    <a:noFill/>
                    <a:ln w="9525">
                      <a:noFill/>
                      <a:miter lim="800000"/>
                      <a:headEnd/>
                      <a:tailEnd/>
                    </a:ln>
                  </pic:spPr>
                </pic:pic>
              </a:graphicData>
            </a:graphic>
          </wp:inline>
        </w:drawing>
      </w:r>
    </w:p>
    <w:p w:rsidR="00391871" w:rsidRDefault="00291E20" w:rsidP="00391871">
      <w:pPr>
        <w:pStyle w:val="BCSParagraph"/>
      </w:pPr>
      <w:r>
        <w:t xml:space="preserve">These finding expand upon the categories of the 2008/09 survey, where part time staff represented the majority of the local authority workforce.   Though the format of </w:t>
      </w:r>
      <w:r>
        <w:lastRenderedPageBreak/>
        <w:t xml:space="preserve">the questions asked in 2009/10 differs, the trend remains the same with part-time staff being employed far in excess of full-time staff, and full-time learning support staff being the category least employed by local authorities.  </w:t>
      </w:r>
      <w:bookmarkStart w:id="20" w:name="_Toc257276006"/>
    </w:p>
    <w:p w:rsidR="00291E20" w:rsidRPr="00391871" w:rsidRDefault="00291E20" w:rsidP="007045CD">
      <w:pPr>
        <w:pStyle w:val="Heading2"/>
      </w:pPr>
      <w:r w:rsidRPr="007045CD">
        <w:rPr>
          <w:rFonts w:eastAsia="Calibri"/>
        </w:rPr>
        <w:t>Strategy and Management</w:t>
      </w:r>
      <w:bookmarkEnd w:id="20"/>
    </w:p>
    <w:p w:rsidR="00291E20" w:rsidRDefault="00291E20" w:rsidP="007045CD">
      <w:pPr>
        <w:pStyle w:val="BCSParagraph"/>
      </w:pPr>
      <w:r>
        <w:t>This second section of the survey sought to establish organisations’ use of e-strategies, the frequency with which they are updated and the particular elements organisations strategically address and prioritise.</w:t>
      </w:r>
    </w:p>
    <w:p w:rsidR="00291E20" w:rsidRPr="00860852" w:rsidRDefault="00291E20" w:rsidP="00391871">
      <w:pPr>
        <w:pStyle w:val="Heading3"/>
      </w:pPr>
      <w:r w:rsidRPr="00860852">
        <w:t>Formal</w:t>
      </w:r>
      <w:r>
        <w:t>ised</w:t>
      </w:r>
      <w:r w:rsidRPr="00860852">
        <w:t xml:space="preserve"> strategic commitment to ILT and e-learning:</w:t>
      </w:r>
    </w:p>
    <w:p w:rsidR="00291E20" w:rsidRDefault="00291E20" w:rsidP="00391871">
      <w:pPr>
        <w:pStyle w:val="BCSParagraph"/>
      </w:pPr>
      <w:r>
        <w:t>In order to establish the formalised strategic commitment to the use of Information and Learning Technologies (ILT) and e-learning amongst organisations, the survey asked how many organisations had an e-strategy in place.  Amongst local authorities, 98.20% indicated that had an e-strategy in place; the remaining 1.80% stated that, whilst they did not have an e-strategy, they did</w:t>
      </w:r>
      <w:r w:rsidRPr="00AE3B08">
        <w:t xml:space="preserve"> inclu</w:t>
      </w:r>
      <w:r>
        <w:t xml:space="preserve">de specific ILT elements in their </w:t>
      </w:r>
      <w:r w:rsidRPr="00AE3B08">
        <w:t>organisational strategy</w:t>
      </w:r>
      <w:r>
        <w:t>.</w:t>
      </w:r>
    </w:p>
    <w:p w:rsidR="00291E20" w:rsidRDefault="00291E20" w:rsidP="00391871">
      <w:pPr>
        <w:pStyle w:val="BCSParagraph"/>
      </w:pPr>
    </w:p>
    <w:p w:rsidR="00291E20" w:rsidRDefault="00291E20" w:rsidP="00391871">
      <w:pPr>
        <w:pStyle w:val="BCSParagraph"/>
      </w:pPr>
      <w:r>
        <w:t xml:space="preserve">Of the VCS/ WEAs, 86.52% indicated that they already had an e-strategy in place, with a further 10.11% stating that though they did not currently have an e-strategy, they did </w:t>
      </w:r>
      <w:r w:rsidRPr="00AE3B08">
        <w:t>inclu</w:t>
      </w:r>
      <w:r>
        <w:t xml:space="preserve">de specific ILT elements in their </w:t>
      </w:r>
      <w:r w:rsidRPr="00AE3B08">
        <w:t>organisational strategy</w:t>
      </w:r>
      <w:r>
        <w:t>.  One respondent (1.12%) stated that they did not have an e-strategy, one respondent did not reply to this question and a further respondent indicated that they did not know whether they had an e-strategy or not.</w:t>
      </w:r>
    </w:p>
    <w:p w:rsidR="00291E20" w:rsidRDefault="00291E20" w:rsidP="00391871">
      <w:pPr>
        <w:pStyle w:val="BCSParagraph"/>
      </w:pPr>
    </w:p>
    <w:p w:rsidR="00291E20" w:rsidRDefault="00291E20" w:rsidP="00391871">
      <w:pPr>
        <w:pStyle w:val="BCSParagraph"/>
      </w:pPr>
      <w:r>
        <w:t>When compared to the findings of the 2008/09 survey, an improvement is seen; in 2008/09 95% of LAs had an e-strategy in place.</w:t>
      </w:r>
    </w:p>
    <w:p w:rsidR="00CE4111" w:rsidRDefault="00CE4111" w:rsidP="00391871">
      <w:pPr>
        <w:pStyle w:val="BCSParagraph"/>
      </w:pPr>
    </w:p>
    <w:p w:rsidR="00291E20" w:rsidRDefault="00CE4111" w:rsidP="00391871">
      <w:pPr>
        <w:pStyle w:val="BCSParagraph"/>
      </w:pPr>
      <w:r>
        <w:t>T</w:t>
      </w:r>
      <w:r w:rsidR="00291E20">
        <w:t>he survey asked whether organisations’</w:t>
      </w:r>
      <w:r w:rsidR="00291E20" w:rsidRPr="000D6132">
        <w:t xml:space="preserve"> e-strategy, or specific ILT elements</w:t>
      </w:r>
      <w:r w:rsidR="00291E20">
        <w:t>, identified</w:t>
      </w:r>
      <w:r w:rsidR="00291E20" w:rsidRPr="000D6132">
        <w:t xml:space="preserve"> particular objectives for adult and community learning</w:t>
      </w:r>
      <w:r w:rsidR="00291E20">
        <w:t xml:space="preserve">.  All LAs responded to this question, of which 94.59% indicated that they did and 3.60% indicated that they did not.  One respondent (0.90%) indicated that they didn’t know, and one did not respond to the question.  </w:t>
      </w:r>
    </w:p>
    <w:p w:rsidR="00291E20" w:rsidRDefault="00291E20" w:rsidP="00391871">
      <w:pPr>
        <w:pStyle w:val="BCSParagraph"/>
      </w:pPr>
    </w:p>
    <w:p w:rsidR="00291E20" w:rsidRDefault="00291E20" w:rsidP="00391871">
      <w:pPr>
        <w:pStyle w:val="BCSParagraph"/>
      </w:pPr>
      <w:r>
        <w:t xml:space="preserve">In terms of VCS/ WEAs, 87.64% stated that they had identified </w:t>
      </w:r>
      <w:r w:rsidRPr="000D6132">
        <w:t>particular objectives for adult and community learning</w:t>
      </w:r>
      <w:r>
        <w:t xml:space="preserve"> within their e-strategy, whilst 8.99% indicated that </w:t>
      </w:r>
      <w:r>
        <w:lastRenderedPageBreak/>
        <w:t xml:space="preserve">they did not.  Overall, 1.12% of respondents didn’t know and 2.25% did not reply to the question. </w:t>
      </w:r>
    </w:p>
    <w:p w:rsidR="00291E20" w:rsidRDefault="00291E20" w:rsidP="00291E20">
      <w:pPr>
        <w:contextualSpacing/>
      </w:pPr>
    </w:p>
    <w:p w:rsidR="00291E20" w:rsidRPr="00375ECD" w:rsidRDefault="00291E20" w:rsidP="00391871">
      <w:pPr>
        <w:pStyle w:val="Heading3"/>
      </w:pPr>
      <w:r w:rsidRPr="00391871">
        <w:t>Frequency of e-strategy review</w:t>
      </w:r>
      <w:r w:rsidRPr="00375ECD">
        <w:rPr>
          <w:sz w:val="24"/>
        </w:rPr>
        <w:t>:</w:t>
      </w:r>
    </w:p>
    <w:p w:rsidR="00291E20" w:rsidRDefault="00291E20" w:rsidP="00391871">
      <w:pPr>
        <w:pStyle w:val="BCSParagraph"/>
      </w:pPr>
      <w:r w:rsidRPr="000D6132">
        <w:t xml:space="preserve"> </w:t>
      </w:r>
      <w:r>
        <w:t>In order to establish the frequency with which organisations reviewed their e-strategy, organisations were asked whether they reviewed their strategy (a) more than once per year, (b) annually, (c) every two years (approx), or (d) more than every two years.  The majority of respondents, in terms of both LAs (54.05%) and VCS/ WEAs (59.55%) indicated that they reviewed their strategies annually (</w:t>
      </w:r>
      <w:hyperlink w:anchor="_Figure_3:_Frequency" w:history="1">
        <w:r w:rsidRPr="00EC1F39">
          <w:rPr>
            <w:rStyle w:val="Hyperlink"/>
          </w:rPr>
          <w:t>figure 3</w:t>
        </w:r>
      </w:hyperlink>
      <w:r>
        <w:t xml:space="preserve">).  </w:t>
      </w:r>
    </w:p>
    <w:p w:rsidR="00291E20" w:rsidRDefault="00291E20" w:rsidP="00391871">
      <w:pPr>
        <w:pStyle w:val="BCSParagraph"/>
      </w:pPr>
    </w:p>
    <w:p w:rsidR="00291E20" w:rsidRDefault="00291E20" w:rsidP="00391871">
      <w:pPr>
        <w:pStyle w:val="BCSParagraph"/>
      </w:pPr>
      <w:r>
        <w:t>Overall, 23.42% of local authorities updated their strategies every two years, with 14.61% of VCS/ WEAs stating the same.  19.82% of local authorities and 20.22% of VCS/ WEAs stated that they updated their strategies more than once a year, and 2.70% of local authorities and 3.37% of VCS/ WEAs updated their strategies more than every two years.  2.25% of VCS/ WEAs did not reply to this question.</w:t>
      </w:r>
    </w:p>
    <w:p w:rsidR="00291E20" w:rsidRDefault="00291E20" w:rsidP="00391871">
      <w:pPr>
        <w:pStyle w:val="BCSParagraph"/>
      </w:pPr>
    </w:p>
    <w:p w:rsidR="00291E20" w:rsidRDefault="00291E20" w:rsidP="00391871">
      <w:pPr>
        <w:pStyle w:val="BCSParagraph"/>
      </w:pPr>
      <w:r>
        <w:t xml:space="preserve">When compared to the results of the 2008/09 survey, where 38% of LAs updated their strategies annually, but a further 30% carried out more frequent updates, it seems that LA’s strategy updates are now more likely to be conducted annually than sub-annually. </w:t>
      </w:r>
    </w:p>
    <w:p w:rsidR="00291E20" w:rsidRDefault="00391871" w:rsidP="00391871">
      <w:pPr>
        <w:pStyle w:val="BCSTableheadings"/>
      </w:pPr>
      <w:bookmarkStart w:id="21" w:name="_Figure_3:_Frequency"/>
      <w:bookmarkStart w:id="22" w:name="_Toc256332119"/>
      <w:bookmarkEnd w:id="21"/>
      <w:r>
        <w:br w:type="page"/>
      </w:r>
      <w:r w:rsidR="00291E20" w:rsidRPr="009D5296">
        <w:lastRenderedPageBreak/>
        <w:t>Figure 3: Frequency with which organisations update their e-strategy</w:t>
      </w:r>
      <w:bookmarkEnd w:id="22"/>
    </w:p>
    <w:p w:rsidR="00291E20" w:rsidRDefault="002102AA" w:rsidP="00291E20">
      <w:pPr>
        <w:ind w:left="-567"/>
        <w:contextualSpacing/>
      </w:pPr>
      <w:r>
        <w:rPr>
          <w:noProof/>
        </w:rPr>
        <w:drawing>
          <wp:inline distT="0" distB="0" distL="0" distR="0">
            <wp:extent cx="6540500" cy="4292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540500" cy="4292600"/>
                    </a:xfrm>
                    <a:prstGeom prst="rect">
                      <a:avLst/>
                    </a:prstGeom>
                    <a:noFill/>
                    <a:ln w="9525">
                      <a:noFill/>
                      <a:miter lim="800000"/>
                      <a:headEnd/>
                      <a:tailEnd/>
                    </a:ln>
                  </pic:spPr>
                </pic:pic>
              </a:graphicData>
            </a:graphic>
          </wp:inline>
        </w:drawing>
      </w:r>
    </w:p>
    <w:p w:rsidR="00291E20" w:rsidRDefault="00291E20" w:rsidP="00291E20">
      <w:pPr>
        <w:ind w:left="-567"/>
        <w:contextualSpacing/>
      </w:pPr>
    </w:p>
    <w:p w:rsidR="00291E20" w:rsidRPr="00375ECD" w:rsidRDefault="00291E20" w:rsidP="00391871">
      <w:pPr>
        <w:pStyle w:val="Heading3"/>
      </w:pPr>
      <w:r w:rsidRPr="00375ECD">
        <w:t>Elements covered by e-strategy or strategic elements in wider organisational strategy:</w:t>
      </w:r>
    </w:p>
    <w:p w:rsidR="00291E20" w:rsidRDefault="0016093E" w:rsidP="00391871">
      <w:pPr>
        <w:pStyle w:val="BCSParagraph"/>
      </w:pPr>
      <w:r>
        <w:t>E</w:t>
      </w:r>
      <w:r w:rsidR="00291E20">
        <w:t xml:space="preserve">lements which were covered in </w:t>
      </w:r>
      <w:r>
        <w:t>e-strategies</w:t>
      </w:r>
      <w:r w:rsidR="00291E20">
        <w:t xml:space="preserve"> or strategic elements o</w:t>
      </w:r>
      <w:r>
        <w:t>f wider organisational strategy are shown in</w:t>
      </w:r>
      <w:r w:rsidR="00291E20">
        <w:t xml:space="preserve">  </w:t>
      </w:r>
      <w:hyperlink w:anchor="_Table_4:_Elements" w:history="1">
        <w:r w:rsidR="00291E20" w:rsidRPr="00CC1978">
          <w:rPr>
            <w:rStyle w:val="Hyperlink"/>
          </w:rPr>
          <w:t>Table 4</w:t>
        </w:r>
      </w:hyperlink>
      <w:r w:rsidR="00291E20">
        <w:t xml:space="preserve"> </w:t>
      </w:r>
      <w:r>
        <w:t xml:space="preserve">which </w:t>
      </w:r>
      <w:r w:rsidR="00291E20">
        <w:t>shows percentages based upon all survey respondents and illustrates that;</w:t>
      </w:r>
    </w:p>
    <w:p w:rsidR="00291E20" w:rsidRDefault="00291E20" w:rsidP="00291E20">
      <w:pPr>
        <w:contextualSpacing/>
      </w:pPr>
    </w:p>
    <w:p w:rsidR="00291E20" w:rsidRDefault="00291E20" w:rsidP="00854EB0">
      <w:pPr>
        <w:pStyle w:val="BCSBulletparagraph"/>
      </w:pPr>
      <w:r>
        <w:t>The most frequently cited element amongst both LAs and VCS/WEAs was ‘replacement of equipment’ (90.99% and 82.02%, respectively)</w:t>
      </w:r>
    </w:p>
    <w:p w:rsidR="00291E20" w:rsidRDefault="00291E20" w:rsidP="00854EB0">
      <w:pPr>
        <w:pStyle w:val="BCSBulletparagraph"/>
        <w:numPr>
          <w:ilvl w:val="0"/>
          <w:numId w:val="0"/>
        </w:numPr>
        <w:ind w:left="1077"/>
      </w:pPr>
    </w:p>
    <w:p w:rsidR="00291E20" w:rsidRDefault="00291E20" w:rsidP="00854EB0">
      <w:pPr>
        <w:pStyle w:val="BCSBulletparagraph"/>
      </w:pPr>
      <w:r>
        <w:t>The second most cited element amongst LAs was ‘teacher CPD’ (90.09%), whilst amongst VCS/ WEAs ‘it was investment in infrastructure’ (73.03%)</w:t>
      </w:r>
    </w:p>
    <w:p w:rsidR="00291E20" w:rsidRDefault="00291E20" w:rsidP="00854EB0">
      <w:pPr>
        <w:pStyle w:val="BCSBulletparagraph"/>
        <w:numPr>
          <w:ilvl w:val="0"/>
          <w:numId w:val="0"/>
        </w:numPr>
        <w:ind w:left="1077"/>
      </w:pPr>
    </w:p>
    <w:p w:rsidR="00291E20" w:rsidRDefault="00291E20" w:rsidP="00854EB0">
      <w:pPr>
        <w:pStyle w:val="BCSBulletparagraph"/>
      </w:pPr>
      <w:r>
        <w:t xml:space="preserve">Third most frequently cited element, amongst both LAs (82.88%) and VCS/ WEAs (71.91%), was ‘development and/ or use of learning platform’.  </w:t>
      </w:r>
      <w:r>
        <w:lastRenderedPageBreak/>
        <w:t>Equal third amongst VCS/ WEAs was ‘using ILT to personalize learning’ (71.91%), and ‘document data protection’ (71.91%).</w:t>
      </w:r>
    </w:p>
    <w:p w:rsidR="00291E20" w:rsidRDefault="00291E20" w:rsidP="00854EB0">
      <w:pPr>
        <w:pStyle w:val="BCSBulletparagraph"/>
        <w:numPr>
          <w:ilvl w:val="0"/>
          <w:numId w:val="0"/>
        </w:numPr>
        <w:ind w:left="1077"/>
      </w:pPr>
    </w:p>
    <w:p w:rsidR="00291E20" w:rsidRDefault="00291E20" w:rsidP="00854EB0">
      <w:pPr>
        <w:pStyle w:val="BCSBulletparagraph"/>
      </w:pPr>
      <w:r>
        <w:t>Fourth most cited element for LAs was ‘investment in infrastructure’ (79.28%), whilst amongst VCS/ WEAs it was ‘teacher CPD’ (70.79%)</w:t>
      </w:r>
    </w:p>
    <w:p w:rsidR="00291E20" w:rsidRDefault="00291E20" w:rsidP="00854EB0">
      <w:pPr>
        <w:pStyle w:val="BCSBulletparagraph"/>
        <w:numPr>
          <w:ilvl w:val="0"/>
          <w:numId w:val="0"/>
        </w:numPr>
        <w:ind w:left="1077"/>
      </w:pPr>
    </w:p>
    <w:p w:rsidR="00291E20" w:rsidRDefault="00291E20" w:rsidP="00854EB0">
      <w:pPr>
        <w:pStyle w:val="BCSBulletparagraph"/>
      </w:pPr>
      <w:r>
        <w:t xml:space="preserve">Fifth most cited element for LAs and VCS/ WEAs was ‘an acceptable user policy’ (74.77% and 62.92%).  For VCS/ WEA organisations ‘e-safety/ security’ was also the fifth most cited element (62.92%).   </w:t>
      </w:r>
    </w:p>
    <w:p w:rsidR="00291E20" w:rsidRDefault="00291E20" w:rsidP="00854EB0">
      <w:pPr>
        <w:pStyle w:val="BCSBulletparagraph"/>
        <w:numPr>
          <w:ilvl w:val="0"/>
          <w:numId w:val="0"/>
        </w:numPr>
        <w:ind w:left="1077"/>
      </w:pPr>
    </w:p>
    <w:p w:rsidR="00291E20" w:rsidRDefault="00291E20" w:rsidP="00854EB0">
      <w:pPr>
        <w:pStyle w:val="BCSBulletparagraph"/>
      </w:pPr>
      <w:r>
        <w:t>Sixth most cited element for LAs was ‘</w:t>
      </w:r>
      <w:r w:rsidRPr="00E15169">
        <w:t>Using ILT to personalise learning</w:t>
      </w:r>
      <w:r>
        <w:t>’ (73.87%), whilst for VCS/ WEAs it was ‘</w:t>
      </w:r>
      <w:r w:rsidRPr="00E15169">
        <w:t>Integrated service / distance learning</w:t>
      </w:r>
      <w:r>
        <w:t>’ (50.56%)</w:t>
      </w:r>
    </w:p>
    <w:p w:rsidR="00291E20" w:rsidRDefault="00291E20" w:rsidP="00854EB0">
      <w:pPr>
        <w:pStyle w:val="BCSBulletparagraph"/>
        <w:numPr>
          <w:ilvl w:val="0"/>
          <w:numId w:val="0"/>
        </w:numPr>
        <w:ind w:left="1077"/>
      </w:pPr>
    </w:p>
    <w:p w:rsidR="00291E20" w:rsidRDefault="00291E20" w:rsidP="00854EB0">
      <w:pPr>
        <w:pStyle w:val="BCSBulletparagraph"/>
      </w:pPr>
      <w:r>
        <w:t>The seventh most represented element for LAs was ‘e-safety/ security’ (67.57%), followed by ‘document data protection’ (59.46%), ‘</w:t>
      </w:r>
      <w:r w:rsidRPr="00626683">
        <w:t>Integrated service / distance learning</w:t>
      </w:r>
      <w:r>
        <w:t>’(51.35%), ‘purchase of learning platform’ (47.75%), ‘safe disposal of equipment’ (46.85%), and ‘self review framework’ (45.05%).</w:t>
      </w:r>
      <w:r>
        <w:br/>
      </w:r>
    </w:p>
    <w:p w:rsidR="00291E20" w:rsidRDefault="00291E20" w:rsidP="00854EB0">
      <w:pPr>
        <w:pStyle w:val="BCSBulletparagraph"/>
      </w:pPr>
      <w:r>
        <w:t xml:space="preserve">The </w:t>
      </w:r>
      <w:r w:rsidR="0016093E">
        <w:t>eighth</w:t>
      </w:r>
      <w:r>
        <w:t xml:space="preserve"> most represented element for VCS/ WEAs was ‘safe disposal of equipment’ (</w:t>
      </w:r>
      <w:r w:rsidRPr="00DF6E2A">
        <w:t>48.31%</w:t>
      </w:r>
      <w:r>
        <w:t>), ‘self-review framework’ (</w:t>
      </w:r>
      <w:r w:rsidRPr="00DF6E2A">
        <w:t>44.94%</w:t>
      </w:r>
      <w:r>
        <w:t>) and ‘purchase of learning platform’ (</w:t>
      </w:r>
      <w:r w:rsidRPr="00DF6E2A">
        <w:t>41.57%</w:t>
      </w:r>
      <w:r>
        <w:t>).</w:t>
      </w:r>
    </w:p>
    <w:p w:rsidR="00291E20" w:rsidRPr="00DF6E2A" w:rsidRDefault="00291E20" w:rsidP="00291E20"/>
    <w:p w:rsidR="00291E20" w:rsidRPr="00E42CA3" w:rsidRDefault="00291E20" w:rsidP="00854EB0">
      <w:pPr>
        <w:pStyle w:val="BCSTableheadings"/>
        <w:rPr>
          <w:i/>
        </w:rPr>
      </w:pPr>
      <w:bookmarkStart w:id="23" w:name="_Table_3:_Elements"/>
      <w:bookmarkStart w:id="24" w:name="_Table_4:_Elements"/>
      <w:bookmarkStart w:id="25" w:name="_Toc256332141"/>
      <w:bookmarkEnd w:id="23"/>
      <w:bookmarkEnd w:id="24"/>
      <w:r>
        <w:t>Table 4</w:t>
      </w:r>
      <w:r w:rsidRPr="00E42CA3">
        <w:t>: Elements covered by e-strategy</w:t>
      </w:r>
      <w:bookmarkEnd w:id="25"/>
    </w:p>
    <w:p w:rsidR="00291E20" w:rsidRDefault="00291E20" w:rsidP="00291E20">
      <w:pPr>
        <w:contextualSpacing/>
      </w:pPr>
    </w:p>
    <w:tbl>
      <w:tblPr>
        <w:tblW w:w="7480"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CellMar>
          <w:left w:w="0" w:type="dxa"/>
          <w:right w:w="0" w:type="dxa"/>
        </w:tblCellMar>
        <w:tblLook w:val="04A0"/>
      </w:tblPr>
      <w:tblGrid>
        <w:gridCol w:w="4460"/>
        <w:gridCol w:w="1600"/>
        <w:gridCol w:w="1420"/>
      </w:tblGrid>
      <w:tr w:rsidR="00291E20" w:rsidRPr="00DF6E2A" w:rsidTr="00291E20">
        <w:trPr>
          <w:trHeight w:val="285"/>
        </w:trPr>
        <w:tc>
          <w:tcPr>
            <w:tcW w:w="4460" w:type="dxa"/>
            <w:shd w:val="clear" w:color="auto" w:fill="76923C"/>
            <w:noWrap/>
            <w:tcMar>
              <w:top w:w="15" w:type="dxa"/>
              <w:left w:w="15" w:type="dxa"/>
              <w:bottom w:w="0" w:type="dxa"/>
              <w:right w:w="15" w:type="dxa"/>
            </w:tcMar>
            <w:vAlign w:val="bottom"/>
            <w:hideMark/>
          </w:tcPr>
          <w:p w:rsidR="00291E20" w:rsidRPr="00DF6E2A" w:rsidRDefault="00291E20" w:rsidP="00854EB0">
            <w:pPr>
              <w:pStyle w:val="BCSTabletext"/>
            </w:pPr>
            <w:r w:rsidRPr="00DF6E2A">
              <w:t>Element covered by e-strategy</w:t>
            </w:r>
          </w:p>
        </w:tc>
        <w:tc>
          <w:tcPr>
            <w:tcW w:w="1600" w:type="dxa"/>
            <w:shd w:val="clear" w:color="auto" w:fill="76923C"/>
            <w:noWrap/>
            <w:tcMar>
              <w:top w:w="15" w:type="dxa"/>
              <w:left w:w="15" w:type="dxa"/>
              <w:bottom w:w="0" w:type="dxa"/>
              <w:right w:w="15" w:type="dxa"/>
            </w:tcMar>
            <w:vAlign w:val="bottom"/>
            <w:hideMark/>
          </w:tcPr>
          <w:p w:rsidR="00291E20" w:rsidRPr="00DF6E2A" w:rsidRDefault="00291E20" w:rsidP="00854EB0">
            <w:pPr>
              <w:pStyle w:val="BCSTabletext"/>
            </w:pPr>
            <w:r w:rsidRPr="00DF6E2A">
              <w:t>Local Authority</w:t>
            </w:r>
          </w:p>
        </w:tc>
        <w:tc>
          <w:tcPr>
            <w:tcW w:w="1420" w:type="dxa"/>
            <w:shd w:val="clear" w:color="auto" w:fill="76923C"/>
            <w:noWrap/>
            <w:tcMar>
              <w:top w:w="15" w:type="dxa"/>
              <w:left w:w="15" w:type="dxa"/>
              <w:bottom w:w="0" w:type="dxa"/>
              <w:right w:w="15" w:type="dxa"/>
            </w:tcMar>
            <w:vAlign w:val="bottom"/>
            <w:hideMark/>
          </w:tcPr>
          <w:p w:rsidR="00291E20" w:rsidRPr="00DF6E2A" w:rsidRDefault="00291E20" w:rsidP="00854EB0">
            <w:pPr>
              <w:pStyle w:val="BCSTabletext"/>
            </w:pPr>
            <w:r w:rsidRPr="00DF6E2A">
              <w:t>VCS / WEA</w:t>
            </w:r>
          </w:p>
        </w:tc>
      </w:tr>
      <w:tr w:rsidR="00291E20" w:rsidRPr="00DF6E2A" w:rsidTr="00291E20">
        <w:trPr>
          <w:trHeight w:val="285"/>
        </w:trPr>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t>Replacement of equipment</w:t>
            </w:r>
          </w:p>
        </w:tc>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t>90.99%</w:t>
            </w:r>
          </w:p>
        </w:tc>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t>82.02%</w:t>
            </w:r>
          </w:p>
        </w:tc>
      </w:tr>
      <w:tr w:rsidR="00291E20" w:rsidRPr="00DF6E2A" w:rsidTr="00291E20">
        <w:trPr>
          <w:trHeight w:val="285"/>
        </w:trPr>
        <w:tc>
          <w:tcPr>
            <w:tcW w:w="0" w:type="auto"/>
            <w:shd w:val="clear" w:color="auto" w:fill="C2D69B"/>
            <w:noWrap/>
            <w:tcMar>
              <w:top w:w="15" w:type="dxa"/>
              <w:left w:w="15" w:type="dxa"/>
              <w:bottom w:w="0" w:type="dxa"/>
              <w:right w:w="15" w:type="dxa"/>
            </w:tcMar>
            <w:vAlign w:val="bottom"/>
            <w:hideMark/>
          </w:tcPr>
          <w:p w:rsidR="00291E20" w:rsidRPr="00DF6E2A" w:rsidRDefault="00291E20" w:rsidP="00854EB0">
            <w:pPr>
              <w:pStyle w:val="BCSTabletext"/>
            </w:pPr>
            <w:r w:rsidRPr="00DF6E2A">
              <w:t>Self-review framework</w:t>
            </w:r>
          </w:p>
        </w:tc>
        <w:tc>
          <w:tcPr>
            <w:tcW w:w="0" w:type="auto"/>
            <w:shd w:val="clear" w:color="auto" w:fill="C2D69B"/>
            <w:noWrap/>
            <w:tcMar>
              <w:top w:w="15" w:type="dxa"/>
              <w:left w:w="15" w:type="dxa"/>
              <w:bottom w:w="0" w:type="dxa"/>
              <w:right w:w="15" w:type="dxa"/>
            </w:tcMar>
            <w:vAlign w:val="bottom"/>
            <w:hideMark/>
          </w:tcPr>
          <w:p w:rsidR="00291E20" w:rsidRPr="00DF6E2A" w:rsidRDefault="00291E20" w:rsidP="00854EB0">
            <w:pPr>
              <w:pStyle w:val="BCSTabletext"/>
            </w:pPr>
            <w:r w:rsidRPr="00DF6E2A">
              <w:t>45.05%</w:t>
            </w:r>
          </w:p>
        </w:tc>
        <w:tc>
          <w:tcPr>
            <w:tcW w:w="0" w:type="auto"/>
            <w:shd w:val="clear" w:color="auto" w:fill="C2D69B"/>
            <w:noWrap/>
            <w:tcMar>
              <w:top w:w="15" w:type="dxa"/>
              <w:left w:w="15" w:type="dxa"/>
              <w:bottom w:w="0" w:type="dxa"/>
              <w:right w:w="15" w:type="dxa"/>
            </w:tcMar>
            <w:vAlign w:val="bottom"/>
            <w:hideMark/>
          </w:tcPr>
          <w:p w:rsidR="00291E20" w:rsidRPr="00DF6E2A" w:rsidRDefault="00291E20" w:rsidP="00854EB0">
            <w:pPr>
              <w:pStyle w:val="BCSTabletext"/>
            </w:pPr>
            <w:r w:rsidRPr="00DF6E2A">
              <w:t>44.94%</w:t>
            </w:r>
          </w:p>
        </w:tc>
      </w:tr>
      <w:tr w:rsidR="00291E20" w:rsidRPr="00DF6E2A" w:rsidTr="00291E20">
        <w:trPr>
          <w:trHeight w:val="285"/>
        </w:trPr>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t>Purchase of</w:t>
            </w:r>
            <w:r>
              <w:t xml:space="preserve"> </w:t>
            </w:r>
            <w:r w:rsidRPr="00DF6E2A">
              <w:t>learning platform</w:t>
            </w:r>
          </w:p>
        </w:tc>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t>47.75%</w:t>
            </w:r>
          </w:p>
        </w:tc>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t>41.57%</w:t>
            </w:r>
          </w:p>
        </w:tc>
      </w:tr>
      <w:tr w:rsidR="00291E20" w:rsidRPr="00DF6E2A" w:rsidTr="00291E20">
        <w:trPr>
          <w:trHeight w:val="285"/>
        </w:trPr>
        <w:tc>
          <w:tcPr>
            <w:tcW w:w="0" w:type="auto"/>
            <w:shd w:val="clear" w:color="auto" w:fill="C2D69B"/>
            <w:noWrap/>
            <w:tcMar>
              <w:top w:w="15" w:type="dxa"/>
              <w:left w:w="15" w:type="dxa"/>
              <w:bottom w:w="0" w:type="dxa"/>
              <w:right w:w="15" w:type="dxa"/>
            </w:tcMar>
            <w:vAlign w:val="bottom"/>
            <w:hideMark/>
          </w:tcPr>
          <w:p w:rsidR="00291E20" w:rsidRPr="00DF6E2A" w:rsidRDefault="00291E20" w:rsidP="00854EB0">
            <w:pPr>
              <w:pStyle w:val="BCSTabletext"/>
            </w:pPr>
            <w:r w:rsidRPr="00DF6E2A">
              <w:t>Development / use</w:t>
            </w:r>
            <w:r>
              <w:t xml:space="preserve"> </w:t>
            </w:r>
            <w:r w:rsidRPr="00DF6E2A">
              <w:t>of learning platform</w:t>
            </w:r>
          </w:p>
        </w:tc>
        <w:tc>
          <w:tcPr>
            <w:tcW w:w="0" w:type="auto"/>
            <w:shd w:val="clear" w:color="auto" w:fill="C2D69B"/>
            <w:noWrap/>
            <w:tcMar>
              <w:top w:w="15" w:type="dxa"/>
              <w:left w:w="15" w:type="dxa"/>
              <w:bottom w:w="0" w:type="dxa"/>
              <w:right w:w="15" w:type="dxa"/>
            </w:tcMar>
            <w:vAlign w:val="bottom"/>
            <w:hideMark/>
          </w:tcPr>
          <w:p w:rsidR="00291E20" w:rsidRPr="00DF6E2A" w:rsidRDefault="00291E20" w:rsidP="00854EB0">
            <w:pPr>
              <w:pStyle w:val="BCSTabletext"/>
            </w:pPr>
            <w:r w:rsidRPr="00DF6E2A">
              <w:t>82.88%</w:t>
            </w:r>
          </w:p>
        </w:tc>
        <w:tc>
          <w:tcPr>
            <w:tcW w:w="0" w:type="auto"/>
            <w:shd w:val="clear" w:color="auto" w:fill="C2D69B"/>
            <w:noWrap/>
            <w:tcMar>
              <w:top w:w="15" w:type="dxa"/>
              <w:left w:w="15" w:type="dxa"/>
              <w:bottom w:w="0" w:type="dxa"/>
              <w:right w:w="15" w:type="dxa"/>
            </w:tcMar>
            <w:vAlign w:val="bottom"/>
            <w:hideMark/>
          </w:tcPr>
          <w:p w:rsidR="00291E20" w:rsidRPr="00DF6E2A" w:rsidRDefault="00291E20" w:rsidP="00854EB0">
            <w:pPr>
              <w:pStyle w:val="BCSTabletext"/>
            </w:pPr>
            <w:r w:rsidRPr="00DF6E2A">
              <w:t>71.91%</w:t>
            </w:r>
          </w:p>
        </w:tc>
      </w:tr>
      <w:tr w:rsidR="00291E20" w:rsidRPr="00DF6E2A" w:rsidTr="00291E20">
        <w:trPr>
          <w:trHeight w:val="285"/>
        </w:trPr>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t>Document data protection</w:t>
            </w:r>
          </w:p>
        </w:tc>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t>59.46%</w:t>
            </w:r>
          </w:p>
        </w:tc>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t>71.91%</w:t>
            </w:r>
          </w:p>
        </w:tc>
      </w:tr>
      <w:tr w:rsidR="00291E20" w:rsidRPr="00DF6E2A" w:rsidTr="00291E20">
        <w:trPr>
          <w:trHeight w:val="285"/>
        </w:trPr>
        <w:tc>
          <w:tcPr>
            <w:tcW w:w="0" w:type="auto"/>
            <w:shd w:val="clear" w:color="auto" w:fill="C2D69B"/>
            <w:noWrap/>
            <w:tcMar>
              <w:top w:w="15" w:type="dxa"/>
              <w:left w:w="15" w:type="dxa"/>
              <w:bottom w:w="0" w:type="dxa"/>
              <w:right w:w="15" w:type="dxa"/>
            </w:tcMar>
            <w:vAlign w:val="bottom"/>
            <w:hideMark/>
          </w:tcPr>
          <w:p w:rsidR="00291E20" w:rsidRPr="00DF6E2A" w:rsidRDefault="00291E20" w:rsidP="00854EB0">
            <w:pPr>
              <w:pStyle w:val="BCSTabletext"/>
            </w:pPr>
            <w:r w:rsidRPr="00DF6E2A">
              <w:t>E-safety / security</w:t>
            </w:r>
          </w:p>
        </w:tc>
        <w:tc>
          <w:tcPr>
            <w:tcW w:w="0" w:type="auto"/>
            <w:shd w:val="clear" w:color="auto" w:fill="C2D69B"/>
            <w:noWrap/>
            <w:tcMar>
              <w:top w:w="15" w:type="dxa"/>
              <w:left w:w="15" w:type="dxa"/>
              <w:bottom w:w="0" w:type="dxa"/>
              <w:right w:w="15" w:type="dxa"/>
            </w:tcMar>
            <w:vAlign w:val="bottom"/>
            <w:hideMark/>
          </w:tcPr>
          <w:p w:rsidR="00291E20" w:rsidRPr="00DF6E2A" w:rsidRDefault="00291E20" w:rsidP="00854EB0">
            <w:pPr>
              <w:pStyle w:val="BCSTabletext"/>
            </w:pPr>
            <w:r w:rsidRPr="00DF6E2A">
              <w:t>67.57%</w:t>
            </w:r>
          </w:p>
        </w:tc>
        <w:tc>
          <w:tcPr>
            <w:tcW w:w="0" w:type="auto"/>
            <w:shd w:val="clear" w:color="auto" w:fill="C2D69B"/>
            <w:noWrap/>
            <w:tcMar>
              <w:top w:w="15" w:type="dxa"/>
              <w:left w:w="15" w:type="dxa"/>
              <w:bottom w:w="0" w:type="dxa"/>
              <w:right w:w="15" w:type="dxa"/>
            </w:tcMar>
            <w:vAlign w:val="bottom"/>
            <w:hideMark/>
          </w:tcPr>
          <w:p w:rsidR="00291E20" w:rsidRPr="00DF6E2A" w:rsidRDefault="00291E20" w:rsidP="00854EB0">
            <w:pPr>
              <w:pStyle w:val="BCSTabletext"/>
            </w:pPr>
            <w:r w:rsidRPr="00DF6E2A">
              <w:t>62.92%</w:t>
            </w:r>
          </w:p>
        </w:tc>
      </w:tr>
      <w:tr w:rsidR="00291E20" w:rsidRPr="00DF6E2A" w:rsidTr="00291E20">
        <w:trPr>
          <w:trHeight w:val="285"/>
        </w:trPr>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t>An acceptable user policy</w:t>
            </w:r>
          </w:p>
        </w:tc>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t>74.77%</w:t>
            </w:r>
          </w:p>
        </w:tc>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t>62.92%</w:t>
            </w:r>
          </w:p>
        </w:tc>
      </w:tr>
      <w:tr w:rsidR="00291E20" w:rsidRPr="00DF6E2A" w:rsidTr="00291E20">
        <w:trPr>
          <w:trHeight w:val="285"/>
        </w:trPr>
        <w:tc>
          <w:tcPr>
            <w:tcW w:w="0" w:type="auto"/>
            <w:shd w:val="clear" w:color="auto" w:fill="C2D69B"/>
            <w:noWrap/>
            <w:tcMar>
              <w:top w:w="15" w:type="dxa"/>
              <w:left w:w="15" w:type="dxa"/>
              <w:bottom w:w="0" w:type="dxa"/>
              <w:right w:w="15" w:type="dxa"/>
            </w:tcMar>
            <w:vAlign w:val="bottom"/>
            <w:hideMark/>
          </w:tcPr>
          <w:p w:rsidR="00291E20" w:rsidRPr="00DF6E2A" w:rsidRDefault="00291E20" w:rsidP="00854EB0">
            <w:pPr>
              <w:pStyle w:val="BCSTabletext"/>
            </w:pPr>
            <w:r w:rsidRPr="00DF6E2A">
              <w:t>Safe disposal of equipment</w:t>
            </w:r>
          </w:p>
        </w:tc>
        <w:tc>
          <w:tcPr>
            <w:tcW w:w="0" w:type="auto"/>
            <w:shd w:val="clear" w:color="auto" w:fill="C2D69B"/>
            <w:noWrap/>
            <w:tcMar>
              <w:top w:w="15" w:type="dxa"/>
              <w:left w:w="15" w:type="dxa"/>
              <w:bottom w:w="0" w:type="dxa"/>
              <w:right w:w="15" w:type="dxa"/>
            </w:tcMar>
            <w:vAlign w:val="bottom"/>
            <w:hideMark/>
          </w:tcPr>
          <w:p w:rsidR="00291E20" w:rsidRPr="00DF6E2A" w:rsidRDefault="00291E20" w:rsidP="00854EB0">
            <w:pPr>
              <w:pStyle w:val="BCSTabletext"/>
            </w:pPr>
            <w:r w:rsidRPr="00DF6E2A">
              <w:t>46.85%</w:t>
            </w:r>
          </w:p>
        </w:tc>
        <w:tc>
          <w:tcPr>
            <w:tcW w:w="0" w:type="auto"/>
            <w:shd w:val="clear" w:color="auto" w:fill="C2D69B"/>
            <w:noWrap/>
            <w:tcMar>
              <w:top w:w="15" w:type="dxa"/>
              <w:left w:w="15" w:type="dxa"/>
              <w:bottom w:w="0" w:type="dxa"/>
              <w:right w:w="15" w:type="dxa"/>
            </w:tcMar>
            <w:vAlign w:val="bottom"/>
            <w:hideMark/>
          </w:tcPr>
          <w:p w:rsidR="00291E20" w:rsidRPr="00DF6E2A" w:rsidRDefault="00291E20" w:rsidP="00854EB0">
            <w:pPr>
              <w:pStyle w:val="BCSTabletext"/>
            </w:pPr>
            <w:r w:rsidRPr="00DF6E2A">
              <w:t>48.31%</w:t>
            </w:r>
          </w:p>
        </w:tc>
      </w:tr>
      <w:tr w:rsidR="00291E20" w:rsidRPr="00DF6E2A" w:rsidTr="00291E20">
        <w:trPr>
          <w:trHeight w:val="285"/>
        </w:trPr>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t>Teacher CPD</w:t>
            </w:r>
          </w:p>
        </w:tc>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t>90.09%</w:t>
            </w:r>
          </w:p>
        </w:tc>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t>70.79%</w:t>
            </w:r>
          </w:p>
        </w:tc>
      </w:tr>
      <w:tr w:rsidR="00291E20" w:rsidRPr="00DF6E2A" w:rsidTr="00291E20">
        <w:trPr>
          <w:trHeight w:val="285"/>
        </w:trPr>
        <w:tc>
          <w:tcPr>
            <w:tcW w:w="0" w:type="auto"/>
            <w:shd w:val="clear" w:color="auto" w:fill="C2D69B"/>
            <w:noWrap/>
            <w:tcMar>
              <w:top w:w="15" w:type="dxa"/>
              <w:left w:w="15" w:type="dxa"/>
              <w:bottom w:w="0" w:type="dxa"/>
              <w:right w:w="15" w:type="dxa"/>
            </w:tcMar>
            <w:vAlign w:val="bottom"/>
            <w:hideMark/>
          </w:tcPr>
          <w:p w:rsidR="00291E20" w:rsidRPr="00DF6E2A" w:rsidRDefault="00291E20" w:rsidP="00854EB0">
            <w:pPr>
              <w:pStyle w:val="BCSTabletext"/>
            </w:pPr>
            <w:r w:rsidRPr="00DF6E2A">
              <w:t>Using ILT to personalise learning</w:t>
            </w:r>
          </w:p>
        </w:tc>
        <w:tc>
          <w:tcPr>
            <w:tcW w:w="0" w:type="auto"/>
            <w:shd w:val="clear" w:color="auto" w:fill="C2D69B"/>
            <w:noWrap/>
            <w:tcMar>
              <w:top w:w="15" w:type="dxa"/>
              <w:left w:w="15" w:type="dxa"/>
              <w:bottom w:w="0" w:type="dxa"/>
              <w:right w:w="15" w:type="dxa"/>
            </w:tcMar>
            <w:vAlign w:val="bottom"/>
            <w:hideMark/>
          </w:tcPr>
          <w:p w:rsidR="00291E20" w:rsidRPr="00DF6E2A" w:rsidRDefault="00291E20" w:rsidP="00854EB0">
            <w:pPr>
              <w:pStyle w:val="BCSTabletext"/>
            </w:pPr>
            <w:r w:rsidRPr="00DF6E2A">
              <w:t>73.87%</w:t>
            </w:r>
          </w:p>
        </w:tc>
        <w:tc>
          <w:tcPr>
            <w:tcW w:w="0" w:type="auto"/>
            <w:shd w:val="clear" w:color="auto" w:fill="C2D69B"/>
            <w:noWrap/>
            <w:tcMar>
              <w:top w:w="15" w:type="dxa"/>
              <w:left w:w="15" w:type="dxa"/>
              <w:bottom w:w="0" w:type="dxa"/>
              <w:right w:w="15" w:type="dxa"/>
            </w:tcMar>
            <w:vAlign w:val="bottom"/>
            <w:hideMark/>
          </w:tcPr>
          <w:p w:rsidR="00291E20" w:rsidRPr="00DF6E2A" w:rsidRDefault="00291E20" w:rsidP="00854EB0">
            <w:pPr>
              <w:pStyle w:val="BCSTabletext"/>
            </w:pPr>
            <w:r w:rsidRPr="00DF6E2A">
              <w:t>71.91%</w:t>
            </w:r>
          </w:p>
        </w:tc>
      </w:tr>
      <w:tr w:rsidR="00291E20" w:rsidRPr="00DF6E2A" w:rsidTr="00291E20">
        <w:trPr>
          <w:trHeight w:val="285"/>
        </w:trPr>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lastRenderedPageBreak/>
              <w:t>Integrated service / distance learning</w:t>
            </w:r>
          </w:p>
        </w:tc>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t>51.35%</w:t>
            </w:r>
          </w:p>
        </w:tc>
        <w:tc>
          <w:tcPr>
            <w:tcW w:w="0" w:type="auto"/>
            <w:tcBorders>
              <w:bottom w:val="single" w:sz="4" w:space="0" w:color="4F6228"/>
            </w:tcBorders>
            <w:shd w:val="clear" w:color="auto" w:fill="auto"/>
            <w:noWrap/>
            <w:tcMar>
              <w:top w:w="15" w:type="dxa"/>
              <w:left w:w="15" w:type="dxa"/>
              <w:bottom w:w="0" w:type="dxa"/>
              <w:right w:w="15" w:type="dxa"/>
            </w:tcMar>
            <w:vAlign w:val="bottom"/>
            <w:hideMark/>
          </w:tcPr>
          <w:p w:rsidR="00291E20" w:rsidRPr="00DF6E2A" w:rsidRDefault="00291E20" w:rsidP="00854EB0">
            <w:pPr>
              <w:pStyle w:val="BCSTabletext"/>
            </w:pPr>
            <w:r w:rsidRPr="00DF6E2A">
              <w:t>50.56%</w:t>
            </w:r>
          </w:p>
        </w:tc>
      </w:tr>
      <w:tr w:rsidR="00291E20" w:rsidRPr="00DF6E2A" w:rsidTr="00291E20">
        <w:trPr>
          <w:trHeight w:val="285"/>
        </w:trPr>
        <w:tc>
          <w:tcPr>
            <w:tcW w:w="0" w:type="auto"/>
            <w:shd w:val="clear" w:color="auto" w:fill="C2D69B"/>
            <w:noWrap/>
            <w:tcMar>
              <w:top w:w="15" w:type="dxa"/>
              <w:left w:w="15" w:type="dxa"/>
              <w:bottom w:w="0" w:type="dxa"/>
              <w:right w:w="15" w:type="dxa"/>
            </w:tcMar>
            <w:vAlign w:val="bottom"/>
            <w:hideMark/>
          </w:tcPr>
          <w:p w:rsidR="00291E20" w:rsidRPr="00DF6E2A" w:rsidRDefault="00291E20" w:rsidP="00291E20">
            <w:pPr>
              <w:contextualSpacing/>
            </w:pPr>
            <w:r w:rsidRPr="00DF6E2A">
              <w:t>Investment in infrastructure</w:t>
            </w:r>
          </w:p>
        </w:tc>
        <w:tc>
          <w:tcPr>
            <w:tcW w:w="0" w:type="auto"/>
            <w:shd w:val="clear" w:color="auto" w:fill="C2D69B"/>
            <w:noWrap/>
            <w:tcMar>
              <w:top w:w="15" w:type="dxa"/>
              <w:left w:w="15" w:type="dxa"/>
              <w:bottom w:w="0" w:type="dxa"/>
              <w:right w:w="15" w:type="dxa"/>
            </w:tcMar>
            <w:vAlign w:val="bottom"/>
            <w:hideMark/>
          </w:tcPr>
          <w:p w:rsidR="00291E20" w:rsidRPr="00DF6E2A" w:rsidRDefault="00291E20" w:rsidP="00291E20">
            <w:pPr>
              <w:contextualSpacing/>
            </w:pPr>
            <w:r w:rsidRPr="00DF6E2A">
              <w:t>79.28%</w:t>
            </w:r>
          </w:p>
        </w:tc>
        <w:tc>
          <w:tcPr>
            <w:tcW w:w="0" w:type="auto"/>
            <w:shd w:val="clear" w:color="auto" w:fill="C2D69B"/>
            <w:noWrap/>
            <w:tcMar>
              <w:top w:w="15" w:type="dxa"/>
              <w:left w:w="15" w:type="dxa"/>
              <w:bottom w:w="0" w:type="dxa"/>
              <w:right w:w="15" w:type="dxa"/>
            </w:tcMar>
            <w:vAlign w:val="bottom"/>
            <w:hideMark/>
          </w:tcPr>
          <w:p w:rsidR="00291E20" w:rsidRPr="00DF6E2A" w:rsidRDefault="00291E20" w:rsidP="00291E20">
            <w:pPr>
              <w:contextualSpacing/>
            </w:pPr>
            <w:r w:rsidRPr="00DF6E2A">
              <w:t>73.03%</w:t>
            </w:r>
          </w:p>
        </w:tc>
      </w:tr>
    </w:tbl>
    <w:p w:rsidR="00291E20" w:rsidRDefault="00291E20" w:rsidP="00854EB0">
      <w:pPr>
        <w:pStyle w:val="BCSTabletextafter"/>
      </w:pPr>
      <w:r w:rsidRPr="004B7969">
        <w:t xml:space="preserve"> (</w:t>
      </w:r>
      <w:r w:rsidRPr="00241565">
        <w:rPr>
          <w:b/>
        </w:rPr>
        <w:t>NB:</w:t>
      </w:r>
      <w:r>
        <w:t xml:space="preserve"> </w:t>
      </w:r>
      <w:r w:rsidRPr="004B7969">
        <w:t>Multiple choice question)</w:t>
      </w:r>
    </w:p>
    <w:p w:rsidR="00291E20" w:rsidRDefault="00291E20" w:rsidP="00291E20">
      <w:pPr>
        <w:contextualSpacing/>
        <w:rPr>
          <w:i/>
        </w:rPr>
      </w:pPr>
    </w:p>
    <w:p w:rsidR="00291E20" w:rsidRDefault="00291E20" w:rsidP="00854EB0">
      <w:pPr>
        <w:pStyle w:val="BCSParagraph"/>
      </w:pPr>
      <w:r>
        <w:t xml:space="preserve">When compared to the 2008/ 09 survey, the four most cited elements remain the same, although differently ordered; In 2008/09, ‘teacher CPD’ was being addressed, prioritized, or both by 86% of organisations, as was ‘use of a learning platform’.  ‘Replacement of ILT equipment’ was being both addressed, prioritized, or both by 77% of LAs and ‘investment in ILT infrastructure’ </w:t>
      </w:r>
      <w:r w:rsidR="0016093E">
        <w:t>being</w:t>
      </w:r>
      <w:r>
        <w:t xml:space="preserve"> cited by 68% of respondents.  </w:t>
      </w:r>
    </w:p>
    <w:p w:rsidR="00291E20" w:rsidRDefault="00291E20" w:rsidP="00854EB0">
      <w:pPr>
        <w:pStyle w:val="BCSParagraph"/>
      </w:pPr>
      <w:r>
        <w:t xml:space="preserve">In order to understand the extent to which there was strategic commitment to technology integration, respondents were asked to assess their organisations </w:t>
      </w:r>
      <w:r w:rsidR="00EB236F">
        <w:t>in each area</w:t>
      </w:r>
      <w:r>
        <w:t>, using the following scale:</w:t>
      </w:r>
    </w:p>
    <w:p w:rsidR="00291E20" w:rsidRDefault="00291E20" w:rsidP="00291E20">
      <w:pPr>
        <w:contextualSpacing/>
      </w:pPr>
    </w:p>
    <w:p w:rsidR="00291E20" w:rsidRDefault="00291E20" w:rsidP="00854EB0">
      <w:pPr>
        <w:pStyle w:val="BCSBulletparagraph"/>
      </w:pPr>
      <w:r w:rsidRPr="00B858F9">
        <w:rPr>
          <w:b/>
        </w:rPr>
        <w:t>None;</w:t>
      </w:r>
      <w:r>
        <w:t xml:space="preserve"> there is no strategic commitment/plan in this area at all with respect to technology</w:t>
      </w:r>
    </w:p>
    <w:p w:rsidR="00291E20" w:rsidRPr="00B858F9" w:rsidRDefault="00291E20" w:rsidP="00854EB0">
      <w:pPr>
        <w:pStyle w:val="BCSBulletparagraph"/>
      </w:pPr>
      <w:r w:rsidRPr="00B858F9">
        <w:rPr>
          <w:b/>
        </w:rPr>
        <w:t>Initiating;</w:t>
      </w:r>
      <w:r w:rsidRPr="00B858F9">
        <w:t xml:space="preserve"> we are in the very early/planning stages of developing strategic commitments in this area</w:t>
      </w:r>
    </w:p>
    <w:p w:rsidR="00291E20" w:rsidRPr="00B858F9" w:rsidRDefault="00291E20" w:rsidP="00854EB0">
      <w:pPr>
        <w:pStyle w:val="BCSBulletparagraph"/>
      </w:pPr>
      <w:r w:rsidRPr="00B858F9">
        <w:rPr>
          <w:b/>
        </w:rPr>
        <w:t>Implementing;</w:t>
      </w:r>
      <w:r w:rsidRPr="00B858F9">
        <w:t xml:space="preserve"> we have some strategic commitments in place, though we are still working towards developing these further</w:t>
      </w:r>
    </w:p>
    <w:p w:rsidR="00291E20" w:rsidRPr="00B858F9" w:rsidRDefault="00291E20" w:rsidP="00854EB0">
      <w:pPr>
        <w:pStyle w:val="BCSBulletparagraph"/>
      </w:pPr>
      <w:r w:rsidRPr="00B858F9">
        <w:rPr>
          <w:b/>
        </w:rPr>
        <w:t>Embedded in practice;</w:t>
      </w:r>
      <w:r w:rsidRPr="00B858F9">
        <w:t xml:space="preserve"> we have a comprehensive range of strategic commitments in all aspects of this area </w:t>
      </w:r>
    </w:p>
    <w:p w:rsidR="00854EB0" w:rsidRDefault="00291E20" w:rsidP="00EB236F">
      <w:pPr>
        <w:pStyle w:val="BCSBulletparagraph"/>
      </w:pPr>
      <w:r w:rsidRPr="00B858F9">
        <w:rPr>
          <w:b/>
        </w:rPr>
        <w:t>Developing new uses;</w:t>
      </w:r>
      <w:r w:rsidRPr="00B858F9">
        <w:t xml:space="preserve"> we have a comprehensive range of strategic commitments in all aspects of this area, which have been highligh</w:t>
      </w:r>
      <w:r w:rsidR="00C074F4">
        <w:t xml:space="preserve">ted by inspections / external </w:t>
      </w:r>
      <w:r w:rsidRPr="00B858F9">
        <w:t xml:space="preserve">agencies as exemplar, and we are developing new ways of implementing </w:t>
      </w:r>
      <w:r w:rsidR="00854EB0">
        <w:t>technology.</w:t>
      </w:r>
    </w:p>
    <w:p w:rsidR="00EB236F" w:rsidRPr="00B858F9" w:rsidRDefault="00EB236F" w:rsidP="00EB236F">
      <w:pPr>
        <w:pStyle w:val="BCSBulletparagraph"/>
        <w:numPr>
          <w:ilvl w:val="0"/>
          <w:numId w:val="0"/>
        </w:numPr>
        <w:ind w:left="1077"/>
      </w:pPr>
    </w:p>
    <w:bookmarkStart w:id="26" w:name="_Figure_4a:_Local"/>
    <w:bookmarkStart w:id="27" w:name="_Toc256332120"/>
    <w:bookmarkEnd w:id="26"/>
    <w:p w:rsidR="00EB236F" w:rsidRDefault="00F9461D" w:rsidP="00EB236F">
      <w:pPr>
        <w:pStyle w:val="BCSTabletextafter"/>
      </w:pPr>
      <w:r>
        <w:fldChar w:fldCharType="begin"/>
      </w:r>
      <w:r w:rsidR="00EB236F">
        <w:instrText>HYPERLINK \l "_Figure_4a:_Local"</w:instrText>
      </w:r>
      <w:r>
        <w:fldChar w:fldCharType="separate"/>
      </w:r>
      <w:r w:rsidR="00EB236F" w:rsidRPr="006B5DAB">
        <w:rPr>
          <w:rStyle w:val="Hyperlink"/>
        </w:rPr>
        <w:t>Figure 4a</w:t>
      </w:r>
      <w:r>
        <w:fldChar w:fldCharType="end"/>
      </w:r>
      <w:r w:rsidR="00EB236F">
        <w:t xml:space="preserve"> and </w:t>
      </w:r>
      <w:hyperlink w:anchor="_Figure_4b:_VCS/" w:history="1">
        <w:r w:rsidR="00EB236F" w:rsidRPr="00A20E62">
          <w:rPr>
            <w:rStyle w:val="Hyperlink"/>
          </w:rPr>
          <w:t>figure 4b</w:t>
        </w:r>
      </w:hyperlink>
      <w:r w:rsidR="00EB236F">
        <w:t xml:space="preserve"> illustrate the proportion, in percentage terms, of local authorities’ and VCS/ WEA’s perspectives (respectively) upon the level of strategic technology integration.  This is assessed across a series of six strategic areas:</w:t>
      </w:r>
    </w:p>
    <w:p w:rsidR="00EB236F" w:rsidRPr="002D2A55" w:rsidRDefault="00EB236F" w:rsidP="00EB236F">
      <w:pPr>
        <w:pStyle w:val="BCSBulletparagraph"/>
      </w:pPr>
      <w:r w:rsidRPr="002D2A55">
        <w:rPr>
          <w:b/>
        </w:rPr>
        <w:t>Vision and strategic planning;</w:t>
      </w:r>
      <w:r w:rsidRPr="002D2A55">
        <w:t xml:space="preserve"> e.g. coherent, well communicated, strategic planning of ILT implementation</w:t>
      </w:r>
    </w:p>
    <w:p w:rsidR="00EB236F" w:rsidRPr="002D2A55" w:rsidRDefault="00EB236F" w:rsidP="00EB236F">
      <w:pPr>
        <w:pStyle w:val="BCSBulletparagraph"/>
      </w:pPr>
      <w:r w:rsidRPr="002D2A55">
        <w:rPr>
          <w:b/>
        </w:rPr>
        <w:t>teaching and learning;</w:t>
      </w:r>
      <w:r w:rsidRPr="002D2A55">
        <w:t xml:space="preserve">  e.g. widespread availability and use of technology to both deliver and support learning and learning systems</w:t>
      </w:r>
    </w:p>
    <w:p w:rsidR="00EB236F" w:rsidRDefault="00EB236F" w:rsidP="00EB236F">
      <w:pPr>
        <w:pStyle w:val="BCSBulletparagraph"/>
      </w:pPr>
      <w:r w:rsidRPr="005444F4">
        <w:rPr>
          <w:b/>
        </w:rPr>
        <w:t>technology related staff development;</w:t>
      </w:r>
      <w:r w:rsidRPr="005444F4">
        <w:t xml:space="preserve"> e.g. processes in place for identifying and meeting staff skills deficits, whilst supporting enthusiasts in order to create a competent and confident staff</w:t>
      </w:r>
    </w:p>
    <w:p w:rsidR="00EB236F" w:rsidRPr="005444F4" w:rsidRDefault="00EB236F" w:rsidP="00EB236F">
      <w:pPr>
        <w:pStyle w:val="BCSBulletparagraph"/>
      </w:pPr>
      <w:r w:rsidRPr="005444F4">
        <w:rPr>
          <w:b/>
        </w:rPr>
        <w:lastRenderedPageBreak/>
        <w:t>infrastructure and equipment;</w:t>
      </w:r>
      <w:r w:rsidRPr="002D2A55">
        <w:t xml:space="preserve"> </w:t>
      </w:r>
      <w:r w:rsidRPr="005444F4">
        <w:t>e.g. access to appropriate equipment, connectivity, and technical support</w:t>
      </w:r>
    </w:p>
    <w:p w:rsidR="00EB236F" w:rsidRPr="002D2A55" w:rsidRDefault="00EB236F" w:rsidP="00EB236F">
      <w:pPr>
        <w:pStyle w:val="BCSBulletparagraph"/>
      </w:pPr>
      <w:r w:rsidRPr="002D2A55">
        <w:rPr>
          <w:b/>
        </w:rPr>
        <w:t>management and implementation;</w:t>
      </w:r>
      <w:r w:rsidRPr="002D2A55">
        <w:t xml:space="preserve">  e.g. strategic objectives are implemented, monitored, regularly reviewed and funded through sustainable sources,</w:t>
      </w:r>
      <w:r>
        <w:t xml:space="preserve"> </w:t>
      </w:r>
      <w:r w:rsidRPr="002D2A55">
        <w:t xml:space="preserve">and </w:t>
      </w:r>
    </w:p>
    <w:p w:rsidR="00EB236F" w:rsidRDefault="00EB236F" w:rsidP="00854EB0">
      <w:pPr>
        <w:pStyle w:val="BCSTableheadings"/>
      </w:pPr>
    </w:p>
    <w:p w:rsidR="00291E20" w:rsidRPr="00724E6F" w:rsidRDefault="00291E20" w:rsidP="00854EB0">
      <w:pPr>
        <w:pStyle w:val="BCSTableheadings"/>
      </w:pPr>
      <w:r>
        <w:t>Figure</w:t>
      </w:r>
      <w:r w:rsidRPr="00724E6F">
        <w:t xml:space="preserve"> 4a: Local Authority Commitment to Integrating Technology (part 1)</w:t>
      </w:r>
      <w:bookmarkEnd w:id="27"/>
    </w:p>
    <w:p w:rsidR="00291E20" w:rsidRDefault="002102AA" w:rsidP="00291E20">
      <w:pPr>
        <w:ind w:left="-567"/>
        <w:contextualSpacing/>
      </w:pPr>
      <w:r>
        <w:rPr>
          <w:noProof/>
        </w:rPr>
        <w:drawing>
          <wp:inline distT="0" distB="0" distL="0" distR="0">
            <wp:extent cx="6751955" cy="47326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751955" cy="4732655"/>
                    </a:xfrm>
                    <a:prstGeom prst="rect">
                      <a:avLst/>
                    </a:prstGeom>
                    <a:noFill/>
                    <a:ln w="9525">
                      <a:noFill/>
                      <a:miter lim="800000"/>
                      <a:headEnd/>
                      <a:tailEnd/>
                    </a:ln>
                  </pic:spPr>
                </pic:pic>
              </a:graphicData>
            </a:graphic>
          </wp:inline>
        </w:drawing>
      </w:r>
    </w:p>
    <w:p w:rsidR="00854EB0" w:rsidRPr="002D2A55" w:rsidRDefault="00854EB0" w:rsidP="00854EB0">
      <w:pPr>
        <w:pStyle w:val="BCSBulletparagraph"/>
        <w:numPr>
          <w:ilvl w:val="0"/>
          <w:numId w:val="0"/>
        </w:numPr>
        <w:ind w:left="1077"/>
      </w:pPr>
    </w:p>
    <w:p w:rsidR="00291E20" w:rsidRDefault="00EB236F" w:rsidP="00854EB0">
      <w:pPr>
        <w:pStyle w:val="BCSParagraph"/>
      </w:pPr>
      <w:r>
        <w:t xml:space="preserve">For </w:t>
      </w:r>
      <w:r w:rsidR="00291E20">
        <w:t>local author</w:t>
      </w:r>
      <w:r>
        <w:t>ities</w:t>
      </w:r>
      <w:r w:rsidR="00291E20">
        <w:t>:</w:t>
      </w:r>
    </w:p>
    <w:p w:rsidR="00291E20" w:rsidRDefault="00291E20" w:rsidP="00854EB0">
      <w:pPr>
        <w:pStyle w:val="BCSBulletparagraph"/>
      </w:pPr>
      <w:r>
        <w:t xml:space="preserve">The most </w:t>
      </w:r>
      <w:r w:rsidR="00EB236F">
        <w:t>frequently cited response</w:t>
      </w:r>
      <w:r>
        <w:t xml:space="preserve"> was ‘implementing’</w:t>
      </w:r>
      <w:r>
        <w:rPr>
          <w:rStyle w:val="FootnoteReference"/>
        </w:rPr>
        <w:footnoteReference w:id="5"/>
      </w:r>
      <w:r>
        <w:t xml:space="preserve"> (45.80% or all responses), followed by ‘embedding in practice’ (38.44%), and ‘initiating’ </w:t>
      </w:r>
      <w:r>
        <w:lastRenderedPageBreak/>
        <w:t xml:space="preserve">(9.91%).  Proportionately few responses fell within ‘developing new uses’ (5.56%) and ‘none’ (0.30%). </w:t>
      </w:r>
    </w:p>
    <w:p w:rsidR="00291E20" w:rsidRDefault="00291E20" w:rsidP="00854EB0">
      <w:pPr>
        <w:pStyle w:val="BCSBulletparagraph"/>
      </w:pPr>
      <w:r>
        <w:t>With the exception of ‘impact on learners’, all respondents were integrating technology within each strategic area, to some extent; 1.80% (2 respondents) were not making use of technology in support of this area.</w:t>
      </w:r>
    </w:p>
    <w:p w:rsidR="00291E20" w:rsidRDefault="00EB236F" w:rsidP="00854EB0">
      <w:pPr>
        <w:pStyle w:val="BCSBulletparagraph"/>
      </w:pPr>
      <w:r>
        <w:t>‘I</w:t>
      </w:r>
      <w:r w:rsidR="00291E20">
        <w:t xml:space="preserve">mpact upon learners’ was the area within which LAs indicated lowest levels of development, with the greatest proportions ‘implementing’ (35.14%) or ‘initiating’ (31.53%).  </w:t>
      </w:r>
    </w:p>
    <w:p w:rsidR="00291E20" w:rsidRDefault="00291E20" w:rsidP="00854EB0">
      <w:pPr>
        <w:pStyle w:val="BCSBulletparagraph"/>
      </w:pPr>
      <w:r>
        <w:t xml:space="preserve">‘Technology related staff development’ was the strategic area within which most respondents were ‘embedding in practice’ (45.95%) and an almost equal number were ‘implementing’ (45.05%).  </w:t>
      </w:r>
    </w:p>
    <w:p w:rsidR="00291E20" w:rsidRDefault="00291E20" w:rsidP="00854EB0">
      <w:pPr>
        <w:pStyle w:val="BCSBulletparagraph"/>
      </w:pPr>
      <w:r>
        <w:t>Management and implementation of IT was the areas within which most respondents were ‘implementing’ (51.35%).</w:t>
      </w:r>
    </w:p>
    <w:p w:rsidR="00854EB0" w:rsidRDefault="00854EB0" w:rsidP="00854EB0">
      <w:pPr>
        <w:pStyle w:val="BCSBulletparagraph"/>
        <w:numPr>
          <w:ilvl w:val="0"/>
          <w:numId w:val="0"/>
        </w:numPr>
        <w:ind w:left="1077" w:hanging="357"/>
      </w:pPr>
    </w:p>
    <w:p w:rsidR="00854EB0" w:rsidRDefault="00854EB0" w:rsidP="00854EB0">
      <w:pPr>
        <w:pStyle w:val="BCSBulletparagraph"/>
        <w:numPr>
          <w:ilvl w:val="0"/>
          <w:numId w:val="0"/>
        </w:numPr>
        <w:ind w:left="1077" w:hanging="357"/>
      </w:pPr>
    </w:p>
    <w:p w:rsidR="00291E20" w:rsidRDefault="00291E20" w:rsidP="00854EB0">
      <w:pPr>
        <w:pStyle w:val="BCSParagraph"/>
      </w:pPr>
      <w:r>
        <w:t>In terms of VCS/ WEAs (</w:t>
      </w:r>
      <w:hyperlink w:anchor="_Figure_4b:_VCS/" w:history="1">
        <w:r w:rsidRPr="00032B06">
          <w:rPr>
            <w:rStyle w:val="Hyperlink"/>
          </w:rPr>
          <w:t>figure 4b</w:t>
        </w:r>
      </w:hyperlink>
      <w:r w:rsidR="00C074F4">
        <w:t>):</w:t>
      </w:r>
    </w:p>
    <w:p w:rsidR="00291E20" w:rsidRPr="00EC578F" w:rsidRDefault="00291E20" w:rsidP="00854EB0">
      <w:pPr>
        <w:pStyle w:val="BCSBulletparagraph"/>
        <w:rPr>
          <w:szCs w:val="24"/>
        </w:rPr>
      </w:pPr>
      <w:r>
        <w:t>Overall, all respondents felt that their organisations were integrating technology to some extent (no respondents indicated ‘none’).  The most frequently cited response levels were ‘embedded in practice’</w:t>
      </w:r>
      <w:r>
        <w:rPr>
          <w:rStyle w:val="FootnoteReference"/>
        </w:rPr>
        <w:footnoteReference w:id="6"/>
      </w:r>
      <w:r>
        <w:t xml:space="preserve"> (42.05%), followed by ‘implementing’ (37.31%).  Proportionately few responses fell within ‘developing new uses’ (7.01%).</w:t>
      </w:r>
    </w:p>
    <w:p w:rsidR="00291E20" w:rsidRDefault="00291E20" w:rsidP="00854EB0">
      <w:pPr>
        <w:pStyle w:val="BCSBulletparagraph"/>
        <w:rPr>
          <w:szCs w:val="24"/>
        </w:rPr>
      </w:pPr>
      <w:r w:rsidRPr="00D6600F">
        <w:rPr>
          <w:szCs w:val="24"/>
        </w:rPr>
        <w:t>Technology related staff development was the area within which the greater proportion of organisations felt they were ‘embedding in practice’ (</w:t>
      </w:r>
      <w:r>
        <w:rPr>
          <w:szCs w:val="24"/>
        </w:rPr>
        <w:t>51.14%).</w:t>
      </w:r>
    </w:p>
    <w:p w:rsidR="00291E20" w:rsidRPr="00963809" w:rsidRDefault="00EB236F" w:rsidP="00854EB0">
      <w:pPr>
        <w:pStyle w:val="BCSBulletparagraph"/>
        <w:rPr>
          <w:szCs w:val="24"/>
        </w:rPr>
      </w:pPr>
      <w:r>
        <w:rPr>
          <w:szCs w:val="24"/>
        </w:rPr>
        <w:t xml:space="preserve">For </w:t>
      </w:r>
      <w:r w:rsidR="00291E20" w:rsidRPr="00963809">
        <w:rPr>
          <w:szCs w:val="24"/>
        </w:rPr>
        <w:t>‘impact on learners’</w:t>
      </w:r>
      <w:r w:rsidR="00291E20">
        <w:rPr>
          <w:szCs w:val="24"/>
        </w:rPr>
        <w:t>,</w:t>
      </w:r>
      <w:r w:rsidR="00291E20" w:rsidRPr="00963809">
        <w:rPr>
          <w:szCs w:val="24"/>
        </w:rPr>
        <w:t xml:space="preserve"> </w:t>
      </w:r>
      <w:r w:rsidR="00291E20">
        <w:rPr>
          <w:szCs w:val="24"/>
        </w:rPr>
        <w:t xml:space="preserve">just under </w:t>
      </w:r>
      <w:r w:rsidR="00291E20" w:rsidRPr="00963809">
        <w:rPr>
          <w:szCs w:val="24"/>
        </w:rPr>
        <w:t>half of r</w:t>
      </w:r>
      <w:r w:rsidR="00291E20">
        <w:rPr>
          <w:szCs w:val="24"/>
        </w:rPr>
        <w:t>espondent</w:t>
      </w:r>
      <w:r w:rsidR="00291E20" w:rsidRPr="00963809">
        <w:rPr>
          <w:szCs w:val="24"/>
        </w:rPr>
        <w:t xml:space="preserve"> organisations felt that </w:t>
      </w:r>
      <w:r w:rsidR="00291E20">
        <w:rPr>
          <w:szCs w:val="24"/>
        </w:rPr>
        <w:t>they</w:t>
      </w:r>
      <w:r w:rsidR="00291E20" w:rsidRPr="00963809">
        <w:rPr>
          <w:szCs w:val="24"/>
        </w:rPr>
        <w:t xml:space="preserve"> were ‘embedding in practice’ (46.59%)</w:t>
      </w:r>
      <w:r w:rsidR="00291E20">
        <w:rPr>
          <w:szCs w:val="24"/>
        </w:rPr>
        <w:t>, with 3.41% developing new uses.</w:t>
      </w:r>
    </w:p>
    <w:p w:rsidR="00291E20" w:rsidRDefault="00291E20" w:rsidP="00854EB0">
      <w:pPr>
        <w:pStyle w:val="BCSBulletparagraph"/>
        <w:rPr>
          <w:szCs w:val="24"/>
        </w:rPr>
      </w:pPr>
      <w:r w:rsidRPr="00963809">
        <w:rPr>
          <w:szCs w:val="24"/>
        </w:rPr>
        <w:t xml:space="preserve">The greatest proportion of those who felt their organisations were ‘implementing’ (47.73%) fell within ‘vision and strategic planning’, flowed by ‘management and implementation of ILT’ (45.45%).  </w:t>
      </w:r>
    </w:p>
    <w:p w:rsidR="00854EB0" w:rsidRPr="00BC1A51" w:rsidRDefault="00854EB0" w:rsidP="00854EB0">
      <w:pPr>
        <w:pStyle w:val="BCSBulletparagraph"/>
        <w:numPr>
          <w:ilvl w:val="0"/>
          <w:numId w:val="0"/>
        </w:numPr>
        <w:ind w:left="1077"/>
        <w:rPr>
          <w:szCs w:val="24"/>
        </w:rPr>
      </w:pPr>
    </w:p>
    <w:p w:rsidR="00291E20" w:rsidRDefault="00291E20" w:rsidP="00854EB0">
      <w:pPr>
        <w:pStyle w:val="Heading4"/>
        <w:numPr>
          <w:ilvl w:val="0"/>
          <w:numId w:val="0"/>
        </w:numPr>
        <w:ind w:left="864"/>
        <w:rPr>
          <w:szCs w:val="24"/>
        </w:rPr>
      </w:pPr>
    </w:p>
    <w:p w:rsidR="00EB236F" w:rsidRDefault="00EB236F" w:rsidP="00EB236F">
      <w:pPr>
        <w:pStyle w:val="BCSParagraph"/>
      </w:pPr>
    </w:p>
    <w:p w:rsidR="00EB236F" w:rsidRPr="00EB236F" w:rsidRDefault="00EB236F" w:rsidP="00EB236F">
      <w:pPr>
        <w:pStyle w:val="BCSParagraph"/>
      </w:pPr>
    </w:p>
    <w:p w:rsidR="00291E20" w:rsidRDefault="00291E20" w:rsidP="00854EB0">
      <w:pPr>
        <w:pStyle w:val="BCSTableheadings"/>
      </w:pPr>
      <w:bookmarkStart w:id="28" w:name="_Figure_4b:_VCS/"/>
      <w:bookmarkStart w:id="29" w:name="_Toc256332121"/>
      <w:bookmarkEnd w:id="28"/>
      <w:r>
        <w:lastRenderedPageBreak/>
        <w:t>Figure</w:t>
      </w:r>
      <w:r w:rsidRPr="007B4AEB">
        <w:t xml:space="preserve"> </w:t>
      </w:r>
      <w:r>
        <w:t>4b</w:t>
      </w:r>
      <w:r w:rsidRPr="007B4AEB">
        <w:t xml:space="preserve">: </w:t>
      </w:r>
      <w:r>
        <w:t>VCS/ WEA</w:t>
      </w:r>
      <w:r w:rsidRPr="007B4AEB">
        <w:t xml:space="preserve"> Commitment to Integrating Technology (part 2)</w:t>
      </w:r>
      <w:bookmarkEnd w:id="29"/>
    </w:p>
    <w:p w:rsidR="00291E20" w:rsidRDefault="002102AA" w:rsidP="00291E20">
      <w:pPr>
        <w:ind w:left="-567"/>
        <w:contextualSpacing/>
      </w:pPr>
      <w:r>
        <w:rPr>
          <w:noProof/>
        </w:rPr>
        <w:drawing>
          <wp:inline distT="0" distB="0" distL="0" distR="0">
            <wp:extent cx="6739255" cy="46101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6739255" cy="4610100"/>
                    </a:xfrm>
                    <a:prstGeom prst="rect">
                      <a:avLst/>
                    </a:prstGeom>
                    <a:noFill/>
                    <a:ln w="9525">
                      <a:noFill/>
                      <a:miter lim="800000"/>
                      <a:headEnd/>
                      <a:tailEnd/>
                    </a:ln>
                  </pic:spPr>
                </pic:pic>
              </a:graphicData>
            </a:graphic>
          </wp:inline>
        </w:drawing>
      </w:r>
    </w:p>
    <w:p w:rsidR="00291E20" w:rsidRDefault="00291E20" w:rsidP="00854EB0">
      <w:pPr>
        <w:pStyle w:val="BCSTabletextafter"/>
      </w:pPr>
      <w:r>
        <w:t xml:space="preserve">In terms of ‘vision and strategic planning’ and ‘management and implementation of ILT’, the greater proportion of organisations were at earlier stages of development (6 out of 10 in each case), whereas the opposite was true of ‘teaching and learning, where 6 out of 10 organisations were at more developed stages of implementation.  </w:t>
      </w:r>
    </w:p>
    <w:p w:rsidR="00291E20" w:rsidRDefault="00291E20" w:rsidP="00291E20">
      <w:pPr>
        <w:ind w:left="-567"/>
        <w:contextualSpacing/>
      </w:pPr>
    </w:p>
    <w:p w:rsidR="00C074F4" w:rsidRDefault="00C074F4" w:rsidP="00291E20">
      <w:pPr>
        <w:ind w:left="-567"/>
        <w:contextualSpacing/>
      </w:pPr>
    </w:p>
    <w:p w:rsidR="00C074F4" w:rsidRDefault="00C074F4" w:rsidP="00291E20">
      <w:pPr>
        <w:ind w:left="-567"/>
        <w:contextualSpacing/>
      </w:pPr>
    </w:p>
    <w:p w:rsidR="00291E20" w:rsidRDefault="00875EA5" w:rsidP="00291E20">
      <w:pPr>
        <w:contextualSpacing/>
        <w:rPr>
          <w:u w:val="single"/>
        </w:rPr>
      </w:pPr>
      <w:r>
        <w:rPr>
          <w:rStyle w:val="Heading3Char"/>
        </w:rPr>
        <w:t xml:space="preserve">3.1.11   </w:t>
      </w:r>
      <w:r w:rsidR="00291E20" w:rsidRPr="00854EB0">
        <w:rPr>
          <w:rStyle w:val="Heading3Char"/>
        </w:rPr>
        <w:t>Safety and Security Measures</w:t>
      </w:r>
      <w:r w:rsidR="00291E20" w:rsidRPr="00AE226C">
        <w:rPr>
          <w:u w:val="single"/>
        </w:rPr>
        <w:t>:</w:t>
      </w:r>
    </w:p>
    <w:p w:rsidR="00C074F4" w:rsidRDefault="00C074F4" w:rsidP="00291E20">
      <w:pPr>
        <w:contextualSpacing/>
        <w:rPr>
          <w:u w:val="single"/>
        </w:rPr>
      </w:pPr>
    </w:p>
    <w:p w:rsidR="00291E20" w:rsidRDefault="00291E20" w:rsidP="00854EB0">
      <w:pPr>
        <w:pStyle w:val="BCSParagraph"/>
      </w:pPr>
      <w:r>
        <w:t xml:space="preserve">Organisations were asked to indicate, from a list of safety and security measures, whether these were (a) already in place, (b) a current priority, </w:t>
      </w:r>
      <w:r w:rsidR="00EB236F">
        <w:t>(c) not a current priority or d) don’t know</w:t>
      </w:r>
    </w:p>
    <w:p w:rsidR="00291E20" w:rsidRDefault="00291E20" w:rsidP="00291E20">
      <w:pPr>
        <w:contextualSpacing/>
      </w:pPr>
    </w:p>
    <w:p w:rsidR="00291E20" w:rsidRDefault="00291E20" w:rsidP="00854EB0">
      <w:pPr>
        <w:pStyle w:val="BCSBulletparagraph"/>
      </w:pPr>
      <w:r>
        <w:t xml:space="preserve">The area within which most organisations indicated </w:t>
      </w:r>
      <w:r w:rsidR="00EB236F">
        <w:t>that t</w:t>
      </w:r>
      <w:r>
        <w:t xml:space="preserve"> firewall and virus protection</w:t>
      </w:r>
      <w:r w:rsidR="00EB236F">
        <w:t xml:space="preserve"> was currently in place</w:t>
      </w:r>
      <w:r>
        <w:t>; 94.59% o</w:t>
      </w:r>
      <w:r w:rsidR="00EB236F">
        <w:t xml:space="preserve">f LAs </w:t>
      </w:r>
      <w:r>
        <w:t>compared to 93.26% of VCS/ WEAs.</w:t>
      </w:r>
    </w:p>
    <w:p w:rsidR="00291E20" w:rsidRDefault="00291E20" w:rsidP="00854EB0">
      <w:pPr>
        <w:pStyle w:val="BCSBulletparagraph"/>
        <w:numPr>
          <w:ilvl w:val="0"/>
          <w:numId w:val="0"/>
        </w:numPr>
        <w:ind w:left="1077"/>
      </w:pPr>
    </w:p>
    <w:p w:rsidR="00291E20" w:rsidRDefault="00291E20" w:rsidP="00854EB0">
      <w:pPr>
        <w:pStyle w:val="BCSBulletparagraph"/>
      </w:pPr>
      <w:r>
        <w:t>90.99% of local authorities already had staff password protection in place, as did 97.79% of VCS/ WEAs</w:t>
      </w:r>
    </w:p>
    <w:p w:rsidR="00291E20" w:rsidRDefault="00291E20" w:rsidP="00854EB0">
      <w:pPr>
        <w:pStyle w:val="BCSBulletparagraph"/>
        <w:numPr>
          <w:ilvl w:val="0"/>
          <w:numId w:val="0"/>
        </w:numPr>
        <w:ind w:left="1077"/>
      </w:pPr>
    </w:p>
    <w:p w:rsidR="00291E20" w:rsidRDefault="00291E20" w:rsidP="00854EB0">
      <w:pPr>
        <w:pStyle w:val="BCSBulletparagraph"/>
      </w:pPr>
      <w:r>
        <w:t>82.88% of local authorities had software filters in place, and for a further 10.81% this was a current priority.  By comparison, 59.55% of VCS/ WEAs already had software filters in place, and for a further 23.60% this was a current priority, whilst for 14.61% it was not.</w:t>
      </w:r>
      <w:r>
        <w:br/>
      </w:r>
    </w:p>
    <w:p w:rsidR="00291E20" w:rsidRDefault="00291E20" w:rsidP="00854EB0">
      <w:pPr>
        <w:pStyle w:val="BCSBulletparagraph"/>
      </w:pPr>
      <w:r>
        <w:t>In terms of having a clear policy on portable storage devices, 65.77% of LAs already had this in place, a further 24.32% were prioritizing this area, and for 7.21% this was not a current priority.  By comparison, 48.31% of VCS/ WEA organisations already had this type of policy in place, whilst for a further 39.33% this was a current priority, and for 12.36% it was not.</w:t>
      </w:r>
    </w:p>
    <w:p w:rsidR="00291E20" w:rsidRDefault="00291E20" w:rsidP="00854EB0">
      <w:pPr>
        <w:pStyle w:val="BCSBulletparagraph"/>
        <w:numPr>
          <w:ilvl w:val="0"/>
          <w:numId w:val="0"/>
        </w:numPr>
        <w:ind w:left="1077"/>
      </w:pPr>
    </w:p>
    <w:p w:rsidR="00291E20" w:rsidRDefault="00291E20" w:rsidP="00854EB0">
      <w:pPr>
        <w:pStyle w:val="BCSBulletparagraph"/>
      </w:pPr>
      <w:r>
        <w:t>The</w:t>
      </w:r>
      <w:r w:rsidR="00A322FC">
        <w:t xml:space="preserve"> area within which the smallest number of  </w:t>
      </w:r>
      <w:r>
        <w:t xml:space="preserve">organisations indicated </w:t>
      </w:r>
      <w:r w:rsidR="00A322FC">
        <w:t xml:space="preserve">they had this as </w:t>
      </w:r>
      <w:r>
        <w:t>current practice was learner password protection.  Overall, 45.05% of LAs had this in place with a further 22.52 considering it a priority.  A further 29.73% of LAs did not consider this a priority area.  In terms of VCS/ WEAs, 44.94% of organisations already had this in place, whilst a further 19.10% considered it a priority; 32.58% did not consider this a current priority.</w:t>
      </w:r>
    </w:p>
    <w:p w:rsidR="00875EA5" w:rsidRDefault="00875EA5" w:rsidP="00854EB0">
      <w:pPr>
        <w:pStyle w:val="BCSParagraph"/>
      </w:pPr>
    </w:p>
    <w:p w:rsidR="00A322FC" w:rsidRDefault="00291E20" w:rsidP="00A322FC">
      <w:pPr>
        <w:pStyle w:val="BCSParagraph"/>
      </w:pPr>
      <w:r>
        <w:t xml:space="preserve">When compared to the 2008/ 09 survey, very similar results are seen. </w:t>
      </w:r>
      <w:bookmarkStart w:id="30" w:name="_Toc257276007"/>
    </w:p>
    <w:p w:rsidR="00A322FC" w:rsidRDefault="00A322FC" w:rsidP="00A322FC">
      <w:pPr>
        <w:pStyle w:val="BCSParagraph"/>
      </w:pPr>
    </w:p>
    <w:p w:rsidR="00291E20" w:rsidRPr="00875EA5" w:rsidRDefault="00291E20" w:rsidP="00A322FC">
      <w:pPr>
        <w:pStyle w:val="BCSParagraph"/>
      </w:pPr>
      <w:r w:rsidRPr="00875EA5">
        <w:t>Technology and Access</w:t>
      </w:r>
      <w:bookmarkEnd w:id="30"/>
    </w:p>
    <w:p w:rsidR="00291E20" w:rsidRDefault="00291E20" w:rsidP="00875EA5">
      <w:pPr>
        <w:pStyle w:val="BCSParagraph"/>
      </w:pPr>
      <w:r>
        <w:t>The following section is intended to establish the levels of technology and access available to organisations</w:t>
      </w:r>
      <w:r w:rsidR="00A322FC">
        <w:t>.  In order to explore</w:t>
      </w:r>
      <w:r>
        <w:t xml:space="preserve"> the range of equipment that staff had access to, the survey asked respondents to indicate what types of equipment, from a pre-defined list, they were able to access for use with their learners.  </w:t>
      </w:r>
    </w:p>
    <w:p w:rsidR="00291E20" w:rsidRDefault="00291E20" w:rsidP="00875EA5">
      <w:pPr>
        <w:pStyle w:val="BCSParagraph"/>
      </w:pPr>
    </w:p>
    <w:p w:rsidR="00291E20" w:rsidRDefault="00291E20" w:rsidP="00875EA5">
      <w:pPr>
        <w:pStyle w:val="BCSParagraph"/>
      </w:pPr>
      <w:r>
        <w:t xml:space="preserve">In all </w:t>
      </w:r>
      <w:r w:rsidR="00C074F4">
        <w:t>categories</w:t>
      </w:r>
      <w:r>
        <w:t>, ex</w:t>
      </w:r>
      <w:r w:rsidR="00C074F4">
        <w:t>cepting</w:t>
      </w:r>
      <w:r>
        <w:t xml:space="preserve"> three, a greater number of local auth</w:t>
      </w:r>
      <w:r w:rsidR="00C074F4">
        <w:t xml:space="preserve">orities were able to access </w:t>
      </w:r>
      <w:r>
        <w:t>equipment than</w:t>
      </w:r>
      <w:r w:rsidR="00C074F4">
        <w:t xml:space="preserve"> the </w:t>
      </w:r>
      <w:r>
        <w:t>VCS/ WEA organisations (</w:t>
      </w:r>
      <w:hyperlink w:anchor="_Figure_5:_Organisations’" w:history="1">
        <w:r w:rsidRPr="00B151DC">
          <w:rPr>
            <w:rStyle w:val="Hyperlink"/>
          </w:rPr>
          <w:t>figure 5</w:t>
        </w:r>
      </w:hyperlink>
      <w:r>
        <w:t>).  The three types of equipment that a greater number VCS/ WEAs stated that they had access to were;</w:t>
      </w:r>
    </w:p>
    <w:p w:rsidR="00291E20" w:rsidRDefault="00291E20" w:rsidP="00291E20">
      <w:pPr>
        <w:contextualSpacing/>
      </w:pPr>
    </w:p>
    <w:p w:rsidR="00291E20" w:rsidRDefault="00291E20" w:rsidP="00875EA5">
      <w:pPr>
        <w:pStyle w:val="BCSBulletparagraph"/>
      </w:pPr>
      <w:r>
        <w:t>Mobile phones; 38.20% compared to 23.42% of LAs</w:t>
      </w:r>
    </w:p>
    <w:p w:rsidR="00291E20" w:rsidRDefault="00291E20" w:rsidP="00875EA5">
      <w:pPr>
        <w:pStyle w:val="BCSBulletparagraph"/>
      </w:pPr>
      <w:r>
        <w:lastRenderedPageBreak/>
        <w:t xml:space="preserve">Scanners; </w:t>
      </w:r>
      <w:r w:rsidR="00D37E87">
        <w:t xml:space="preserve">85.59% </w:t>
      </w:r>
      <w:r>
        <w:t xml:space="preserve">compared to of </w:t>
      </w:r>
      <w:r w:rsidR="00D37E87">
        <w:t xml:space="preserve">82.02% </w:t>
      </w:r>
      <w:r>
        <w:t>LAs, and</w:t>
      </w:r>
    </w:p>
    <w:p w:rsidR="00291E20" w:rsidRDefault="00291E20" w:rsidP="00875EA5">
      <w:pPr>
        <w:pStyle w:val="BCSBulletparagraph"/>
      </w:pPr>
      <w:r>
        <w:t>Personal Computers (desktops); 95.51% compared to 85.59% of LAs</w:t>
      </w:r>
    </w:p>
    <w:p w:rsidR="00291E20" w:rsidRDefault="00291E20" w:rsidP="00875EA5">
      <w:pPr>
        <w:pStyle w:val="BCSBulletparagraph"/>
        <w:numPr>
          <w:ilvl w:val="0"/>
          <w:numId w:val="0"/>
        </w:numPr>
        <w:ind w:left="1077"/>
      </w:pPr>
    </w:p>
    <w:p w:rsidR="00291E20" w:rsidRDefault="00291E20" w:rsidP="00875EA5">
      <w:pPr>
        <w:pStyle w:val="BCSParagraph"/>
      </w:pPr>
      <w:r>
        <w:t>Across all other types, a proportionately greater number of LAs cited a</w:t>
      </w:r>
      <w:r w:rsidR="00A322FC">
        <w:t>ccess for use with learners.  Frequency of use is shown below</w:t>
      </w:r>
      <w:r>
        <w:t>:</w:t>
      </w:r>
    </w:p>
    <w:p w:rsidR="00291E20" w:rsidRDefault="00291E20" w:rsidP="00291E20">
      <w:pPr>
        <w:contextualSpacing/>
      </w:pPr>
    </w:p>
    <w:p w:rsidR="00291E20" w:rsidRDefault="00291E20" w:rsidP="00875EA5">
      <w:pPr>
        <w:pStyle w:val="BCSBulletparagraph"/>
      </w:pPr>
      <w:r>
        <w:t>Digital cameras were the technology most frequently cited by local authorities (95.50%), whilst VCS/ WEAs cited PCs with most frequency (95.51%)</w:t>
      </w:r>
      <w:r w:rsidR="00A322FC">
        <w:t xml:space="preserve"> with the following</w:t>
      </w:r>
    </w:p>
    <w:p w:rsidR="00291E20" w:rsidRDefault="00A322FC" w:rsidP="00875EA5">
      <w:pPr>
        <w:pStyle w:val="BCSBulletparagraph"/>
      </w:pPr>
      <w:r>
        <w:t>Printers</w:t>
      </w:r>
      <w:r w:rsidR="00291E20">
        <w:t>; 94.59% of LAs and 94.38% of VCS/ WEAs.</w:t>
      </w:r>
    </w:p>
    <w:p w:rsidR="00291E20" w:rsidRDefault="00A322FC" w:rsidP="00875EA5">
      <w:pPr>
        <w:pStyle w:val="BCSBulletparagraph"/>
      </w:pPr>
      <w:r>
        <w:t>Laptops</w:t>
      </w:r>
      <w:r w:rsidR="00291E20">
        <w:t>; 93.69% of LAs and 85.39% of VCS/ WEAs</w:t>
      </w:r>
    </w:p>
    <w:p w:rsidR="00291E20" w:rsidRDefault="00A322FC" w:rsidP="00875EA5">
      <w:pPr>
        <w:pStyle w:val="BCSBulletparagraph"/>
      </w:pPr>
      <w:r>
        <w:t>Projectors;</w:t>
      </w:r>
      <w:r w:rsidR="00291E20">
        <w:t xml:space="preserve"> LAs (80.90%), whilst VCS/ WEAs cited scanners (82.02%).</w:t>
      </w:r>
    </w:p>
    <w:p w:rsidR="00291E20" w:rsidRDefault="00A322FC" w:rsidP="00875EA5">
      <w:pPr>
        <w:pStyle w:val="BCSBulletparagraph"/>
      </w:pPr>
      <w:r>
        <w:t>Whiteboards; LAs  (90.99%), VCS/ WEAs P</w:t>
      </w:r>
      <w:r w:rsidR="00291E20">
        <w:t xml:space="preserve">rojectors (80.90%).  </w:t>
      </w:r>
    </w:p>
    <w:p w:rsidR="00291E20" w:rsidRDefault="00A322FC" w:rsidP="00875EA5">
      <w:pPr>
        <w:pStyle w:val="BCSBulletparagraph"/>
      </w:pPr>
      <w:r>
        <w:t>D</w:t>
      </w:r>
      <w:r w:rsidR="00291E20">
        <w:t>esktop PC</w:t>
      </w:r>
      <w:r>
        <w:t>; LAs (85.59%), VCS/ WEAs D</w:t>
      </w:r>
      <w:r w:rsidR="00291E20">
        <w:t>igital camera</w:t>
      </w:r>
      <w:r>
        <w:t>s</w:t>
      </w:r>
      <w:r w:rsidR="00291E20">
        <w:t xml:space="preserve"> (79.78%)</w:t>
      </w:r>
    </w:p>
    <w:p w:rsidR="00291E20" w:rsidRDefault="00A322FC" w:rsidP="00875EA5">
      <w:pPr>
        <w:pStyle w:val="BCSBulletparagraph"/>
      </w:pPr>
      <w:r>
        <w:t>V</w:t>
      </w:r>
      <w:r w:rsidR="00291E20">
        <w:t xml:space="preserve">ideo camera </w:t>
      </w:r>
      <w:r>
        <w:t xml:space="preserve">Las </w:t>
      </w:r>
      <w:r w:rsidR="00002745">
        <w:t>(81.08%), VCS/ WEAs W</w:t>
      </w:r>
      <w:r w:rsidR="00291E20">
        <w:t>hiteboard (68.54%)</w:t>
      </w:r>
    </w:p>
    <w:p w:rsidR="00291E20" w:rsidRDefault="00291E20" w:rsidP="00875EA5">
      <w:pPr>
        <w:pStyle w:val="BCSBulletparagraph"/>
      </w:pPr>
      <w:r>
        <w:t>The eighth most cited technology type amongst LAs was the scanner (72.97%), whilst amongst VCS/ WEAs it was the video camera (61.80%)</w:t>
      </w:r>
    </w:p>
    <w:p w:rsidR="00291E20" w:rsidRDefault="00291E20" w:rsidP="00875EA5">
      <w:pPr>
        <w:pStyle w:val="BCSBulletparagraph"/>
      </w:pPr>
      <w:r>
        <w:t>Adaptive technologies; 71.17% of LAs and 42.70% of VCS/ WEAs</w:t>
      </w:r>
    </w:p>
    <w:p w:rsidR="00291E20" w:rsidRDefault="00002745" w:rsidP="00875EA5">
      <w:pPr>
        <w:pStyle w:val="BCSBulletparagraph"/>
      </w:pPr>
      <w:r>
        <w:t>V</w:t>
      </w:r>
      <w:r w:rsidR="00291E20">
        <w:t xml:space="preserve">oting equipment </w:t>
      </w:r>
      <w:r>
        <w:t xml:space="preserve"> LAs (55.85%), Mobile phones; </w:t>
      </w:r>
      <w:r w:rsidR="00291E20">
        <w:t>VC</w:t>
      </w:r>
      <w:r>
        <w:t xml:space="preserve">S/ WEAs it was </w:t>
      </w:r>
      <w:r w:rsidR="00291E20">
        <w:t>(38.20%)</w:t>
      </w:r>
    </w:p>
    <w:p w:rsidR="00291E20" w:rsidRDefault="00002745" w:rsidP="00875EA5">
      <w:pPr>
        <w:pStyle w:val="BCSBulletparagraph"/>
      </w:pPr>
      <w:r>
        <w:t>Notebook computers</w:t>
      </w:r>
      <w:r w:rsidR="00291E20">
        <w:t>; 28.83% of LAs and 20.22% of VCS/ WEAs</w:t>
      </w:r>
    </w:p>
    <w:p w:rsidR="00291E20" w:rsidRDefault="00291E20" w:rsidP="00875EA5">
      <w:pPr>
        <w:pStyle w:val="BCSBulletparagraph"/>
      </w:pPr>
      <w:r>
        <w:t>3G devices and games consoles were used by very few organisations and the least-cited technology in each case was the PDA; 11.71% of LAs and 3.37% of VCS/ WEAs</w:t>
      </w:r>
    </w:p>
    <w:p w:rsidR="00875EA5" w:rsidRDefault="00875EA5" w:rsidP="00875EA5">
      <w:pPr>
        <w:pStyle w:val="BCSBulletparagraph"/>
        <w:numPr>
          <w:ilvl w:val="0"/>
          <w:numId w:val="0"/>
        </w:numPr>
        <w:ind w:left="1077"/>
      </w:pPr>
    </w:p>
    <w:p w:rsidR="00291E20" w:rsidRDefault="00291E20" w:rsidP="00291E20">
      <w:pPr>
        <w:contextualSpacing/>
      </w:pPr>
    </w:p>
    <w:p w:rsidR="00291E20" w:rsidRPr="008A11F4" w:rsidRDefault="00291E20" w:rsidP="00875EA5">
      <w:pPr>
        <w:pStyle w:val="Heading4"/>
        <w:numPr>
          <w:ilvl w:val="0"/>
          <w:numId w:val="0"/>
        </w:numPr>
        <w:ind w:left="864" w:hanging="864"/>
        <w:rPr>
          <w:szCs w:val="24"/>
        </w:rPr>
      </w:pPr>
      <w:bookmarkStart w:id="31" w:name="_Figure_5:_Organisations’"/>
      <w:bookmarkStart w:id="32" w:name="_Toc256332122"/>
      <w:bookmarkEnd w:id="31"/>
      <w:r w:rsidRPr="008A11F4">
        <w:rPr>
          <w:szCs w:val="24"/>
        </w:rPr>
        <w:lastRenderedPageBreak/>
        <w:t>Figure 5: Organisations’ access to technology type, for use with learners</w:t>
      </w:r>
      <w:bookmarkEnd w:id="32"/>
    </w:p>
    <w:p w:rsidR="00291E20" w:rsidRDefault="002102AA" w:rsidP="00291E20">
      <w:pPr>
        <w:ind w:left="-567"/>
        <w:contextualSpacing/>
      </w:pPr>
      <w:r>
        <w:rPr>
          <w:noProof/>
        </w:rPr>
        <w:drawing>
          <wp:inline distT="0" distB="0" distL="0" distR="0">
            <wp:extent cx="6701155" cy="46101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6701155" cy="4610100"/>
                    </a:xfrm>
                    <a:prstGeom prst="rect">
                      <a:avLst/>
                    </a:prstGeom>
                    <a:noFill/>
                    <a:ln w="9525">
                      <a:noFill/>
                      <a:miter lim="800000"/>
                      <a:headEnd/>
                      <a:tailEnd/>
                    </a:ln>
                  </pic:spPr>
                </pic:pic>
              </a:graphicData>
            </a:graphic>
          </wp:inline>
        </w:drawing>
      </w:r>
    </w:p>
    <w:p w:rsidR="00291E20" w:rsidRDefault="00291E20" w:rsidP="00291E20">
      <w:pPr>
        <w:contextualSpacing/>
      </w:pPr>
    </w:p>
    <w:p w:rsidR="00291E20" w:rsidRPr="00CB53DC" w:rsidRDefault="00291E20" w:rsidP="00875EA5">
      <w:pPr>
        <w:pStyle w:val="Heading3"/>
      </w:pPr>
      <w:r w:rsidRPr="00CB53DC">
        <w:t>Staff computer access:</w:t>
      </w:r>
    </w:p>
    <w:p w:rsidR="00291E20" w:rsidRDefault="00291E20" w:rsidP="00875EA5">
      <w:pPr>
        <w:pStyle w:val="BCSParagraph"/>
      </w:pPr>
      <w:r>
        <w:t xml:space="preserve">Respondents were asked to indicate the levels of access they felt ACL tutors’ had to computers within their organisation.  Overall, proportionately greater levels of sole or majority dedicated access were seen amongst VCS/ WEA organisations than LAs. 27.93% of LAs felt that it was impossible to generalize, compared with 13.48% of VCS/ WEAs.  Overall, </w:t>
      </w:r>
      <w:r w:rsidR="001867C2">
        <w:t>more</w:t>
      </w:r>
      <w:r>
        <w:t xml:space="preserve"> VCS/ WEAs </w:t>
      </w:r>
      <w:r w:rsidR="001867C2">
        <w:t>providers</w:t>
      </w:r>
      <w:r>
        <w:t xml:space="preserve"> (37.08%) felt that </w:t>
      </w:r>
      <w:r w:rsidRPr="001867C2">
        <w:rPr>
          <w:b/>
        </w:rPr>
        <w:t>all</w:t>
      </w:r>
      <w:r>
        <w:t xml:space="preserve"> of their tutors had </w:t>
      </w:r>
      <w:r w:rsidRPr="001867C2">
        <w:t>sole</w:t>
      </w:r>
      <w:r>
        <w:t xml:space="preserve"> dedicated access to their own computer at work, followed by 32.58% who felt that the </w:t>
      </w:r>
      <w:r w:rsidRPr="001867C2">
        <w:rPr>
          <w:b/>
        </w:rPr>
        <w:t>majority</w:t>
      </w:r>
      <w:r w:rsidRPr="006E1C55">
        <w:t xml:space="preserve"> of staff have </w:t>
      </w:r>
      <w:r w:rsidR="001867C2">
        <w:t xml:space="preserve">sole dedicated </w:t>
      </w:r>
      <w:r w:rsidRPr="006E1C55">
        <w:t>access to a computer at their place of work, while others share</w:t>
      </w:r>
      <w:r>
        <w:t>d</w:t>
      </w:r>
      <w:r w:rsidRPr="006E1C55">
        <w:t xml:space="preserve"> a computer with colleagues</w:t>
      </w:r>
      <w:r>
        <w:t xml:space="preserve">.  </w:t>
      </w:r>
    </w:p>
    <w:p w:rsidR="00291E20" w:rsidRDefault="00291E20" w:rsidP="00875EA5">
      <w:pPr>
        <w:pStyle w:val="BCSParagraph"/>
      </w:pPr>
    </w:p>
    <w:p w:rsidR="00291E20" w:rsidRDefault="00291E20" w:rsidP="00875EA5">
      <w:pPr>
        <w:pStyle w:val="BCSParagraph"/>
      </w:pPr>
      <w:r>
        <w:t xml:space="preserve">In contrast, 25.23% of LAs felt that very few </w:t>
      </w:r>
      <w:r w:rsidR="001867C2">
        <w:t xml:space="preserve">of their </w:t>
      </w:r>
      <w:r>
        <w:t xml:space="preserve">staff had </w:t>
      </w:r>
      <w:r w:rsidRPr="004A4C9E">
        <w:t>sole dedicated access to a computer at their place of work</w:t>
      </w:r>
      <w:r>
        <w:t>, whilst 18.02% felt that t</w:t>
      </w:r>
      <w:r w:rsidRPr="00ED10DC">
        <w:t xml:space="preserve">he </w:t>
      </w:r>
      <w:r w:rsidRPr="001867C2">
        <w:rPr>
          <w:b/>
        </w:rPr>
        <w:t>majority</w:t>
      </w:r>
      <w:r w:rsidRPr="00ED10DC">
        <w:t xml:space="preserve"> of </w:t>
      </w:r>
      <w:r>
        <w:t xml:space="preserve">their </w:t>
      </w:r>
      <w:r w:rsidRPr="00ED10DC">
        <w:t xml:space="preserve">staff </w:t>
      </w:r>
      <w:r w:rsidR="001867C2" w:rsidRPr="00ED10DC">
        <w:t>has</w:t>
      </w:r>
      <w:r w:rsidRPr="00ED10DC">
        <w:t xml:space="preserve"> </w:t>
      </w:r>
      <w:r w:rsidR="001867C2">
        <w:t xml:space="preserve">sole dedicated </w:t>
      </w:r>
      <w:r w:rsidRPr="00ED10DC">
        <w:t>access to a computer at their place of work, while others share</w:t>
      </w:r>
      <w:r>
        <w:t>d</w:t>
      </w:r>
      <w:r w:rsidRPr="00ED10DC">
        <w:t xml:space="preserve"> a computer with colleagues</w:t>
      </w:r>
      <w:r w:rsidR="00002745">
        <w:t xml:space="preserve">.  </w:t>
      </w:r>
      <w:r>
        <w:t xml:space="preserve">12.61% </w:t>
      </w:r>
      <w:r w:rsidR="00002745">
        <w:t xml:space="preserve">of Las </w:t>
      </w:r>
      <w:r>
        <w:t xml:space="preserve">felt that </w:t>
      </w:r>
      <w:r w:rsidR="001867C2" w:rsidRPr="001867C2">
        <w:rPr>
          <w:b/>
        </w:rPr>
        <w:t>all</w:t>
      </w:r>
      <w:r w:rsidR="001867C2">
        <w:t xml:space="preserve"> </w:t>
      </w:r>
      <w:r>
        <w:t xml:space="preserve">their tutors had sole </w:t>
      </w:r>
      <w:r>
        <w:lastRenderedPageBreak/>
        <w:t xml:space="preserve">dedicated access to computer at their place of work.   Only 3% of local authorities felt that none of their staff had access to a computer at their place of work, whilst no VCS/ WEAs selected this option.    </w:t>
      </w:r>
    </w:p>
    <w:p w:rsidR="00291E20" w:rsidRDefault="00291E20" w:rsidP="00875EA5">
      <w:pPr>
        <w:pStyle w:val="BCSParagraph"/>
      </w:pPr>
    </w:p>
    <w:p w:rsidR="00291E20" w:rsidRDefault="00291E20" w:rsidP="00875EA5">
      <w:pPr>
        <w:pStyle w:val="BCSParagraph"/>
      </w:pPr>
      <w:r>
        <w:t xml:space="preserve">In terms of support staff, 26.97% of VCS/ WEA organisations felt that </w:t>
      </w:r>
      <w:r w:rsidRPr="001867C2">
        <w:rPr>
          <w:b/>
        </w:rPr>
        <w:t>all</w:t>
      </w:r>
      <w:r>
        <w:t xml:space="preserve"> of their support staff had sole dedicated access to their own computer at work, followed by 24.72% who felt that the </w:t>
      </w:r>
      <w:r w:rsidRPr="001867C2">
        <w:rPr>
          <w:b/>
        </w:rPr>
        <w:t>majority</w:t>
      </w:r>
      <w:r w:rsidRPr="006E1C55">
        <w:t xml:space="preserve"> of staff </w:t>
      </w:r>
      <w:r w:rsidR="001867C2" w:rsidRPr="006E1C55">
        <w:t>has</w:t>
      </w:r>
      <w:r w:rsidRPr="006E1C55">
        <w:t xml:space="preserve"> sole dedicated access to a computer at their place of work, while others share</w:t>
      </w:r>
      <w:r>
        <w:t>d</w:t>
      </w:r>
      <w:r w:rsidRPr="006E1C55">
        <w:t xml:space="preserve"> a computer with colleagues</w:t>
      </w:r>
      <w:r>
        <w:t xml:space="preserve">.  </w:t>
      </w:r>
    </w:p>
    <w:p w:rsidR="00291E20" w:rsidRDefault="00291E20" w:rsidP="00875EA5">
      <w:pPr>
        <w:pStyle w:val="BCSParagraph"/>
      </w:pPr>
    </w:p>
    <w:p w:rsidR="00291E20" w:rsidRDefault="00291E20" w:rsidP="00875EA5">
      <w:pPr>
        <w:pStyle w:val="BCSParagraph"/>
      </w:pPr>
      <w:r>
        <w:t xml:space="preserve">In contrast, 15.32% of LAs </w:t>
      </w:r>
      <w:r w:rsidR="001867C2">
        <w:t xml:space="preserve">responding </w:t>
      </w:r>
      <w:r>
        <w:t xml:space="preserve">felt that </w:t>
      </w:r>
      <w:r w:rsidR="001867C2" w:rsidRPr="001867C2">
        <w:rPr>
          <w:b/>
        </w:rPr>
        <w:t>all</w:t>
      </w:r>
      <w:r w:rsidR="001867C2">
        <w:t xml:space="preserve"> </w:t>
      </w:r>
      <w:r>
        <w:t xml:space="preserve">their learning support staff had sole dedicated access to their own computer at work, followed by 15.32% who felt that very few learning support staff had access to their own computer at their place of work.    Overall, 13.51% of LA respondents felt that all of their support staff shared a computer, only 5.41% of </w:t>
      </w:r>
      <w:r w:rsidR="001867C2">
        <w:t>LA providers</w:t>
      </w:r>
      <w:r>
        <w:t xml:space="preserve"> felt that none of their learning support staff had access to a computer at work, whilst none of the VCS/ WEA organisations selected this option.  </w:t>
      </w:r>
    </w:p>
    <w:p w:rsidR="00291E20" w:rsidRDefault="00291E20" w:rsidP="00875EA5">
      <w:pPr>
        <w:pStyle w:val="BCSParagraph"/>
      </w:pPr>
    </w:p>
    <w:p w:rsidR="00291E20" w:rsidRDefault="00291E20" w:rsidP="00875EA5">
      <w:pPr>
        <w:pStyle w:val="BCSParagraph"/>
      </w:pPr>
      <w:r>
        <w:t>It should be noted that approximately a quarter of organisation, in each case, did not reply to the support staff question; 26.13% of LAs and 23.60% of VCS/ WEAs.</w:t>
      </w:r>
    </w:p>
    <w:p w:rsidR="00291E20" w:rsidRDefault="00291E20" w:rsidP="00875EA5">
      <w:pPr>
        <w:pStyle w:val="BCSParagraph"/>
      </w:pPr>
    </w:p>
    <w:p w:rsidR="00291E20" w:rsidRDefault="00291E20" w:rsidP="00875EA5">
      <w:pPr>
        <w:pStyle w:val="BCSParagraph"/>
      </w:pPr>
      <w:r>
        <w:t xml:space="preserve">Although a similar question was asked in the 2008/09 survey, further categories were included and the existing language altered, as advised by sector representatives in the 2008/09 focus groups.  However, a distinct change is seen in the proportion of organisations indicating that their staff had sole dedicated access to a computer at their place of work.  In 2008/09, the category phrased ‘all tutors have their own computer within their organisation’ attracted only 2% response, whereas the comparable category in 2009/10, ‘all staff have </w:t>
      </w:r>
      <w:r w:rsidRPr="004A4C9E">
        <w:t>sole dedicated access to a computer at their place of work</w:t>
      </w:r>
      <w:r>
        <w:t xml:space="preserve">’, attracted a 12.61% response from local authorities.  </w:t>
      </w:r>
      <w:r w:rsidR="00002745">
        <w:t>This may also reflect the larger sample achieved in this survey.</w:t>
      </w:r>
    </w:p>
    <w:p w:rsidR="00291E20" w:rsidRDefault="00291E20" w:rsidP="00291E20">
      <w:pPr>
        <w:contextualSpacing/>
      </w:pPr>
    </w:p>
    <w:p w:rsidR="00291E20" w:rsidRDefault="00291E20" w:rsidP="00291E20">
      <w:pPr>
        <w:contextualSpacing/>
      </w:pPr>
    </w:p>
    <w:p w:rsidR="00291E20" w:rsidRPr="00B90B5C" w:rsidRDefault="00291E20" w:rsidP="00875EA5">
      <w:pPr>
        <w:pStyle w:val="Heading3"/>
      </w:pPr>
      <w:r w:rsidRPr="00B90B5C">
        <w:t>Connectivity</w:t>
      </w:r>
      <w:r>
        <w:t xml:space="preserve"> and networking</w:t>
      </w:r>
      <w:r w:rsidRPr="00B90B5C">
        <w:t>:</w:t>
      </w:r>
    </w:p>
    <w:p w:rsidR="00291E20" w:rsidRDefault="00291E20" w:rsidP="00875EA5">
      <w:pPr>
        <w:pStyle w:val="BCSParagraph"/>
      </w:pPr>
      <w:r>
        <w:t>Organisations were asked to indicate how many of their</w:t>
      </w:r>
      <w:r w:rsidRPr="004F1A8B">
        <w:t xml:space="preserve"> delivery locations connect to the Internet via high speed connection</w:t>
      </w:r>
      <w:r>
        <w:t>.  Of the 3885</w:t>
      </w:r>
      <w:r>
        <w:rPr>
          <w:rStyle w:val="FootnoteReference"/>
        </w:rPr>
        <w:footnoteReference w:id="7"/>
      </w:r>
      <w:r>
        <w:t xml:space="preserve"> learning locations listed, LAs were responsible for 82.57% whilst VCS/ WEAs were responsible for 17.43%.  </w:t>
      </w:r>
    </w:p>
    <w:p w:rsidR="00291E20" w:rsidRDefault="00291E20" w:rsidP="00875EA5">
      <w:pPr>
        <w:pStyle w:val="BCSParagraph"/>
      </w:pPr>
    </w:p>
    <w:p w:rsidR="00291E20" w:rsidRDefault="00291E20" w:rsidP="00875EA5">
      <w:pPr>
        <w:pStyle w:val="BCSParagraph"/>
      </w:pPr>
      <w:r>
        <w:t>Organisations were also asked whether</w:t>
      </w:r>
      <w:r w:rsidRPr="00347177">
        <w:t xml:space="preserve"> adult and community staff </w:t>
      </w:r>
      <w:r>
        <w:t xml:space="preserve">could </w:t>
      </w:r>
      <w:r w:rsidRPr="00347177">
        <w:t>generally access the internet, when they need</w:t>
      </w:r>
      <w:r>
        <w:t>ed</w:t>
      </w:r>
      <w:r w:rsidRPr="00347177">
        <w:t xml:space="preserve"> to, at their place of work</w:t>
      </w:r>
      <w:r w:rsidR="002B0DCB">
        <w:t xml:space="preserve">. </w:t>
      </w:r>
      <w:r>
        <w:t>62.16% of LAs indicated that their staff had unrestricted access to the Internet, compared to 87.64% of VCS/WEAs.   Overall, 36.04% of LAs and 12.36% of VCS/ WEAs stated that that whilst staff could access the Internet, this was restricted to w</w:t>
      </w:r>
      <w:r w:rsidRPr="00F06442">
        <w:t>ebsites which have been approved by the organisation</w:t>
      </w:r>
      <w:r>
        <w:t>.  Only 1.80% of LAs stated that no staff had access to the Internet.  When compared to 2008/09, results are similar.</w:t>
      </w:r>
    </w:p>
    <w:p w:rsidR="00291E20" w:rsidRDefault="00291E20" w:rsidP="00875EA5">
      <w:pPr>
        <w:pStyle w:val="BCSParagraph"/>
      </w:pPr>
    </w:p>
    <w:p w:rsidR="00291E20" w:rsidRDefault="00291E20" w:rsidP="00875EA5">
      <w:pPr>
        <w:pStyle w:val="BCSParagraph"/>
      </w:pPr>
      <w:r>
        <w:t xml:space="preserve">In order to </w:t>
      </w:r>
      <w:r w:rsidR="002B0DCB">
        <w:t>gain an</w:t>
      </w:r>
      <w:r>
        <w:t xml:space="preserve"> overview of organisations’ network capabilities, respondents were asked to indicate whether their networks were (a) fast and reliable, (b)only  slow at busy times, or that (c) slowness was a problem.  Overall, 52.25% of local authorities and 45.98% of VCS/ WEAs indicated that their networks were fast and reliable, whilst 39.64% of LAs compared to 50.57% of VCS/ WEAs stated that their network was slow at busy times.  In terms of those who felt that slowness was a consistent problem, 8.11% of LAs and 3.45% of VCS/ WEAs indicated that this was the case.</w:t>
      </w:r>
    </w:p>
    <w:p w:rsidR="00291E20" w:rsidRDefault="00291E20" w:rsidP="00875EA5">
      <w:pPr>
        <w:pStyle w:val="BCSParagraph"/>
      </w:pPr>
    </w:p>
    <w:p w:rsidR="00291E20" w:rsidRDefault="00291E20" w:rsidP="00875EA5">
      <w:pPr>
        <w:pStyle w:val="BCSParagraph"/>
      </w:pPr>
      <w:r>
        <w:t>When asked whether respondents felt that their network met current demand, the greater proportion of organisations stated that although this was the case, the network was running at capacity; 50.46% of LAs and 58.62% of VCS/ WEAs.  Overall, 36.70% of LAs felt that their network not only met current demand but had excess capacity, compared to 29.89% of VCS/ WEAs, whilst 12.84% of LAs and 11.49% of VCS/ WEAs stated that their networks di</w:t>
      </w:r>
      <w:r w:rsidR="00BD034A">
        <w:t>d not meet current demand</w:t>
      </w:r>
      <w:r>
        <w:t>.</w:t>
      </w:r>
    </w:p>
    <w:p w:rsidR="00291E20" w:rsidRDefault="00291E20" w:rsidP="00875EA5">
      <w:pPr>
        <w:pStyle w:val="BCSParagraph"/>
      </w:pPr>
    </w:p>
    <w:p w:rsidR="00291E20" w:rsidRDefault="00291E20" w:rsidP="00875EA5">
      <w:pPr>
        <w:pStyle w:val="BCSParagraph"/>
      </w:pPr>
      <w:r>
        <w:t xml:space="preserve">When asked about the capacity of the network to allow staff to work with large files, approximately 1 in 10 respondents felt that their networks consistently allowed for this; 9.62% of LAs and 13.10% of VCS/ WEAs.  The greater proportion of LAs felt that only some parts of their network allowed staff to work with large files (47.12%), whilst a further 43.27% indicated that, whilst their network coped in general, it did struggle during busy times.   By comparison, the greatest proportion of VCS/ WEAs felt that their networks generally coped, but struggled at busy times (47.62%), whilst a further 39.29% stated that only some parts of the network allowed staff to work with large files.   </w:t>
      </w:r>
    </w:p>
    <w:p w:rsidR="00291E20" w:rsidRDefault="00291E20" w:rsidP="00875EA5">
      <w:pPr>
        <w:pStyle w:val="BCSParagraph"/>
      </w:pPr>
    </w:p>
    <w:p w:rsidR="00291E20" w:rsidRDefault="00291E20" w:rsidP="00875EA5">
      <w:pPr>
        <w:pStyle w:val="BCSParagraph"/>
      </w:pPr>
      <w:r>
        <w:t xml:space="preserve">Respondents were also asked whether their organisations allowed for personal mobile devices to be connected to the network and invited to indicate as many scenarios as applied.  </w:t>
      </w:r>
    </w:p>
    <w:p w:rsidR="00291E20" w:rsidRDefault="00291E20" w:rsidP="00291E20">
      <w:pPr>
        <w:contextualSpacing/>
      </w:pPr>
    </w:p>
    <w:p w:rsidR="00291E20" w:rsidRDefault="00291E20" w:rsidP="00875EA5">
      <w:pPr>
        <w:pStyle w:val="BCSBulletparagraph"/>
      </w:pPr>
      <w:r>
        <w:t>VCS/ WEA organisations allowed the connection of external mobile learning and memory devices in consistently more instances than LAs</w:t>
      </w:r>
    </w:p>
    <w:p w:rsidR="00291E20" w:rsidRDefault="00291E20" w:rsidP="00875EA5">
      <w:pPr>
        <w:pStyle w:val="BCSBulletparagraph"/>
        <w:numPr>
          <w:ilvl w:val="0"/>
          <w:numId w:val="0"/>
        </w:numPr>
        <w:ind w:left="720"/>
      </w:pPr>
    </w:p>
    <w:p w:rsidR="00291E20" w:rsidRDefault="00291E20" w:rsidP="00875EA5">
      <w:pPr>
        <w:pStyle w:val="BCSBulletparagraph"/>
      </w:pPr>
      <w:r>
        <w:t xml:space="preserve">The majority of both local authorities and VCS/ WEAs indicated that tutors were able to bring in and connect their own memory devices (83.78% of LAs and 93.26% of VCS/ WEAs), </w:t>
      </w:r>
    </w:p>
    <w:p w:rsidR="00291E20" w:rsidRDefault="00291E20" w:rsidP="00875EA5">
      <w:pPr>
        <w:pStyle w:val="BCSBulletparagraph"/>
        <w:numPr>
          <w:ilvl w:val="0"/>
          <w:numId w:val="0"/>
        </w:numPr>
        <w:ind w:left="1077"/>
      </w:pPr>
    </w:p>
    <w:p w:rsidR="00291E20" w:rsidRDefault="00291E20" w:rsidP="00875EA5">
      <w:pPr>
        <w:pStyle w:val="BCSBulletparagraph"/>
      </w:pPr>
      <w:r>
        <w:t>LAs allowed learners to connect their own mobile memory devices to the network in 65.77% of cases, whilst VCS/ WEAs allowed this in 74.16% of cases.</w:t>
      </w:r>
    </w:p>
    <w:p w:rsidR="00291E20" w:rsidRDefault="00291E20" w:rsidP="00875EA5">
      <w:pPr>
        <w:pStyle w:val="BCSBulletparagraph"/>
        <w:numPr>
          <w:ilvl w:val="0"/>
          <w:numId w:val="0"/>
        </w:numPr>
        <w:ind w:left="1077"/>
      </w:pPr>
    </w:p>
    <w:p w:rsidR="00291E20" w:rsidRDefault="00291E20" w:rsidP="00875EA5">
      <w:pPr>
        <w:pStyle w:val="BCSBulletparagraph"/>
      </w:pPr>
      <w:r>
        <w:t>45.05% of LAs allowed tutors to bring in their own mobile learning devices and attach to the network, whilst 61.80% of VCS/ WEAs allowed this.</w:t>
      </w:r>
    </w:p>
    <w:p w:rsidR="00291E20" w:rsidRDefault="00291E20" w:rsidP="00875EA5">
      <w:pPr>
        <w:pStyle w:val="BCSBulletparagraph"/>
        <w:numPr>
          <w:ilvl w:val="0"/>
          <w:numId w:val="0"/>
        </w:numPr>
        <w:ind w:left="1077"/>
      </w:pPr>
    </w:p>
    <w:p w:rsidR="00291E20" w:rsidRDefault="00291E20" w:rsidP="00875EA5">
      <w:pPr>
        <w:pStyle w:val="BCSBulletparagraph"/>
      </w:pPr>
      <w:r>
        <w:t>Approximately 1 in 5 organisations allowed learners to bring in their own mobile learning devices and attach them to the network; 18.92% of local authorities and 21.35% of VCS/ WEAs.</w:t>
      </w:r>
    </w:p>
    <w:p w:rsidR="00291E20" w:rsidRDefault="00291E20" w:rsidP="00291E20">
      <w:pPr>
        <w:contextualSpacing/>
      </w:pPr>
    </w:p>
    <w:p w:rsidR="00291E20" w:rsidRDefault="00291E20" w:rsidP="00291E20">
      <w:pPr>
        <w:contextualSpacing/>
      </w:pPr>
    </w:p>
    <w:p w:rsidR="00291E20" w:rsidRDefault="00291E20" w:rsidP="00875EA5">
      <w:pPr>
        <w:pStyle w:val="BCSParagraph"/>
      </w:pPr>
      <w:r>
        <w:t>Organisations were as</w:t>
      </w:r>
      <w:r w:rsidR="002B0DCB">
        <w:t xml:space="preserve">ked to indicate the proportion </w:t>
      </w:r>
      <w:r>
        <w:t>of their learning locations within which selected online activities could be performed (</w:t>
      </w:r>
      <w:hyperlink w:anchor="_Figure_6a:_Proportion" w:history="1">
        <w:r w:rsidRPr="00C45580">
          <w:rPr>
            <w:rStyle w:val="Hyperlink"/>
          </w:rPr>
          <w:t>figures 6a</w:t>
        </w:r>
      </w:hyperlink>
      <w:r>
        <w:t xml:space="preserve"> and </w:t>
      </w:r>
      <w:hyperlink w:anchor="_Figure_6b:_Proportion" w:history="1">
        <w:r w:rsidRPr="00C45580">
          <w:rPr>
            <w:rStyle w:val="Hyperlink"/>
          </w:rPr>
          <w:t>6b</w:t>
        </w:r>
      </w:hyperlink>
      <w:r>
        <w:t xml:space="preserve">).  </w:t>
      </w:r>
    </w:p>
    <w:p w:rsidR="00291E20" w:rsidRDefault="00291E20" w:rsidP="00291E20">
      <w:pPr>
        <w:contextualSpacing/>
      </w:pPr>
    </w:p>
    <w:p w:rsidR="00291E20" w:rsidRDefault="00291E20" w:rsidP="00875EA5">
      <w:pPr>
        <w:pStyle w:val="BCSBulletparagraph"/>
      </w:pPr>
      <w:r>
        <w:t>VCS/ WEAs generally fell at either end of the response spectrum; the facility was more likely to be either not available to them at all or it was available within all of their locations.  Equally, a proportionately greater number of respondents from these organisations were able to perform activities in all of their locations, when compared to LAs.  Further, the vast majority of organisations overall were able to perform activities at (at least) some of their locations unless the fac</w:t>
      </w:r>
      <w:r w:rsidR="002B0DCB">
        <w:t>ility was entirely unavailable. V</w:t>
      </w:r>
      <w:r>
        <w:t>ery few respondents indicated that an activity was unavailable in ‘none of their locations’.</w:t>
      </w:r>
    </w:p>
    <w:p w:rsidR="00291E20" w:rsidRDefault="00291E20" w:rsidP="00875EA5">
      <w:pPr>
        <w:pStyle w:val="BCSBulletparagraph"/>
        <w:numPr>
          <w:ilvl w:val="0"/>
          <w:numId w:val="0"/>
        </w:numPr>
        <w:ind w:left="1077"/>
      </w:pPr>
    </w:p>
    <w:p w:rsidR="00291E20" w:rsidRDefault="00291E20" w:rsidP="00875EA5">
      <w:pPr>
        <w:pStyle w:val="BCSBulletparagraph"/>
      </w:pPr>
      <w:r>
        <w:t>In terms of accessing email at work, the majority of LA respondents were able to perform this in some of their locations (74.77%), whereas 56.18% of VCS/ WEAs were able to perform this activity in all of their locations.</w:t>
      </w:r>
    </w:p>
    <w:p w:rsidR="00291E20" w:rsidRDefault="00291E20" w:rsidP="00875EA5">
      <w:pPr>
        <w:pStyle w:val="BCSBulletparagraph"/>
        <w:numPr>
          <w:ilvl w:val="0"/>
          <w:numId w:val="0"/>
        </w:numPr>
        <w:ind w:left="1077"/>
      </w:pPr>
    </w:p>
    <w:p w:rsidR="00291E20" w:rsidRDefault="00291E20" w:rsidP="00875EA5">
      <w:pPr>
        <w:pStyle w:val="BCSBulletparagraph"/>
      </w:pPr>
      <w:r>
        <w:t xml:space="preserve">When asked about accessing their VLE, the majority of LAs (54.95%) were able to do this at some </w:t>
      </w:r>
      <w:r w:rsidR="002B0DCB">
        <w:t>of their learning locations. F</w:t>
      </w:r>
      <w:r>
        <w:t>or 24.32% this facility was not available at all.  By comparison, the number of VCS/ WEAs able to access their VLE in some locations was equal to those for whom the facility was not available at all (32.58%, respectively).  However 25.84% of VCS/ WEAs were able to offer this at all of their locations, compared to 16.22% of LAs.</w:t>
      </w:r>
    </w:p>
    <w:p w:rsidR="00291E20" w:rsidRDefault="00291E20" w:rsidP="00875EA5">
      <w:pPr>
        <w:pStyle w:val="BCSBulletparagraph"/>
        <w:numPr>
          <w:ilvl w:val="0"/>
          <w:numId w:val="0"/>
        </w:numPr>
        <w:ind w:left="1077"/>
      </w:pPr>
    </w:p>
    <w:p w:rsidR="00291E20" w:rsidRDefault="00291E20" w:rsidP="00875EA5">
      <w:pPr>
        <w:pStyle w:val="BCSBulletparagraph"/>
      </w:pPr>
      <w:r>
        <w:t xml:space="preserve"> When asked about uploading</w:t>
      </w:r>
      <w:r w:rsidR="002B0DCB">
        <w:t xml:space="preserve"> content to their VLE, </w:t>
      </w:r>
      <w:r>
        <w:t xml:space="preserve">the majority of LAs who could access the VLE </w:t>
      </w:r>
      <w:r w:rsidR="002B0DCB">
        <w:t xml:space="preserve">indicated they could  </w:t>
      </w:r>
      <w:r>
        <w:t xml:space="preserve">upload content.   The greater proportion of LAs (55.86%) was able to do this at some of their learning locations and for 25.23% this facility was not available at all.  By comparison, the number of VCS/ WEAs for whom uploading VLE content was not a facility available to them was the greatest proportion (41.57%), whilst 25.84% could upload in some location and 22.47% could upload in all locations. </w:t>
      </w:r>
    </w:p>
    <w:p w:rsidR="00291E20" w:rsidRDefault="00291E20" w:rsidP="00291E20">
      <w:pPr>
        <w:contextualSpacing/>
      </w:pPr>
    </w:p>
    <w:p w:rsidR="00291E20" w:rsidRDefault="00291E20" w:rsidP="00291E20">
      <w:pPr>
        <w:contextualSpacing/>
      </w:pPr>
    </w:p>
    <w:p w:rsidR="00291E20" w:rsidRPr="006C7FC4" w:rsidRDefault="00291E20" w:rsidP="00875EA5">
      <w:pPr>
        <w:pStyle w:val="BCSTableheadings"/>
      </w:pPr>
      <w:bookmarkStart w:id="33" w:name="_Figure_6a:_Proportion"/>
      <w:bookmarkStart w:id="34" w:name="_Toc256332123"/>
      <w:bookmarkEnd w:id="33"/>
      <w:r w:rsidRPr="006C7FC4">
        <w:t>Figure 6</w:t>
      </w:r>
      <w:r>
        <w:t>a</w:t>
      </w:r>
      <w:r w:rsidRPr="006C7FC4">
        <w:t>: Proportion of Local Authorities indicating number of learning sites/ venues within which ACL staff can perform specific online activities</w:t>
      </w:r>
      <w:bookmarkEnd w:id="34"/>
    </w:p>
    <w:p w:rsidR="00291E20" w:rsidRDefault="002102AA" w:rsidP="00291E20">
      <w:pPr>
        <w:ind w:left="-567"/>
        <w:contextualSpacing/>
      </w:pPr>
      <w:r>
        <w:rPr>
          <w:noProof/>
        </w:rPr>
        <w:drawing>
          <wp:inline distT="0" distB="0" distL="0" distR="0">
            <wp:extent cx="6688455" cy="4432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6688455" cy="4432300"/>
                    </a:xfrm>
                    <a:prstGeom prst="rect">
                      <a:avLst/>
                    </a:prstGeom>
                    <a:noFill/>
                    <a:ln w="9525">
                      <a:noFill/>
                      <a:miter lim="800000"/>
                      <a:headEnd/>
                      <a:tailEnd/>
                    </a:ln>
                  </pic:spPr>
                </pic:pic>
              </a:graphicData>
            </a:graphic>
          </wp:inline>
        </w:drawing>
      </w:r>
    </w:p>
    <w:p w:rsidR="00291E20" w:rsidRDefault="00291E20" w:rsidP="00291E20">
      <w:pPr>
        <w:contextualSpacing/>
      </w:pPr>
    </w:p>
    <w:p w:rsidR="00291E20" w:rsidRDefault="00291E20" w:rsidP="00291E20">
      <w:pPr>
        <w:contextualSpacing/>
      </w:pPr>
    </w:p>
    <w:p w:rsidR="00291E20" w:rsidRDefault="00291E20" w:rsidP="00291E20">
      <w:pPr>
        <w:contextualSpacing/>
      </w:pPr>
    </w:p>
    <w:p w:rsidR="00291E20" w:rsidRDefault="00291E20" w:rsidP="00291E20">
      <w:pPr>
        <w:contextualSpacing/>
      </w:pPr>
    </w:p>
    <w:p w:rsidR="00291E20" w:rsidRDefault="00291E20" w:rsidP="00875EA5">
      <w:pPr>
        <w:pStyle w:val="BCSBulletparagraph"/>
      </w:pPr>
      <w:r>
        <w:t>When ask</w:t>
      </w:r>
      <w:r w:rsidR="00875EA5">
        <w:t>ed</w:t>
      </w:r>
      <w:r w:rsidR="002B0DCB">
        <w:t xml:space="preserve"> whether staff</w:t>
      </w:r>
      <w:r>
        <w:t xml:space="preserve"> were able to download from the VLE, the greatest proportion of local authorities (56.76%) were able to do this in some of their locations, whereas for 23.42% this was not a facility available to them.  By comparison, the greater proportion of VCS/ WEAs indicated that this facility was not available to them (40.45%), whilst 25.84% were able to download content from the VLE in some of their locations and 24.72% of organisations could do this in all of their locations.</w:t>
      </w:r>
    </w:p>
    <w:p w:rsidR="00291E20" w:rsidRDefault="00291E20" w:rsidP="00875EA5">
      <w:pPr>
        <w:pStyle w:val="BCSBulletparagraph"/>
        <w:numPr>
          <w:ilvl w:val="0"/>
          <w:numId w:val="0"/>
        </w:numPr>
        <w:ind w:left="720"/>
      </w:pPr>
    </w:p>
    <w:p w:rsidR="00291E20" w:rsidRDefault="00291E20" w:rsidP="00875EA5">
      <w:pPr>
        <w:pStyle w:val="BCSBulletparagraph"/>
      </w:pPr>
      <w:r>
        <w:t>In terms of accessing assessment tools, the majority of LAs were able to perform this activity in some of their learning locations (56.76%), whilst a further 21.62% indicated that this facility was not available to them at all.  By comparison, 46.07% or VCS/ WEAs were able to access assessment tools in some of their learning locations, whilst a further 32.58% could do this in all of their locations.</w:t>
      </w:r>
    </w:p>
    <w:p w:rsidR="00291E20" w:rsidRDefault="00291E20" w:rsidP="00291E20">
      <w:pPr>
        <w:contextualSpacing/>
      </w:pPr>
    </w:p>
    <w:p w:rsidR="00291E20" w:rsidRDefault="00291E20" w:rsidP="00291E20">
      <w:pPr>
        <w:contextualSpacing/>
      </w:pPr>
    </w:p>
    <w:p w:rsidR="00291E20" w:rsidRDefault="00291E20" w:rsidP="00875EA5">
      <w:pPr>
        <w:pStyle w:val="BCSTableheadings"/>
      </w:pPr>
      <w:bookmarkStart w:id="35" w:name="_Figure_6b:_Proportion"/>
      <w:bookmarkStart w:id="36" w:name="_Toc256332124"/>
      <w:bookmarkEnd w:id="35"/>
      <w:r w:rsidRPr="006C7FC4">
        <w:t>Figure 6</w:t>
      </w:r>
      <w:r>
        <w:t>b</w:t>
      </w:r>
      <w:r w:rsidRPr="006C7FC4">
        <w:t xml:space="preserve">: </w:t>
      </w:r>
      <w:r>
        <w:t>Proportion of VCS/ WEAs</w:t>
      </w:r>
      <w:r w:rsidRPr="006C7FC4">
        <w:t xml:space="preserve"> indicating number of learning sites/ venues within which ACL staff can perform specific online activities</w:t>
      </w:r>
      <w:bookmarkEnd w:id="36"/>
    </w:p>
    <w:p w:rsidR="00291E20" w:rsidRDefault="002102AA" w:rsidP="00291E20">
      <w:pPr>
        <w:ind w:left="-567"/>
      </w:pPr>
      <w:r>
        <w:rPr>
          <w:noProof/>
        </w:rPr>
        <w:drawing>
          <wp:inline distT="0" distB="0" distL="0" distR="0">
            <wp:extent cx="6654800" cy="44151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6654800" cy="4415155"/>
                    </a:xfrm>
                    <a:prstGeom prst="rect">
                      <a:avLst/>
                    </a:prstGeom>
                    <a:noFill/>
                    <a:ln w="9525">
                      <a:noFill/>
                      <a:miter lim="800000"/>
                      <a:headEnd/>
                      <a:tailEnd/>
                    </a:ln>
                  </pic:spPr>
                </pic:pic>
              </a:graphicData>
            </a:graphic>
          </wp:inline>
        </w:drawing>
      </w:r>
    </w:p>
    <w:p w:rsidR="00291E20" w:rsidRDefault="00291E20" w:rsidP="00291E20">
      <w:pPr>
        <w:contextualSpacing/>
      </w:pPr>
    </w:p>
    <w:p w:rsidR="00291E20" w:rsidRDefault="00291E20" w:rsidP="00875EA5">
      <w:pPr>
        <w:pStyle w:val="BCSBulletparagraph"/>
      </w:pPr>
      <w:r>
        <w:t>When describing access to online Information Advice and Guidance (IAG), the majori</w:t>
      </w:r>
      <w:r w:rsidR="0005307A">
        <w:t>ty of LAs (64.86%) could provide</w:t>
      </w:r>
      <w:r>
        <w:t xml:space="preserve"> this in some of their learning locations, whilst a further 10.81% (in each case) could either perform this in all of their locations, or the facility was unavailable to them.  By comparison, 42.70% of VCS/ WEAs could access online IAG in all of their locations, whilst a further 40.45% could do this in some of their locations.</w:t>
      </w:r>
    </w:p>
    <w:p w:rsidR="00291E20" w:rsidRDefault="00291E20" w:rsidP="00875EA5">
      <w:pPr>
        <w:pStyle w:val="BCSBulletparagraph"/>
      </w:pPr>
      <w:r>
        <w:t>Accessing o</w:t>
      </w:r>
      <w:r w:rsidR="0005307A">
        <w:t>nline resources could be provided</w:t>
      </w:r>
      <w:r>
        <w:t xml:space="preserve"> by 63.06% of LAs in some of their learning locations, whilst for a further 15.32% this facility was wholly unavailable.  By comparison, 35.96% VCS/ WEAs could </w:t>
      </w:r>
      <w:r w:rsidR="0005307A">
        <w:t>provide IAG</w:t>
      </w:r>
      <w:r>
        <w:t xml:space="preserve"> in all of their learning locations, whilst a further 34.83% could do so in som</w:t>
      </w:r>
      <w:r w:rsidR="0005307A">
        <w:t>e of their locations, while</w:t>
      </w:r>
      <w:r>
        <w:t xml:space="preserve"> for 21.35% this facility was unavailable.  </w:t>
      </w:r>
    </w:p>
    <w:p w:rsidR="00291E20" w:rsidRDefault="00291E20" w:rsidP="00875EA5">
      <w:pPr>
        <w:pStyle w:val="BCSBulletparagraph"/>
        <w:numPr>
          <w:ilvl w:val="0"/>
          <w:numId w:val="0"/>
        </w:numPr>
        <w:ind w:left="1077"/>
      </w:pPr>
    </w:p>
    <w:p w:rsidR="00291E20" w:rsidRPr="00336D8D" w:rsidRDefault="00291E20" w:rsidP="00875EA5">
      <w:pPr>
        <w:pStyle w:val="BCSBulletparagraph"/>
      </w:pPr>
      <w:r>
        <w:t xml:space="preserve">When describing access to online testing, 75.68% of LAs were able to </w:t>
      </w:r>
      <w:r w:rsidR="0005307A">
        <w:t>offer</w:t>
      </w:r>
      <w:r>
        <w:t xml:space="preserve"> this in some of their locations, with a further 10.81% being able to perform the activity in all of their locations.  By </w:t>
      </w:r>
      <w:r w:rsidRPr="00336D8D">
        <w:t>comparison, 47.19% of VCS/</w:t>
      </w:r>
      <w:r w:rsidR="0005307A">
        <w:t xml:space="preserve"> WEA organisations could offer</w:t>
      </w:r>
      <w:r w:rsidRPr="00336D8D">
        <w:t xml:space="preserve"> this in some of their locations, with a further 28.09% being able to do so in all of their locations.  However, for 14.61% of</w:t>
      </w:r>
      <w:r w:rsidR="0005307A">
        <w:t xml:space="preserve"> organisations, this service was no available</w:t>
      </w:r>
      <w:r w:rsidRPr="00336D8D">
        <w:t>.</w:t>
      </w:r>
    </w:p>
    <w:p w:rsidR="00291E20" w:rsidRPr="00875EA5" w:rsidRDefault="00291E20" w:rsidP="00875EA5">
      <w:pPr>
        <w:pStyle w:val="BCSBulletparagraph"/>
      </w:pPr>
      <w:r w:rsidRPr="00875EA5">
        <w:t>When compared to the 2008/09 survey, there has</w:t>
      </w:r>
      <w:r w:rsidR="0005307A">
        <w:t xml:space="preserve"> been very little </w:t>
      </w:r>
      <w:r w:rsidRPr="00875EA5">
        <w:t>change across the categories.  The single notable change is a decrease in the number of centres where access to IAG is available (22% of LAs in 2008/09 compared to 10.81% in 2009/10), followed by access to learner e-assessment tools (not available to 26% of LAs in 2008/09</w:t>
      </w:r>
      <w:r w:rsidR="0005307A">
        <w:t xml:space="preserve"> compared to 21.62% in 2009/10), although the significant change in the sample size and composition is a factor in the changes noted here and elsewhere.</w:t>
      </w:r>
    </w:p>
    <w:p w:rsidR="00291E20" w:rsidRDefault="00291E20" w:rsidP="00291E20">
      <w:pPr>
        <w:contextualSpacing/>
      </w:pPr>
    </w:p>
    <w:p w:rsidR="00291E20" w:rsidRPr="00C537C3" w:rsidRDefault="00291E20" w:rsidP="00875EA5">
      <w:pPr>
        <w:pStyle w:val="Heading3"/>
      </w:pPr>
      <w:r w:rsidRPr="00C537C3">
        <w:t>Access to technology:</w:t>
      </w:r>
    </w:p>
    <w:p w:rsidR="00291E20" w:rsidRDefault="00291E20" w:rsidP="00875EA5">
      <w:pPr>
        <w:pStyle w:val="BCSParagraph"/>
      </w:pPr>
      <w:r>
        <w:t xml:space="preserve">Respondents were asked to indicate </w:t>
      </w:r>
      <w:r w:rsidR="00BD034A">
        <w:t>the</w:t>
      </w:r>
      <w:r>
        <w:t xml:space="preserve"> level of access to technology </w:t>
      </w:r>
      <w:r w:rsidR="0005307A">
        <w:t xml:space="preserve">provided for the </w:t>
      </w:r>
      <w:r>
        <w:t>majority of their</w:t>
      </w:r>
      <w:r w:rsidRPr="00C537C3">
        <w:t xml:space="preserve"> ACL </w:t>
      </w:r>
      <w:r>
        <w:t>staff, from a set of pre-defin</w:t>
      </w:r>
      <w:r w:rsidR="0005307A">
        <w:t>ed categories</w:t>
      </w:r>
      <w:r>
        <w:t>; (a) meaningful access; at home and at work, (b) continuous access; at work, (c) access at most locations at work, (d) access at main venues, and (e) limited access.</w:t>
      </w:r>
    </w:p>
    <w:p w:rsidR="00291E20" w:rsidRDefault="00291E20" w:rsidP="00875EA5">
      <w:pPr>
        <w:pStyle w:val="BCSParagraph"/>
      </w:pPr>
    </w:p>
    <w:p w:rsidR="00291E20" w:rsidRDefault="00291E20" w:rsidP="00875EA5">
      <w:pPr>
        <w:pStyle w:val="BCSParagraph"/>
      </w:pPr>
      <w:r>
        <w:t>The most cited response amongst LAs was ‘access at main venues’ (34.23%), followed by 21.62% who felt their staff had ‘access at most locations at work’, whilst 18.02% cited ‘continuous access’, and 4.50% stated their staff had ‘limited access’.</w:t>
      </w:r>
    </w:p>
    <w:p w:rsidR="00291E20" w:rsidRDefault="00291E20" w:rsidP="00875EA5">
      <w:pPr>
        <w:pStyle w:val="BCSParagraph"/>
      </w:pPr>
    </w:p>
    <w:p w:rsidR="00291E20" w:rsidRDefault="00291E20" w:rsidP="00875EA5">
      <w:pPr>
        <w:pStyle w:val="BCSParagraph"/>
      </w:pPr>
      <w:r>
        <w:t>By comparison, the largest proportion of VCS/ WEAs felt that their staff had ‘meaningful access</w:t>
      </w:r>
      <w:r w:rsidR="0005307A">
        <w:t xml:space="preserve"> at home and work</w:t>
      </w:r>
      <w:r>
        <w:t>’ (30.34%), whilst a further 30.34% indicated that they had ‘continuous access</w:t>
      </w:r>
      <w:r w:rsidR="0005307A">
        <w:t xml:space="preserve"> at work’;</w:t>
      </w:r>
      <w:r>
        <w:t xml:space="preserve"> with 21.35% indicating that their staff had ‘access at main venues’ and 14.61% stating their staff had access at ‘most places at work’.   Only</w:t>
      </w:r>
      <w:r w:rsidR="0005307A">
        <w:t xml:space="preserve"> 2.25% felt that their staff had</w:t>
      </w:r>
      <w:r>
        <w:t xml:space="preserve"> ‘limited access’ to technology.</w:t>
      </w:r>
    </w:p>
    <w:p w:rsidR="00291E20" w:rsidRDefault="00291E20" w:rsidP="00875EA5">
      <w:pPr>
        <w:pStyle w:val="BCSParagraph"/>
      </w:pPr>
    </w:p>
    <w:p w:rsidR="00291E20" w:rsidRPr="00697D27" w:rsidRDefault="00291E20" w:rsidP="00875EA5">
      <w:pPr>
        <w:pStyle w:val="Heading3"/>
      </w:pPr>
      <w:r w:rsidRPr="00697D27">
        <w:t>Levels of ILT implementation:</w:t>
      </w:r>
    </w:p>
    <w:p w:rsidR="00291E20" w:rsidRDefault="00291E20" w:rsidP="00875EA5">
      <w:pPr>
        <w:pStyle w:val="BCSParagraph"/>
      </w:pPr>
      <w:r>
        <w:t>Organisations were asked to indicate their level of ILT implementation, across a series of 14 pre-defined areas, on the following scale:</w:t>
      </w:r>
    </w:p>
    <w:p w:rsidR="00291E20" w:rsidRDefault="00291E20" w:rsidP="00291E20">
      <w:pPr>
        <w:contextualSpacing/>
      </w:pPr>
    </w:p>
    <w:p w:rsidR="00291E20" w:rsidRDefault="00291E20" w:rsidP="00875EA5">
      <w:pPr>
        <w:pStyle w:val="BCSBulletparagraph"/>
      </w:pPr>
      <w:r w:rsidRPr="006A4F2A">
        <w:rPr>
          <w:b/>
        </w:rPr>
        <w:t>None;</w:t>
      </w:r>
      <w:r>
        <w:t xml:space="preserve"> this does not occur at our organisation  </w:t>
      </w:r>
    </w:p>
    <w:p w:rsidR="00291E20" w:rsidRDefault="00291E20" w:rsidP="00875EA5">
      <w:pPr>
        <w:pStyle w:val="BCSBulletparagraph"/>
      </w:pPr>
      <w:r w:rsidRPr="006A4F2A">
        <w:rPr>
          <w:b/>
        </w:rPr>
        <w:t>Initiating;</w:t>
      </w:r>
      <w:r>
        <w:t xml:space="preserve"> this is at the early stages of being implemented</w:t>
      </w:r>
    </w:p>
    <w:p w:rsidR="00291E20" w:rsidRDefault="00291E20" w:rsidP="00875EA5">
      <w:pPr>
        <w:pStyle w:val="BCSBulletparagraph"/>
      </w:pPr>
      <w:r w:rsidRPr="006A4F2A">
        <w:rPr>
          <w:b/>
        </w:rPr>
        <w:t>Implementing;</w:t>
      </w:r>
      <w:r>
        <w:t xml:space="preserve"> this has been partly implemented and we are still working towards introducing this fully</w:t>
      </w:r>
    </w:p>
    <w:p w:rsidR="00291E20" w:rsidRDefault="00291E20" w:rsidP="00875EA5">
      <w:pPr>
        <w:pStyle w:val="BCSBulletparagraph"/>
      </w:pPr>
      <w:r w:rsidRPr="006A4F2A">
        <w:rPr>
          <w:b/>
        </w:rPr>
        <w:t>Embedding in Practice;</w:t>
      </w:r>
      <w:r>
        <w:t xml:space="preserve"> this has been fully implemented and we are now successfully embedding</w:t>
      </w:r>
    </w:p>
    <w:p w:rsidR="00291E20" w:rsidRDefault="00291E20" w:rsidP="00875EA5">
      <w:pPr>
        <w:pStyle w:val="BCSBulletparagraph"/>
      </w:pPr>
      <w:r w:rsidRPr="006A4F2A">
        <w:rPr>
          <w:b/>
        </w:rPr>
        <w:t>Developing new uses;</w:t>
      </w:r>
      <w:r>
        <w:t xml:space="preserve"> this has been fully implemented, has been highlighted by inspections / external   agencies as an excellent or innovative achievement, and we are developing new ways of implementing</w:t>
      </w:r>
    </w:p>
    <w:p w:rsidR="00291E20" w:rsidRDefault="00291E20" w:rsidP="00291E20">
      <w:pPr>
        <w:contextualSpacing/>
        <w:rPr>
          <w:b/>
        </w:rPr>
      </w:pPr>
    </w:p>
    <w:p w:rsidR="00291E20" w:rsidRPr="00705BAC" w:rsidRDefault="00291E20" w:rsidP="00875EA5">
      <w:pPr>
        <w:pStyle w:val="BCSTableheadings"/>
      </w:pPr>
      <w:bookmarkStart w:id="37" w:name="_Figure_7a:_Local"/>
      <w:bookmarkStart w:id="38" w:name="_Toc256332125"/>
      <w:bookmarkEnd w:id="37"/>
      <w:r w:rsidRPr="00705BAC">
        <w:t>Figure 7a: Local Authorities’ assessment of their level of ILT implementation, by first 7 categories</w:t>
      </w:r>
      <w:bookmarkEnd w:id="38"/>
    </w:p>
    <w:p w:rsidR="00291E20" w:rsidRDefault="002102AA" w:rsidP="00291E20">
      <w:pPr>
        <w:ind w:hanging="567"/>
        <w:contextualSpacing/>
      </w:pPr>
      <w:r>
        <w:rPr>
          <w:noProof/>
        </w:rPr>
        <w:drawing>
          <wp:inline distT="0" distB="0" distL="0" distR="0">
            <wp:extent cx="6769100" cy="44367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6769100" cy="4436745"/>
                    </a:xfrm>
                    <a:prstGeom prst="rect">
                      <a:avLst/>
                    </a:prstGeom>
                    <a:noFill/>
                    <a:ln w="9525">
                      <a:noFill/>
                      <a:miter lim="800000"/>
                      <a:headEnd/>
                      <a:tailEnd/>
                    </a:ln>
                  </pic:spPr>
                </pic:pic>
              </a:graphicData>
            </a:graphic>
          </wp:inline>
        </w:drawing>
      </w:r>
    </w:p>
    <w:p w:rsidR="00291E20" w:rsidRDefault="00291E20" w:rsidP="00291E20">
      <w:pPr>
        <w:ind w:hanging="567"/>
        <w:contextualSpacing/>
      </w:pPr>
    </w:p>
    <w:p w:rsidR="00291E20" w:rsidRPr="00705BAC" w:rsidRDefault="00291E20" w:rsidP="00291E20">
      <w:pPr>
        <w:contextualSpacing/>
      </w:pPr>
    </w:p>
    <w:p w:rsidR="00291E20" w:rsidRDefault="00F9461D" w:rsidP="00875EA5">
      <w:pPr>
        <w:pStyle w:val="BCSTabletextafter"/>
      </w:pPr>
      <w:hyperlink w:anchor="_Figure_7a:_Local" w:history="1">
        <w:r w:rsidR="00291E20" w:rsidRPr="00106E29">
          <w:rPr>
            <w:rStyle w:val="Hyperlink"/>
          </w:rPr>
          <w:t>Figures 7a</w:t>
        </w:r>
      </w:hyperlink>
      <w:r w:rsidR="00291E20">
        <w:t xml:space="preserve">, </w:t>
      </w:r>
      <w:hyperlink w:anchor="_Figure_7b:_Local" w:history="1">
        <w:r w:rsidR="00291E20" w:rsidRPr="00106E29">
          <w:rPr>
            <w:rStyle w:val="Hyperlink"/>
          </w:rPr>
          <w:t>7b</w:t>
        </w:r>
      </w:hyperlink>
      <w:r w:rsidR="00291E20">
        <w:t xml:space="preserve">, </w:t>
      </w:r>
      <w:hyperlink w:anchor="_Figure_8a:_VCS/" w:history="1">
        <w:r w:rsidR="00291E20" w:rsidRPr="00106E29">
          <w:rPr>
            <w:rStyle w:val="Hyperlink"/>
          </w:rPr>
          <w:t>8a</w:t>
        </w:r>
      </w:hyperlink>
      <w:r w:rsidR="00291E20">
        <w:t xml:space="preserve"> and </w:t>
      </w:r>
      <w:hyperlink w:anchor="_Figure_8b:_VCS/" w:history="1">
        <w:r w:rsidR="00291E20" w:rsidRPr="00106E29">
          <w:rPr>
            <w:rStyle w:val="Hyperlink"/>
          </w:rPr>
          <w:t>8b</w:t>
        </w:r>
      </w:hyperlink>
      <w:r w:rsidR="00291E20">
        <w:t xml:space="preserve"> illustrate the proportion of organisations’ perceived </w:t>
      </w:r>
      <w:r w:rsidR="0005307A">
        <w:t>implementation of technology</w:t>
      </w:r>
      <w:r w:rsidR="00291E20">
        <w:t xml:space="preserve"> across </w:t>
      </w:r>
      <w:r w:rsidR="0005307A">
        <w:t xml:space="preserve">the </w:t>
      </w:r>
      <w:r w:rsidR="00291E20">
        <w:t xml:space="preserve">categories.  Graphs 7a (LA) and 8a (VCS/ WEA) illustrate the first seven categories, whilst 7b (LA) and 8b (VCS/ WEA) illustrate the second seven categories.  </w:t>
      </w:r>
    </w:p>
    <w:p w:rsidR="00291E20" w:rsidRDefault="00291E20" w:rsidP="00291E20">
      <w:pPr>
        <w:contextualSpacing/>
      </w:pPr>
    </w:p>
    <w:p w:rsidR="00291E20" w:rsidRDefault="00291E20" w:rsidP="00875EA5">
      <w:pPr>
        <w:pStyle w:val="BCSParagraph"/>
      </w:pPr>
      <w:r>
        <w:t>Overall, the most frequent local authority responses fell within the category ‘implementing’ (29.41%),</w:t>
      </w:r>
      <w:r>
        <w:rPr>
          <w:rStyle w:val="FootnoteReference"/>
        </w:rPr>
        <w:footnoteReference w:id="8"/>
      </w:r>
      <w:r>
        <w:t xml:space="preserve"> followed by 28.83% of responses falling within the category ‘embedding’.   17.76% of all responses fell within the category ‘initiating’, and 16.41% of responses fell within the </w:t>
      </w:r>
      <w:r w:rsidR="00AA43F3">
        <w:t xml:space="preserve">‘none’ </w:t>
      </w:r>
      <w:r>
        <w:t>category</w:t>
      </w:r>
      <w:r w:rsidR="00AA43F3">
        <w:t>.</w:t>
      </w:r>
      <w:r>
        <w:t xml:space="preserve"> Only 4.25% of all possible responses fell within the ‘developing new uses’ category.  </w:t>
      </w:r>
    </w:p>
    <w:p w:rsidR="00291E20" w:rsidRPr="000B0500" w:rsidRDefault="00291E20" w:rsidP="00875EA5">
      <w:pPr>
        <w:pStyle w:val="BCSParagraph"/>
        <w:rPr>
          <w:b/>
        </w:rPr>
      </w:pPr>
      <w:r>
        <w:t>By comparison, the most frequently occurring response amongst VCS/ WEA organisations was ‘embedding’ (30.50%)</w:t>
      </w:r>
      <w:r>
        <w:rPr>
          <w:rStyle w:val="FootnoteReference"/>
          <w:b/>
        </w:rPr>
        <w:footnoteReference w:id="9"/>
      </w:r>
      <w:r>
        <w:t xml:space="preserve"> , followed by ‘implementing’ (26.08%),’initiating’ ( 16.69%), and ‘none’ (16.13%).  Overall, ‘developing new uses’ represented 4.33% of all possible responses and 4.09% of all responses suggested that the given area was ‘not applicable at their organisation’.  </w:t>
      </w:r>
    </w:p>
    <w:p w:rsidR="00291E20" w:rsidRDefault="00291E20" w:rsidP="00875EA5">
      <w:pPr>
        <w:pStyle w:val="BCSParagraph"/>
        <w:rPr>
          <w:b/>
        </w:rPr>
      </w:pPr>
    </w:p>
    <w:p w:rsidR="00291E20" w:rsidRDefault="00291E20" w:rsidP="00291E20">
      <w:pPr>
        <w:contextualSpacing/>
        <w:rPr>
          <w:b/>
        </w:rPr>
      </w:pPr>
    </w:p>
    <w:p w:rsidR="00875EA5" w:rsidRDefault="00875EA5" w:rsidP="00875EA5">
      <w:pPr>
        <w:pStyle w:val="BCSTableheadings"/>
      </w:pPr>
      <w:bookmarkStart w:id="39" w:name="_Figure_7b:_Local"/>
      <w:bookmarkStart w:id="40" w:name="_Toc256332126"/>
      <w:bookmarkEnd w:id="39"/>
    </w:p>
    <w:p w:rsidR="00875EA5" w:rsidRDefault="00875EA5" w:rsidP="00875EA5">
      <w:pPr>
        <w:pStyle w:val="BCSTableheadings"/>
      </w:pPr>
    </w:p>
    <w:p w:rsidR="00875EA5" w:rsidRDefault="00875EA5" w:rsidP="00875EA5">
      <w:pPr>
        <w:pStyle w:val="BCSTableheadings"/>
      </w:pPr>
    </w:p>
    <w:p w:rsidR="00875EA5" w:rsidRDefault="00875EA5" w:rsidP="00875EA5">
      <w:pPr>
        <w:pStyle w:val="BCSTableheadings"/>
      </w:pPr>
    </w:p>
    <w:p w:rsidR="00875EA5" w:rsidRDefault="00875EA5" w:rsidP="00875EA5">
      <w:pPr>
        <w:pStyle w:val="BCSTableheadings"/>
      </w:pPr>
    </w:p>
    <w:p w:rsidR="00875EA5" w:rsidRDefault="00875EA5" w:rsidP="00875EA5">
      <w:pPr>
        <w:pStyle w:val="BCSTableheadings"/>
      </w:pPr>
    </w:p>
    <w:p w:rsidR="00875EA5" w:rsidRDefault="00875EA5" w:rsidP="00875EA5">
      <w:pPr>
        <w:pStyle w:val="BCSTableheadings"/>
      </w:pPr>
    </w:p>
    <w:p w:rsidR="00875EA5" w:rsidRDefault="00875EA5" w:rsidP="00875EA5">
      <w:pPr>
        <w:pStyle w:val="BCSTableheadings"/>
      </w:pPr>
    </w:p>
    <w:p w:rsidR="00875EA5" w:rsidRDefault="00875EA5" w:rsidP="00875EA5">
      <w:pPr>
        <w:pStyle w:val="BCSTableheadings"/>
      </w:pPr>
    </w:p>
    <w:p w:rsidR="00875EA5" w:rsidRDefault="00875EA5" w:rsidP="00875EA5">
      <w:pPr>
        <w:pStyle w:val="BCSTableheadings"/>
      </w:pPr>
    </w:p>
    <w:p w:rsidR="00875EA5" w:rsidRDefault="00875EA5" w:rsidP="00875EA5">
      <w:pPr>
        <w:pStyle w:val="BCSTableheadings"/>
      </w:pPr>
    </w:p>
    <w:p w:rsidR="00875EA5" w:rsidRDefault="00875EA5" w:rsidP="00875EA5">
      <w:pPr>
        <w:pStyle w:val="BCSTableheadings"/>
      </w:pPr>
    </w:p>
    <w:p w:rsidR="00875EA5" w:rsidRDefault="00875EA5" w:rsidP="00875EA5">
      <w:pPr>
        <w:pStyle w:val="BCSTableheadings"/>
      </w:pPr>
    </w:p>
    <w:p w:rsidR="00875EA5" w:rsidRDefault="00875EA5" w:rsidP="00875EA5">
      <w:pPr>
        <w:pStyle w:val="BCSTableheadings"/>
      </w:pPr>
    </w:p>
    <w:p w:rsidR="00875EA5" w:rsidRDefault="00875EA5" w:rsidP="00875EA5">
      <w:pPr>
        <w:pStyle w:val="BCSTableheadings"/>
      </w:pPr>
    </w:p>
    <w:p w:rsidR="00875EA5" w:rsidRDefault="00875EA5" w:rsidP="00875EA5">
      <w:pPr>
        <w:pStyle w:val="BCSTableheadings"/>
      </w:pPr>
    </w:p>
    <w:p w:rsidR="00291E20" w:rsidRPr="00705BAC" w:rsidRDefault="00291E20" w:rsidP="00875EA5">
      <w:pPr>
        <w:pStyle w:val="BCSTableheadings"/>
      </w:pPr>
      <w:r w:rsidRPr="00705BAC">
        <w:t>Figure 7b: Local Authorities’ assessment of their level of ILT implementation, by last 7 categories</w:t>
      </w:r>
      <w:bookmarkEnd w:id="40"/>
    </w:p>
    <w:p w:rsidR="00291E20" w:rsidRDefault="002102AA" w:rsidP="00291E20">
      <w:pPr>
        <w:ind w:hanging="567"/>
        <w:contextualSpacing/>
      </w:pPr>
      <w:r>
        <w:rPr>
          <w:noProof/>
        </w:rPr>
        <w:drawing>
          <wp:inline distT="0" distB="0" distL="0" distR="0">
            <wp:extent cx="6642100" cy="4504055"/>
            <wp:effectExtent l="1905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6642100" cy="4504055"/>
                    </a:xfrm>
                    <a:prstGeom prst="rect">
                      <a:avLst/>
                    </a:prstGeom>
                    <a:noFill/>
                    <a:ln w="9525">
                      <a:noFill/>
                      <a:miter lim="800000"/>
                      <a:headEnd/>
                      <a:tailEnd/>
                    </a:ln>
                  </pic:spPr>
                </pic:pic>
              </a:graphicData>
            </a:graphic>
          </wp:inline>
        </w:drawing>
      </w:r>
    </w:p>
    <w:p w:rsidR="00291E20" w:rsidRDefault="00291E20" w:rsidP="00291E20">
      <w:pPr>
        <w:ind w:hanging="567"/>
        <w:contextualSpacing/>
      </w:pPr>
    </w:p>
    <w:p w:rsidR="00291E20" w:rsidRDefault="00291E20" w:rsidP="00875EA5">
      <w:pPr>
        <w:pStyle w:val="BCSBulletparagraph"/>
      </w:pPr>
      <w:r>
        <w:t xml:space="preserve">In terms of local authorities, the area within which most organisations were ‘embedding’ was staff on-site technical support (70.27%), followed by access to IT equipment (45.95%), and learner on-site technical support (40.54%).  </w:t>
      </w:r>
    </w:p>
    <w:p w:rsidR="00291E20" w:rsidRDefault="00291E20" w:rsidP="00875EA5">
      <w:pPr>
        <w:pStyle w:val="BCSBulletparagraph"/>
      </w:pPr>
      <w:r>
        <w:t>The area within which most LAs were ‘developing new uses’ was their use of their VLE (10.81%), followed by sufficient connectivity for all IT applications and staff on-site technical support (8.11%, respectively).</w:t>
      </w:r>
    </w:p>
    <w:p w:rsidR="00291E20" w:rsidRDefault="00291E20" w:rsidP="00875EA5">
      <w:pPr>
        <w:pStyle w:val="BCSBulletparagraph"/>
      </w:pPr>
      <w:r>
        <w:t>The area within most LAs were at the stage of ‘implementing’ was making</w:t>
      </w:r>
      <w:r w:rsidRPr="00DB1B5E">
        <w:t xml:space="preserve"> teaching spaces appropriately equipp</w:t>
      </w:r>
      <w:r w:rsidR="00AA43F3">
        <w:t xml:space="preserve">ed for full exploitation of technology </w:t>
      </w:r>
      <w:r>
        <w:t>(48.65%), followed by staff access to digital content (45.05%), and ensuring that staff had c</w:t>
      </w:r>
      <w:r w:rsidRPr="00DB1B5E">
        <w:t xml:space="preserve">omputers / laptops with fast internet access </w:t>
      </w:r>
      <w:r>
        <w:t>(44.14%).</w:t>
      </w:r>
    </w:p>
    <w:p w:rsidR="00875EA5" w:rsidRDefault="00875EA5" w:rsidP="00875EA5">
      <w:pPr>
        <w:pStyle w:val="BCSBulletparagraph"/>
        <w:numPr>
          <w:ilvl w:val="0"/>
          <w:numId w:val="0"/>
        </w:numPr>
        <w:ind w:left="1077"/>
      </w:pPr>
    </w:p>
    <w:p w:rsidR="00875EA5" w:rsidRDefault="00875EA5" w:rsidP="00875EA5">
      <w:pPr>
        <w:pStyle w:val="BCSBulletparagraph"/>
        <w:numPr>
          <w:ilvl w:val="0"/>
          <w:numId w:val="0"/>
        </w:numPr>
        <w:ind w:left="1077"/>
      </w:pPr>
    </w:p>
    <w:p w:rsidR="00AA43F3" w:rsidRDefault="00AA43F3" w:rsidP="00875EA5">
      <w:pPr>
        <w:pStyle w:val="BCSBulletparagraph"/>
        <w:numPr>
          <w:ilvl w:val="0"/>
          <w:numId w:val="0"/>
        </w:numPr>
        <w:ind w:left="1077"/>
      </w:pPr>
    </w:p>
    <w:p w:rsidR="00875EA5" w:rsidRDefault="00875EA5" w:rsidP="00875EA5">
      <w:pPr>
        <w:pStyle w:val="BCSBulletparagraph"/>
        <w:numPr>
          <w:ilvl w:val="0"/>
          <w:numId w:val="0"/>
        </w:numPr>
        <w:ind w:left="1077"/>
      </w:pPr>
    </w:p>
    <w:p w:rsidR="00291E20" w:rsidRPr="00705BAC" w:rsidRDefault="00291E20" w:rsidP="00875EA5">
      <w:pPr>
        <w:pStyle w:val="BCSTableheadings"/>
      </w:pPr>
      <w:bookmarkStart w:id="41" w:name="_Figure_8a:_VCS/"/>
      <w:bookmarkStart w:id="42" w:name="_Toc256332127"/>
      <w:bookmarkEnd w:id="41"/>
      <w:r w:rsidRPr="00705BAC">
        <w:t>Figure 8a: VCS/ WEA assessment of their level of ILT implementation, by first 7 categories</w:t>
      </w:r>
      <w:bookmarkEnd w:id="42"/>
    </w:p>
    <w:p w:rsidR="00291E20" w:rsidRDefault="00291E20" w:rsidP="00291E20">
      <w:pPr>
        <w:ind w:hanging="567"/>
        <w:contextualSpacing/>
      </w:pPr>
    </w:p>
    <w:p w:rsidR="00291E20" w:rsidRDefault="002102AA" w:rsidP="00291E20">
      <w:pPr>
        <w:ind w:hanging="567"/>
        <w:contextualSpacing/>
      </w:pPr>
      <w:r>
        <w:rPr>
          <w:noProof/>
        </w:rPr>
        <w:drawing>
          <wp:inline distT="0" distB="0" distL="0" distR="0">
            <wp:extent cx="6629400" cy="44748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6629400" cy="4474845"/>
                    </a:xfrm>
                    <a:prstGeom prst="rect">
                      <a:avLst/>
                    </a:prstGeom>
                    <a:noFill/>
                    <a:ln w="9525">
                      <a:noFill/>
                      <a:miter lim="800000"/>
                      <a:headEnd/>
                      <a:tailEnd/>
                    </a:ln>
                  </pic:spPr>
                </pic:pic>
              </a:graphicData>
            </a:graphic>
          </wp:inline>
        </w:drawing>
      </w:r>
    </w:p>
    <w:p w:rsidR="00291E20" w:rsidRDefault="00291E20" w:rsidP="00291E20">
      <w:pPr>
        <w:ind w:hanging="567"/>
        <w:contextualSpacing/>
      </w:pPr>
    </w:p>
    <w:p w:rsidR="00291E20" w:rsidRDefault="00291E20" w:rsidP="00875EA5">
      <w:pPr>
        <w:pStyle w:val="BCSBulletparagraph"/>
      </w:pPr>
      <w:r>
        <w:t>In terms of VCS/ WEA organisations, the area within which most organisations were ‘embedding’ was  staff on-site technical support (65.17%), followed by ensuring all staff  has access to c</w:t>
      </w:r>
      <w:r w:rsidRPr="00686EBA">
        <w:t>omputers / laptops with fast internet access</w:t>
      </w:r>
      <w:r>
        <w:t xml:space="preserve"> (47.91%), and staff off-site technical support (38.20%).</w:t>
      </w:r>
    </w:p>
    <w:p w:rsidR="00291E20" w:rsidRDefault="00291E20" w:rsidP="00875EA5">
      <w:pPr>
        <w:pStyle w:val="BCSBulletparagraph"/>
      </w:pPr>
      <w:r>
        <w:t>The area within which most VCS/ WEAs were ‘developing new uses’ was ensuring s</w:t>
      </w:r>
      <w:r w:rsidRPr="008E43B7">
        <w:t>ufficient connectivity for all ICT applications</w:t>
      </w:r>
      <w:r>
        <w:t xml:space="preserve"> (10.11%), followed by staff access to digital content (7.87%).</w:t>
      </w:r>
    </w:p>
    <w:p w:rsidR="00291E20" w:rsidRDefault="00291E20" w:rsidP="00875EA5">
      <w:pPr>
        <w:pStyle w:val="BCSBulletparagraph"/>
      </w:pPr>
      <w:r>
        <w:t xml:space="preserve">The area within which most VCS/ WEAs were ‘implementing’ was access to ICT equipment and ensuring </w:t>
      </w:r>
      <w:r w:rsidRPr="00A81CA3">
        <w:t xml:space="preserve">teaching spaces </w:t>
      </w:r>
      <w:r>
        <w:t xml:space="preserve">were </w:t>
      </w:r>
      <w:r w:rsidRPr="00A81CA3">
        <w:t>appropriately equip</w:t>
      </w:r>
      <w:r w:rsidR="00AA43F3">
        <w:t>ped for full exploitation of technology</w:t>
      </w:r>
      <w:r>
        <w:t xml:space="preserve"> (39.33% in each case).</w:t>
      </w:r>
    </w:p>
    <w:p w:rsidR="00875EA5" w:rsidRDefault="00875EA5" w:rsidP="00875EA5">
      <w:pPr>
        <w:pStyle w:val="BCSBulletparagraph"/>
        <w:numPr>
          <w:ilvl w:val="0"/>
          <w:numId w:val="0"/>
        </w:numPr>
        <w:ind w:left="1077" w:hanging="357"/>
      </w:pPr>
    </w:p>
    <w:p w:rsidR="00875EA5" w:rsidRDefault="00875EA5" w:rsidP="00875EA5">
      <w:pPr>
        <w:pStyle w:val="BCSBulletparagraph"/>
        <w:numPr>
          <w:ilvl w:val="0"/>
          <w:numId w:val="0"/>
        </w:numPr>
        <w:ind w:left="1077" w:hanging="357"/>
      </w:pPr>
    </w:p>
    <w:p w:rsidR="00875EA5" w:rsidRDefault="00875EA5" w:rsidP="00875EA5">
      <w:pPr>
        <w:pStyle w:val="BCSBulletparagraph"/>
        <w:numPr>
          <w:ilvl w:val="0"/>
          <w:numId w:val="0"/>
        </w:numPr>
        <w:ind w:left="1077" w:hanging="357"/>
      </w:pPr>
    </w:p>
    <w:p w:rsidR="00291E20" w:rsidRPr="00705BAC" w:rsidRDefault="00291E20" w:rsidP="00875EA5">
      <w:pPr>
        <w:pStyle w:val="BCSTableheadings"/>
      </w:pPr>
      <w:bookmarkStart w:id="43" w:name="_Figure_8b:_VCS/"/>
      <w:bookmarkStart w:id="44" w:name="_Toc256332128"/>
      <w:bookmarkEnd w:id="43"/>
      <w:r w:rsidRPr="00705BAC">
        <w:t>Figure 8b: VCS/ WEA assessment of their level of ILT implementation, by last 7 categories</w:t>
      </w:r>
      <w:bookmarkEnd w:id="44"/>
      <w:r w:rsidRPr="00705BAC">
        <w:t xml:space="preserve"> </w:t>
      </w:r>
    </w:p>
    <w:p w:rsidR="00291E20" w:rsidRDefault="002102AA" w:rsidP="00291E20">
      <w:pPr>
        <w:ind w:hanging="567"/>
        <w:contextualSpacing/>
      </w:pPr>
      <w:r>
        <w:rPr>
          <w:noProof/>
        </w:rPr>
        <w:drawing>
          <wp:inline distT="0" distB="0" distL="0" distR="0">
            <wp:extent cx="6675755" cy="46018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6675755" cy="4601845"/>
                    </a:xfrm>
                    <a:prstGeom prst="rect">
                      <a:avLst/>
                    </a:prstGeom>
                    <a:noFill/>
                    <a:ln w="9525">
                      <a:noFill/>
                      <a:miter lim="800000"/>
                      <a:headEnd/>
                      <a:tailEnd/>
                    </a:ln>
                  </pic:spPr>
                </pic:pic>
              </a:graphicData>
            </a:graphic>
          </wp:inline>
        </w:drawing>
      </w:r>
    </w:p>
    <w:p w:rsidR="00291E20" w:rsidRDefault="00291E20" w:rsidP="00291E20">
      <w:pPr>
        <w:ind w:hanging="567"/>
        <w:contextualSpacing/>
      </w:pPr>
    </w:p>
    <w:p w:rsidR="00291E20" w:rsidRDefault="00291E20" w:rsidP="00290288">
      <w:pPr>
        <w:pStyle w:val="Heading2"/>
        <w:rPr>
          <w:sz w:val="24"/>
          <w:szCs w:val="24"/>
        </w:rPr>
      </w:pPr>
      <w:r w:rsidRPr="00336D8D">
        <w:br w:type="page"/>
      </w:r>
      <w:bookmarkStart w:id="45" w:name="_Toc257276008"/>
      <w:r w:rsidRPr="00290288">
        <w:rPr>
          <w:rFonts w:eastAsia="Calibri"/>
        </w:rPr>
        <w:t>Use of Information and Learning Technology (ILT)</w:t>
      </w:r>
      <w:bookmarkEnd w:id="45"/>
    </w:p>
    <w:p w:rsidR="00291E20" w:rsidRDefault="00291E20" w:rsidP="00290288">
      <w:pPr>
        <w:pStyle w:val="BCSParagraph"/>
      </w:pPr>
      <w:r w:rsidRPr="00522D97">
        <w:t xml:space="preserve">This section of the survey sought to </w:t>
      </w:r>
      <w:r>
        <w:t>identify the types of technology used, by organisations, to support and enhance learning.  Respondents were as</w:t>
      </w:r>
      <w:r w:rsidR="00AA43F3">
        <w:t xml:space="preserve">ked whether their staff used, </w:t>
      </w:r>
      <w:r>
        <w:t>created</w:t>
      </w:r>
      <w:r w:rsidR="00AA43F3">
        <w:t xml:space="preserve"> or both used and created</w:t>
      </w:r>
      <w:r>
        <w:t xml:space="preserve"> (a) standalone and (b) networked learning resources.    </w:t>
      </w:r>
    </w:p>
    <w:p w:rsidR="00291E20" w:rsidRDefault="00291E20" w:rsidP="00290288">
      <w:pPr>
        <w:pStyle w:val="BCSParagraph"/>
      </w:pPr>
    </w:p>
    <w:p w:rsidR="00291E20" w:rsidRDefault="00291E20" w:rsidP="00290288">
      <w:pPr>
        <w:pStyle w:val="BCSParagraph"/>
      </w:pPr>
      <w:r>
        <w:t>In terms of standalone learning resources, the greater proportion of local authorities indicated their staff used this type of resource (41.44%), with a further 40.54% indicating they both used and created.  Of the VCS/ WEAs, 36.04% stated that their staff used standalone learning resources, whilst a further 40.54% b</w:t>
      </w:r>
      <w:r w:rsidR="00AA43F3">
        <w:t xml:space="preserve">oth used and created.  In </w:t>
      </w:r>
      <w:r>
        <w:t xml:space="preserve">4.50% of LAs and 9.01% of VCS/ WEAs </w:t>
      </w:r>
      <w:r w:rsidR="00AA43F3">
        <w:t xml:space="preserve">staff </w:t>
      </w:r>
      <w:r>
        <w:t>neither used nor created such resources.</w:t>
      </w:r>
    </w:p>
    <w:p w:rsidR="00291E20" w:rsidRDefault="00291E20" w:rsidP="00290288">
      <w:pPr>
        <w:pStyle w:val="BCSParagraph"/>
      </w:pPr>
    </w:p>
    <w:p w:rsidR="00291E20" w:rsidRDefault="00291E20" w:rsidP="00290288">
      <w:pPr>
        <w:pStyle w:val="BCSParagraph"/>
      </w:pPr>
      <w:r>
        <w:t>In terms of networked learning resources, 49.44% of LAs indicated that their staff used such resources, whilst a further 28.09% indicated that they both used and created networked resources.   By comparison, 55.06% of VCS/ WEAs used networked learning resources, with a further 23.60% bot</w:t>
      </w:r>
      <w:r w:rsidR="00AA43F3">
        <w:t xml:space="preserve">h using and creating.  </w:t>
      </w:r>
      <w:r>
        <w:t>11.24% of LAs and 12.36% of VCS/ WEAs neither used nor created such resources.</w:t>
      </w:r>
    </w:p>
    <w:p w:rsidR="00291E20" w:rsidRDefault="00291E20" w:rsidP="00290288">
      <w:pPr>
        <w:pStyle w:val="BCSParagraph"/>
      </w:pPr>
    </w:p>
    <w:p w:rsidR="00291E20" w:rsidRPr="00522D97" w:rsidRDefault="00291E20" w:rsidP="00290288">
      <w:pPr>
        <w:pStyle w:val="BCSParagraph"/>
      </w:pPr>
      <w:r>
        <w:t>When compared to the findings of the 2008/09 survey, a considerable increase in ‘both creation and promotion’</w:t>
      </w:r>
      <w:r>
        <w:rPr>
          <w:rStyle w:val="FootnoteReference"/>
        </w:rPr>
        <w:footnoteReference w:id="10"/>
      </w:r>
      <w:r>
        <w:t xml:space="preserve"> of both types of learning resource is evident; in 2008/09, 9% promoted and created standalone learning resources.  In terms of networked learning resources, 14% promoted and created such resources.  </w:t>
      </w:r>
    </w:p>
    <w:p w:rsidR="00291E20" w:rsidRPr="00117B5E" w:rsidRDefault="00291E20" w:rsidP="00290288">
      <w:pPr>
        <w:pStyle w:val="Heading3"/>
        <w:rPr>
          <w:i/>
        </w:rPr>
      </w:pPr>
      <w:r w:rsidRPr="00117B5E">
        <w:br w:type="page"/>
      </w:r>
      <w:bookmarkStart w:id="46" w:name="_Toc257276009"/>
      <w:r w:rsidRPr="00117B5E">
        <w:t>Learning Resources and Staff Skills</w:t>
      </w:r>
      <w:bookmarkEnd w:id="46"/>
    </w:p>
    <w:p w:rsidR="00291E20" w:rsidRDefault="00291E20" w:rsidP="00290288">
      <w:pPr>
        <w:pStyle w:val="BCSParagraph"/>
      </w:pPr>
      <w:r>
        <w:t>The following section of the survey was intended to gain an overview of the learning resources available to, and used by, organizations in addition to the overall level of staff skills.</w:t>
      </w:r>
    </w:p>
    <w:p w:rsidR="00291E20" w:rsidRDefault="00AA43F3" w:rsidP="00290288">
      <w:pPr>
        <w:pStyle w:val="BCSParagraph"/>
      </w:pPr>
      <w:r>
        <w:t xml:space="preserve">In order to assess the </w:t>
      </w:r>
      <w:r w:rsidR="00291E20">
        <w:t xml:space="preserve">skills and knowledge of staff (see </w:t>
      </w:r>
      <w:hyperlink w:anchor="_Figure_9a:_Perception" w:history="1">
        <w:r w:rsidR="00291E20" w:rsidRPr="00331204">
          <w:rPr>
            <w:rStyle w:val="Hyperlink"/>
          </w:rPr>
          <w:t>figures 9a</w:t>
        </w:r>
      </w:hyperlink>
      <w:r w:rsidR="00291E20">
        <w:t xml:space="preserve"> &amp; </w:t>
      </w:r>
      <w:hyperlink w:anchor="_Figure_9b:_Perception" w:history="1">
        <w:r w:rsidR="00291E20" w:rsidRPr="00081E51">
          <w:rPr>
            <w:rStyle w:val="Hyperlink"/>
          </w:rPr>
          <w:t>9b</w:t>
        </w:r>
      </w:hyperlink>
      <w:r w:rsidR="00291E20">
        <w:t>), respondents were asked to indicate their level of ILT implementation, across a series of 9 pre-defined areas, on the following scale:</w:t>
      </w:r>
    </w:p>
    <w:p w:rsidR="00291E20" w:rsidRDefault="00291E20" w:rsidP="00290288">
      <w:pPr>
        <w:pStyle w:val="BCSBulletparagraph"/>
      </w:pPr>
      <w:r w:rsidRPr="000C3EE7">
        <w:rPr>
          <w:b/>
        </w:rPr>
        <w:t>None;</w:t>
      </w:r>
      <w:r>
        <w:t xml:space="preserve"> this does not occur at our organisation</w:t>
      </w:r>
    </w:p>
    <w:p w:rsidR="00291E20" w:rsidRDefault="00291E20" w:rsidP="00290288">
      <w:pPr>
        <w:pStyle w:val="BCSBulletparagraph"/>
      </w:pPr>
      <w:r w:rsidRPr="000C3EE7">
        <w:rPr>
          <w:b/>
        </w:rPr>
        <w:t>Initiating;</w:t>
      </w:r>
      <w:r>
        <w:t xml:space="preserve"> only a small number of staff have the skills and knowledge to do this, but the majority need training and support to do this</w:t>
      </w:r>
    </w:p>
    <w:p w:rsidR="00291E20" w:rsidRDefault="00291E20" w:rsidP="00290288">
      <w:pPr>
        <w:pStyle w:val="BCSBulletparagraph"/>
      </w:pPr>
      <w:r w:rsidRPr="000C3EE7">
        <w:rPr>
          <w:b/>
        </w:rPr>
        <w:t>Implementing;</w:t>
      </w:r>
      <w:r>
        <w:t xml:space="preserve"> a large number of staff are able to do this, but there are a few who still need additional training and support to feel confident in using it.</w:t>
      </w:r>
    </w:p>
    <w:p w:rsidR="00291E20" w:rsidRDefault="00291E20" w:rsidP="00290288">
      <w:pPr>
        <w:pStyle w:val="BCSBulletparagraph"/>
      </w:pPr>
      <w:r w:rsidRPr="000C3EE7">
        <w:rPr>
          <w:b/>
        </w:rPr>
        <w:t>Embedding in Practice;</w:t>
      </w:r>
      <w:r>
        <w:t xml:space="preserve"> all of our staff are able to do this confidently</w:t>
      </w:r>
    </w:p>
    <w:p w:rsidR="00291E20" w:rsidRDefault="00291E20" w:rsidP="00290288">
      <w:pPr>
        <w:pStyle w:val="BCSBulletparagraph"/>
      </w:pPr>
      <w:r w:rsidRPr="000C3EE7">
        <w:rPr>
          <w:b/>
        </w:rPr>
        <w:t>Developing new uses;</w:t>
      </w:r>
      <w:r>
        <w:t xml:space="preserve"> Practice in this area is embedded, our organisation has been highlighted by external agencies/ inspections as excellent in this area, and staff regularly seeks new ways of using technology in support of learning.</w:t>
      </w:r>
    </w:p>
    <w:p w:rsidR="00290288" w:rsidRDefault="00290288" w:rsidP="00290288">
      <w:pPr>
        <w:pStyle w:val="BCSBulletparagraph"/>
        <w:numPr>
          <w:ilvl w:val="0"/>
          <w:numId w:val="0"/>
        </w:numPr>
        <w:ind w:left="1077"/>
      </w:pPr>
    </w:p>
    <w:p w:rsidR="00291E20" w:rsidRDefault="00291E20" w:rsidP="00290288">
      <w:pPr>
        <w:pStyle w:val="BCSParagraph"/>
      </w:pPr>
      <w:r>
        <w:t xml:space="preserve">Overall, the greatest frequency of responses given by LA organizations fell within the category ‘implementing’ (41.84%), </w:t>
      </w:r>
      <w:r>
        <w:rPr>
          <w:rStyle w:val="FootnoteReference"/>
        </w:rPr>
        <w:footnoteReference w:id="11"/>
      </w:r>
      <w:r>
        <w:t xml:space="preserve"> followed by ‘initiating’ (33.73%), and ‘embedding’ (17.72%).  Only 2.40% of all responses fell within the category ‘developing new uses’.  </w:t>
      </w:r>
    </w:p>
    <w:p w:rsidR="00291E20" w:rsidRDefault="00291E20" w:rsidP="00290288">
      <w:pPr>
        <w:pStyle w:val="BCSParagraph"/>
      </w:pPr>
      <w:r>
        <w:t>By comparison, the greater proportion of responses from VCS/ WEA organizations fell within the category ‘embedding’ (30.84%)</w:t>
      </w:r>
      <w:r>
        <w:rPr>
          <w:rStyle w:val="FootnoteReference"/>
        </w:rPr>
        <w:footnoteReference w:id="12"/>
      </w:r>
      <w:r>
        <w:t xml:space="preserve">.  This was followed by ‘initiating’ (28.46%), ‘implementing’ (28.09%) and ‘developing new uses’ (6.12%).  </w:t>
      </w:r>
    </w:p>
    <w:p w:rsidR="00291E20" w:rsidRDefault="00291E20" w:rsidP="00290288">
      <w:pPr>
        <w:pStyle w:val="BCSParagraph"/>
      </w:pPr>
      <w:r>
        <w:t>In terms of the distribution of local authority responses by individual category (</w:t>
      </w:r>
      <w:hyperlink w:anchor="_Figure_9a:_Perception" w:history="1">
        <w:r w:rsidRPr="00383510">
          <w:rPr>
            <w:rStyle w:val="Hyperlink"/>
          </w:rPr>
          <w:t>figure 9a</w:t>
        </w:r>
      </w:hyperlink>
      <w:r>
        <w:t>), the following can be said:</w:t>
      </w:r>
    </w:p>
    <w:p w:rsidR="00291E20" w:rsidRDefault="00291E20" w:rsidP="00290288">
      <w:pPr>
        <w:pStyle w:val="BCSBulletparagraph"/>
      </w:pPr>
      <w:r>
        <w:t xml:space="preserve">The skills area that LA respondents felt did not occur in their organisation were teaching and facilitating online (13.51%), followed by adoption of new and emerging technologies (6.31%),  use of ILT for data collection and analysis (5.41%), and sharing and reusing digital content (4.50%).  </w:t>
      </w:r>
    </w:p>
    <w:p w:rsidR="00291E20" w:rsidRDefault="00291E20" w:rsidP="00290288">
      <w:pPr>
        <w:pStyle w:val="BCSBulletparagraph"/>
      </w:pPr>
      <w:r>
        <w:t xml:space="preserve">Overall, adoption of new technologies, teaching and facilitating online, and sharing and reusing digital content were the areas within which the greater proportion of those indicating lower levels of implementation fell.  63.96% of respondents were at the ‘initiating’ stage of adoption of new and emerging technologies, whilst 50.54% of respondents were at the same stage in terms of teaching and facilitating online.  Overall, 41.44% of LAs were at the ‘initiating’ stage of in terms of sharing the reusing digital content </w:t>
      </w:r>
    </w:p>
    <w:p w:rsidR="00291E20" w:rsidRDefault="00291E20" w:rsidP="00290288">
      <w:pPr>
        <w:pStyle w:val="BCSBulletparagraph"/>
      </w:pPr>
      <w:r>
        <w:t xml:space="preserve">The greatest proportion of respondents who indicated that they were ‘implementing’ fell within the ‘skills in using ICT with learners’ category (61.26%), followed by ‘knowledge about how to harness technology for the management and delivery of learning (56.76%) and skills in general ICT (54.05%).    </w:t>
      </w:r>
    </w:p>
    <w:p w:rsidR="00291E20" w:rsidRDefault="00291E20" w:rsidP="00290288">
      <w:pPr>
        <w:pStyle w:val="BCSBulletparagraph"/>
      </w:pPr>
      <w:r>
        <w:t>The greatest proportion of respondents who indicated that they were at the ‘embedding’ stage fell within the category of ‘skills in general ICT’ (38.74%), followed by using ICT for data collection/ collation and analysis (30.63%), and skills in ICT to develop learning materials (21.62%).</w:t>
      </w:r>
    </w:p>
    <w:p w:rsidR="00291E20" w:rsidRDefault="00291E20" w:rsidP="00290288">
      <w:pPr>
        <w:pStyle w:val="BCSBulletparagraph"/>
      </w:pPr>
      <w:r>
        <w:t>In terms of those who indicated they were ‘developing new uses’ , the majority fell within the category ‘using ICT for data collection/ collation and analysis (7.21%), followed by ‘using ICT to develop learning materials’ and ‘knowledge of online learning resources (3.60% in each case).</w:t>
      </w:r>
    </w:p>
    <w:p w:rsidR="00291E20" w:rsidRDefault="00291E20" w:rsidP="00290288">
      <w:pPr>
        <w:pStyle w:val="BCSBulletparagraph"/>
        <w:numPr>
          <w:ilvl w:val="0"/>
          <w:numId w:val="0"/>
        </w:numPr>
        <w:ind w:left="1077"/>
      </w:pPr>
    </w:p>
    <w:p w:rsidR="00290288" w:rsidRDefault="00290288" w:rsidP="00290288">
      <w:pPr>
        <w:pStyle w:val="BCSTableheadings"/>
      </w:pPr>
      <w:bookmarkStart w:id="47" w:name="_Figure_9a:_Perception"/>
      <w:bookmarkStart w:id="48" w:name="_Toc256332129"/>
      <w:bookmarkEnd w:id="47"/>
    </w:p>
    <w:p w:rsidR="00290288" w:rsidRDefault="00290288" w:rsidP="00290288">
      <w:pPr>
        <w:pStyle w:val="BCSTableheadings"/>
      </w:pPr>
    </w:p>
    <w:p w:rsidR="00290288" w:rsidRDefault="00290288" w:rsidP="00290288">
      <w:pPr>
        <w:pStyle w:val="BCSTableheadings"/>
      </w:pPr>
    </w:p>
    <w:p w:rsidR="00290288" w:rsidRDefault="00290288" w:rsidP="00290288">
      <w:pPr>
        <w:pStyle w:val="BCSTableheadings"/>
      </w:pPr>
    </w:p>
    <w:p w:rsidR="00290288" w:rsidRDefault="00290288" w:rsidP="00290288">
      <w:pPr>
        <w:pStyle w:val="BCSTableheadings"/>
      </w:pPr>
    </w:p>
    <w:p w:rsidR="00290288" w:rsidRDefault="00290288" w:rsidP="00290288">
      <w:pPr>
        <w:pStyle w:val="BCSTableheadings"/>
      </w:pPr>
    </w:p>
    <w:p w:rsidR="00290288" w:rsidRDefault="00290288" w:rsidP="00290288">
      <w:pPr>
        <w:pStyle w:val="BCSTableheadings"/>
      </w:pPr>
    </w:p>
    <w:p w:rsidR="00290288" w:rsidRDefault="00290288" w:rsidP="00290288">
      <w:pPr>
        <w:pStyle w:val="BCSTableheadings"/>
      </w:pPr>
    </w:p>
    <w:p w:rsidR="00290288" w:rsidRDefault="00290288" w:rsidP="00290288">
      <w:pPr>
        <w:pStyle w:val="BCSTableheadings"/>
      </w:pPr>
    </w:p>
    <w:p w:rsidR="00290288" w:rsidRDefault="00290288" w:rsidP="00290288">
      <w:pPr>
        <w:pStyle w:val="BCSTableheadings"/>
      </w:pPr>
    </w:p>
    <w:p w:rsidR="00290288" w:rsidRDefault="00290288" w:rsidP="00290288">
      <w:pPr>
        <w:pStyle w:val="BCSTableheadings"/>
      </w:pPr>
    </w:p>
    <w:p w:rsidR="00290288" w:rsidRDefault="00290288" w:rsidP="00290288">
      <w:pPr>
        <w:pStyle w:val="BCSTableheadings"/>
      </w:pPr>
    </w:p>
    <w:p w:rsidR="00290288" w:rsidRDefault="00290288" w:rsidP="00290288">
      <w:pPr>
        <w:pStyle w:val="BCSTableheadings"/>
      </w:pPr>
    </w:p>
    <w:p w:rsidR="00291E20" w:rsidRPr="001E26A0" w:rsidRDefault="00291E20" w:rsidP="00290288">
      <w:pPr>
        <w:pStyle w:val="BCSTableheadings"/>
      </w:pPr>
      <w:r w:rsidRPr="001E26A0">
        <w:t>Figure 9a: Perception of ILT skills and knowledge of delivery staff within LA organizations</w:t>
      </w:r>
      <w:bookmarkEnd w:id="48"/>
    </w:p>
    <w:p w:rsidR="00291E20" w:rsidRDefault="002102AA" w:rsidP="00291E20">
      <w:pPr>
        <w:ind w:hanging="567"/>
      </w:pPr>
      <w:r>
        <w:rPr>
          <w:noProof/>
        </w:rPr>
        <w:drawing>
          <wp:inline distT="0" distB="0" distL="0" distR="0">
            <wp:extent cx="6832600" cy="4643755"/>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6832600" cy="4643755"/>
                    </a:xfrm>
                    <a:prstGeom prst="rect">
                      <a:avLst/>
                    </a:prstGeom>
                    <a:noFill/>
                    <a:ln w="9525">
                      <a:noFill/>
                      <a:miter lim="800000"/>
                      <a:headEnd/>
                      <a:tailEnd/>
                    </a:ln>
                  </pic:spPr>
                </pic:pic>
              </a:graphicData>
            </a:graphic>
          </wp:inline>
        </w:drawing>
      </w:r>
    </w:p>
    <w:p w:rsidR="00291E20" w:rsidRDefault="00291E20" w:rsidP="00291E20"/>
    <w:p w:rsidR="00291E20" w:rsidRDefault="00F1681C" w:rsidP="00290288">
      <w:pPr>
        <w:pStyle w:val="BCSParagraph"/>
      </w:pPr>
      <w:r>
        <w:t>T</w:t>
      </w:r>
      <w:r w:rsidR="00291E20">
        <w:t>he distribution of VCS/ WEA responses, by individual category (</w:t>
      </w:r>
      <w:hyperlink w:anchor="_Figure_9b:_Perception" w:history="1">
        <w:r w:rsidR="00291E20" w:rsidRPr="00383510">
          <w:rPr>
            <w:rStyle w:val="Hyperlink"/>
          </w:rPr>
          <w:t>figure 9b</w:t>
        </w:r>
      </w:hyperlink>
      <w:r w:rsidR="00291E20">
        <w:t xml:space="preserve">), </w:t>
      </w:r>
      <w:r>
        <w:t>showed the following;</w:t>
      </w:r>
    </w:p>
    <w:p w:rsidR="00291E20" w:rsidRDefault="00F1681C" w:rsidP="00290288">
      <w:pPr>
        <w:pStyle w:val="BCSBulletparagraph"/>
      </w:pPr>
      <w:r>
        <w:t>T</w:t>
      </w:r>
      <w:r w:rsidR="00291E20">
        <w:t>h</w:t>
      </w:r>
      <w:r>
        <w:t>e lowest reported levels of skills (‘initiating’) came</w:t>
      </w:r>
      <w:r w:rsidR="00291E20">
        <w:t xml:space="preserve"> within the categories ‘adoption of new and emerging technologies’ (51.69%), ‘skills in teaching and facilitating online’ (40.45%), and ‘sharing and re-using of digital/ electronic content’ (33.71%).</w:t>
      </w:r>
    </w:p>
    <w:p w:rsidR="00291E20" w:rsidRDefault="00291E20" w:rsidP="00290288">
      <w:pPr>
        <w:pStyle w:val="BCSBulletparagraph"/>
      </w:pPr>
      <w:r>
        <w:t>The skills areas which were most often classed as not occurring wit</w:t>
      </w:r>
      <w:r w:rsidR="00F1681C">
        <w:t>hin respondents’ organisation were</w:t>
      </w:r>
      <w:r>
        <w:t xml:space="preserve"> skills in teaching and facilitating online (12.63%), adoption of new and emerging technologies (6.74%), and ‘using ICT to perform data collection/ collation and analysis’ and ‘sharing and re-suing digital content’ (5.62% in each case).</w:t>
      </w:r>
    </w:p>
    <w:p w:rsidR="00291E20" w:rsidRDefault="00291E20" w:rsidP="00290288">
      <w:pPr>
        <w:pStyle w:val="BCSBulletparagraph"/>
      </w:pPr>
      <w:r>
        <w:t xml:space="preserve">Of those indicating they were at the ‘implementing’ stage of ILT skills, the greater proportion fell with the categories ‘knowledge of online learning resources’ (39.33%), ‘knowledge about how to harness technology for the management and delivery of learning’ (38.20%), and ‘skills in general ICT’ (33.71%).  </w:t>
      </w:r>
    </w:p>
    <w:p w:rsidR="00291E20" w:rsidRDefault="00291E20" w:rsidP="00290288">
      <w:pPr>
        <w:pStyle w:val="BCSBulletparagraph"/>
      </w:pPr>
      <w:r>
        <w:t xml:space="preserve">Of those indicating they were </w:t>
      </w:r>
      <w:r w:rsidR="00F1681C">
        <w:t xml:space="preserve">at the ‘embedding’ stage of technology </w:t>
      </w:r>
      <w:r>
        <w:t>skills, the greater proportion fell with the categories ‘skills in general ICT’ (53.93%), ‘using ICT to perform data collection/ collation and analysis’ (46.07%), and ‘skills in using ICT with learners’ (40.45%).</w:t>
      </w:r>
    </w:p>
    <w:p w:rsidR="00291E20" w:rsidRDefault="00291E20" w:rsidP="00290288">
      <w:pPr>
        <w:pStyle w:val="BCSBulletparagraph"/>
      </w:pPr>
      <w:r>
        <w:t>In terms of ‘developing new uses’, the greater prop</w:t>
      </w:r>
      <w:r w:rsidR="00F1681C">
        <w:t>ortion of respondents reporting</w:t>
      </w:r>
      <w:r>
        <w:t xml:space="preserve"> this level of skills development fell within the categories ‘using ICT to perform data collection/ collation and analysis’ (8.99%), and ‘skills in using ICT with learners’ (7.87%).</w:t>
      </w:r>
    </w:p>
    <w:p w:rsidR="00290288" w:rsidRDefault="00290288" w:rsidP="00290288">
      <w:pPr>
        <w:pStyle w:val="BCSBulletparagraph"/>
        <w:numPr>
          <w:ilvl w:val="0"/>
          <w:numId w:val="0"/>
        </w:numPr>
        <w:ind w:left="1077"/>
      </w:pPr>
    </w:p>
    <w:p w:rsidR="00291E20" w:rsidRDefault="00291E20" w:rsidP="00290288">
      <w:pPr>
        <w:pStyle w:val="BCSParagraph"/>
      </w:pPr>
      <w:r>
        <w:t>When seeking comparison with the 2008/-09 survey it should be noted that, although the descriptors remain broadly the same (</w:t>
      </w:r>
      <w:hyperlink w:anchor="_Table_5:_Comparison" w:history="1">
        <w:r w:rsidRPr="00CC1978">
          <w:rPr>
            <w:rStyle w:val="Hyperlink"/>
          </w:rPr>
          <w:t>table 5</w:t>
        </w:r>
      </w:hyperlink>
      <w:r>
        <w:t>), the implementation/ development level names have altered.  The following table shows a comparison of overall response frequency within the LA cohort, across both survey years.</w:t>
      </w:r>
    </w:p>
    <w:p w:rsidR="00290288" w:rsidRPr="00E42CA3" w:rsidRDefault="00290288" w:rsidP="00290288">
      <w:pPr>
        <w:pStyle w:val="BCSParagraph"/>
        <w:rPr>
          <w:i/>
        </w:rPr>
      </w:pPr>
    </w:p>
    <w:p w:rsidR="00291E20" w:rsidRPr="00E42CA3" w:rsidRDefault="00291E20" w:rsidP="00290288">
      <w:pPr>
        <w:pStyle w:val="BCSTableheadings"/>
        <w:rPr>
          <w:i/>
        </w:rPr>
      </w:pPr>
      <w:bookmarkStart w:id="49" w:name="_Table_5:_Comparison"/>
      <w:bookmarkStart w:id="50" w:name="_Toc256332142"/>
      <w:bookmarkEnd w:id="49"/>
      <w:r>
        <w:t>Table 5</w:t>
      </w:r>
      <w:r w:rsidRPr="00E42CA3">
        <w:t>: Comparison of staff skills development levels (2008/09 and 2009/10)</w:t>
      </w:r>
      <w:bookmarkEnd w:id="5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5"/>
        <w:gridCol w:w="2300"/>
        <w:gridCol w:w="2321"/>
        <w:gridCol w:w="2306"/>
      </w:tblGrid>
      <w:tr w:rsidR="00291E20" w:rsidTr="00291E20">
        <w:tc>
          <w:tcPr>
            <w:tcW w:w="2394" w:type="dxa"/>
            <w:shd w:val="clear" w:color="auto" w:fill="76923C"/>
          </w:tcPr>
          <w:p w:rsidR="00291E20" w:rsidRPr="00751C56" w:rsidRDefault="00291E20" w:rsidP="00290288">
            <w:pPr>
              <w:pStyle w:val="BCSTabletext"/>
            </w:pPr>
            <w:r w:rsidRPr="00751C56">
              <w:t>2008/09 level of development</w:t>
            </w:r>
          </w:p>
        </w:tc>
        <w:tc>
          <w:tcPr>
            <w:tcW w:w="2394" w:type="dxa"/>
            <w:shd w:val="clear" w:color="auto" w:fill="76923C"/>
          </w:tcPr>
          <w:p w:rsidR="00291E20" w:rsidRPr="00751C56" w:rsidRDefault="00291E20" w:rsidP="00290288">
            <w:pPr>
              <w:pStyle w:val="BCSTabletext"/>
            </w:pPr>
            <w:r w:rsidRPr="00751C56">
              <w:t>Percentage of frequency of total responses</w:t>
            </w:r>
          </w:p>
        </w:tc>
        <w:tc>
          <w:tcPr>
            <w:tcW w:w="2394" w:type="dxa"/>
            <w:shd w:val="clear" w:color="auto" w:fill="76923C"/>
          </w:tcPr>
          <w:p w:rsidR="00291E20" w:rsidRPr="00751C56" w:rsidRDefault="00291E20" w:rsidP="00290288">
            <w:pPr>
              <w:pStyle w:val="BCSTabletext"/>
            </w:pPr>
            <w:r w:rsidRPr="00751C56">
              <w:t>2009/10 equivalent level of development</w:t>
            </w:r>
          </w:p>
        </w:tc>
        <w:tc>
          <w:tcPr>
            <w:tcW w:w="2394" w:type="dxa"/>
            <w:shd w:val="clear" w:color="auto" w:fill="76923C"/>
          </w:tcPr>
          <w:p w:rsidR="00291E20" w:rsidRPr="00751C56" w:rsidRDefault="00291E20" w:rsidP="00290288">
            <w:pPr>
              <w:pStyle w:val="BCSTabletext"/>
            </w:pPr>
            <w:r w:rsidRPr="00751C56">
              <w:t>Percentage of frequency of total responses</w:t>
            </w:r>
            <w:r w:rsidRPr="00751C56">
              <w:rPr>
                <w:rStyle w:val="FootnoteReference"/>
                <w:b/>
              </w:rPr>
              <w:footnoteReference w:id="13"/>
            </w:r>
          </w:p>
        </w:tc>
      </w:tr>
      <w:tr w:rsidR="00291E20" w:rsidTr="00291E20">
        <w:tc>
          <w:tcPr>
            <w:tcW w:w="2394" w:type="dxa"/>
            <w:tcBorders>
              <w:bottom w:val="single" w:sz="4" w:space="0" w:color="000000"/>
            </w:tcBorders>
          </w:tcPr>
          <w:p w:rsidR="00291E20" w:rsidRDefault="00291E20" w:rsidP="00290288">
            <w:pPr>
              <w:pStyle w:val="BCSTabletext"/>
            </w:pPr>
            <w:r>
              <w:t xml:space="preserve">Beginning </w:t>
            </w:r>
          </w:p>
        </w:tc>
        <w:tc>
          <w:tcPr>
            <w:tcW w:w="2394" w:type="dxa"/>
            <w:tcBorders>
              <w:bottom w:val="single" w:sz="4" w:space="0" w:color="000000"/>
            </w:tcBorders>
          </w:tcPr>
          <w:p w:rsidR="00291E20" w:rsidRDefault="00291E20" w:rsidP="00290288">
            <w:pPr>
              <w:pStyle w:val="BCSTabletext"/>
            </w:pPr>
            <w:r>
              <w:t>24%</w:t>
            </w:r>
          </w:p>
        </w:tc>
        <w:tc>
          <w:tcPr>
            <w:tcW w:w="2394" w:type="dxa"/>
            <w:tcBorders>
              <w:bottom w:val="single" w:sz="4" w:space="0" w:color="000000"/>
            </w:tcBorders>
          </w:tcPr>
          <w:p w:rsidR="00291E20" w:rsidRDefault="00291E20" w:rsidP="00290288">
            <w:pPr>
              <w:pStyle w:val="BCSTabletext"/>
            </w:pPr>
            <w:r>
              <w:t>Initiating</w:t>
            </w:r>
          </w:p>
        </w:tc>
        <w:tc>
          <w:tcPr>
            <w:tcW w:w="2394" w:type="dxa"/>
            <w:tcBorders>
              <w:bottom w:val="single" w:sz="4" w:space="0" w:color="000000"/>
            </w:tcBorders>
          </w:tcPr>
          <w:p w:rsidR="00291E20" w:rsidRDefault="00291E20" w:rsidP="00290288">
            <w:pPr>
              <w:pStyle w:val="BCSTabletext"/>
            </w:pPr>
            <w:r>
              <w:t>34%</w:t>
            </w:r>
          </w:p>
        </w:tc>
      </w:tr>
      <w:tr w:rsidR="00291E20" w:rsidTr="00291E20">
        <w:tc>
          <w:tcPr>
            <w:tcW w:w="2394" w:type="dxa"/>
            <w:shd w:val="clear" w:color="auto" w:fill="C2D69B"/>
          </w:tcPr>
          <w:p w:rsidR="00291E20" w:rsidRDefault="00291E20" w:rsidP="00290288">
            <w:pPr>
              <w:pStyle w:val="BCSTabletext"/>
            </w:pPr>
            <w:r>
              <w:t>Developing</w:t>
            </w:r>
          </w:p>
        </w:tc>
        <w:tc>
          <w:tcPr>
            <w:tcW w:w="2394" w:type="dxa"/>
            <w:shd w:val="clear" w:color="auto" w:fill="C2D69B"/>
          </w:tcPr>
          <w:p w:rsidR="00291E20" w:rsidRDefault="00291E20" w:rsidP="00290288">
            <w:pPr>
              <w:pStyle w:val="BCSTabletext"/>
            </w:pPr>
            <w:r>
              <w:t>42%</w:t>
            </w:r>
          </w:p>
        </w:tc>
        <w:tc>
          <w:tcPr>
            <w:tcW w:w="2394" w:type="dxa"/>
            <w:shd w:val="clear" w:color="auto" w:fill="C2D69B"/>
          </w:tcPr>
          <w:p w:rsidR="00291E20" w:rsidRDefault="00291E20" w:rsidP="00290288">
            <w:pPr>
              <w:pStyle w:val="BCSTabletext"/>
            </w:pPr>
            <w:r>
              <w:t>Implementing</w:t>
            </w:r>
          </w:p>
        </w:tc>
        <w:tc>
          <w:tcPr>
            <w:tcW w:w="2394" w:type="dxa"/>
            <w:shd w:val="clear" w:color="auto" w:fill="C2D69B"/>
          </w:tcPr>
          <w:p w:rsidR="00291E20" w:rsidRDefault="00291E20" w:rsidP="00290288">
            <w:pPr>
              <w:pStyle w:val="BCSTabletext"/>
            </w:pPr>
            <w:r>
              <w:t>42%</w:t>
            </w:r>
          </w:p>
        </w:tc>
      </w:tr>
      <w:tr w:rsidR="00291E20" w:rsidTr="00291E20">
        <w:tc>
          <w:tcPr>
            <w:tcW w:w="2394" w:type="dxa"/>
            <w:tcBorders>
              <w:bottom w:val="single" w:sz="4" w:space="0" w:color="000000"/>
            </w:tcBorders>
          </w:tcPr>
          <w:p w:rsidR="00291E20" w:rsidRDefault="00291E20" w:rsidP="00290288">
            <w:pPr>
              <w:pStyle w:val="BCSTabletext"/>
            </w:pPr>
            <w:r>
              <w:t>Performing</w:t>
            </w:r>
          </w:p>
        </w:tc>
        <w:tc>
          <w:tcPr>
            <w:tcW w:w="2394" w:type="dxa"/>
            <w:tcBorders>
              <w:bottom w:val="single" w:sz="4" w:space="0" w:color="000000"/>
            </w:tcBorders>
          </w:tcPr>
          <w:p w:rsidR="00291E20" w:rsidRDefault="00291E20" w:rsidP="00290288">
            <w:pPr>
              <w:pStyle w:val="BCSTabletext"/>
            </w:pPr>
            <w:r>
              <w:t>26%</w:t>
            </w:r>
          </w:p>
        </w:tc>
        <w:tc>
          <w:tcPr>
            <w:tcW w:w="2394" w:type="dxa"/>
            <w:tcBorders>
              <w:bottom w:val="single" w:sz="4" w:space="0" w:color="000000"/>
            </w:tcBorders>
          </w:tcPr>
          <w:p w:rsidR="00291E20" w:rsidRDefault="00291E20" w:rsidP="00290288">
            <w:pPr>
              <w:pStyle w:val="BCSTabletext"/>
            </w:pPr>
            <w:r>
              <w:t>Embedding</w:t>
            </w:r>
          </w:p>
        </w:tc>
        <w:tc>
          <w:tcPr>
            <w:tcW w:w="2394" w:type="dxa"/>
            <w:tcBorders>
              <w:bottom w:val="single" w:sz="4" w:space="0" w:color="000000"/>
            </w:tcBorders>
          </w:tcPr>
          <w:p w:rsidR="00291E20" w:rsidRDefault="00291E20" w:rsidP="00290288">
            <w:pPr>
              <w:pStyle w:val="BCSTabletext"/>
            </w:pPr>
            <w:r>
              <w:t>18%</w:t>
            </w:r>
          </w:p>
        </w:tc>
      </w:tr>
      <w:tr w:rsidR="00291E20" w:rsidTr="00291E20">
        <w:tc>
          <w:tcPr>
            <w:tcW w:w="2394" w:type="dxa"/>
            <w:shd w:val="clear" w:color="auto" w:fill="C2D69B"/>
          </w:tcPr>
          <w:p w:rsidR="00291E20" w:rsidRDefault="00291E20" w:rsidP="00290288">
            <w:pPr>
              <w:pStyle w:val="BCSTabletext"/>
            </w:pPr>
            <w:r>
              <w:t>Pioneering</w:t>
            </w:r>
          </w:p>
        </w:tc>
        <w:tc>
          <w:tcPr>
            <w:tcW w:w="2394" w:type="dxa"/>
            <w:shd w:val="clear" w:color="auto" w:fill="C2D69B"/>
          </w:tcPr>
          <w:p w:rsidR="00291E20" w:rsidRDefault="00291E20" w:rsidP="00290288">
            <w:pPr>
              <w:pStyle w:val="BCSTabletext"/>
            </w:pPr>
            <w:r>
              <w:t>5%</w:t>
            </w:r>
          </w:p>
        </w:tc>
        <w:tc>
          <w:tcPr>
            <w:tcW w:w="2394" w:type="dxa"/>
            <w:shd w:val="clear" w:color="auto" w:fill="C2D69B"/>
          </w:tcPr>
          <w:p w:rsidR="00291E20" w:rsidRDefault="00291E20" w:rsidP="00290288">
            <w:pPr>
              <w:pStyle w:val="BCSTabletext"/>
            </w:pPr>
            <w:r>
              <w:t>Developing new uses</w:t>
            </w:r>
          </w:p>
        </w:tc>
        <w:tc>
          <w:tcPr>
            <w:tcW w:w="2394" w:type="dxa"/>
            <w:shd w:val="clear" w:color="auto" w:fill="C2D69B"/>
          </w:tcPr>
          <w:p w:rsidR="00291E20" w:rsidRDefault="00291E20" w:rsidP="00290288">
            <w:pPr>
              <w:pStyle w:val="BCSTabletext"/>
            </w:pPr>
            <w:r>
              <w:t>2%</w:t>
            </w:r>
          </w:p>
        </w:tc>
      </w:tr>
    </w:tbl>
    <w:p w:rsidR="00291E20" w:rsidRDefault="00291E20" w:rsidP="00291E20"/>
    <w:p w:rsidR="00291E20" w:rsidRDefault="00291E20" w:rsidP="00290288">
      <w:pPr>
        <w:pStyle w:val="BCSParagraph"/>
      </w:pPr>
      <w:r>
        <w:t>This shows a static figure at the level of implementing/ developing, where the majority of staff have the skills in question.  However, a greater proportion of respondents appear to be at the very early stage (increased from a quarter to a third) and fewer are seen at the two higher skill levels.</w:t>
      </w:r>
    </w:p>
    <w:p w:rsidR="00290288" w:rsidRDefault="00290288" w:rsidP="00290288">
      <w:pPr>
        <w:pStyle w:val="BCSTableheadings"/>
      </w:pPr>
      <w:bookmarkStart w:id="51" w:name="_Toc256332130"/>
    </w:p>
    <w:p w:rsidR="00290288" w:rsidRDefault="00290288" w:rsidP="00290288">
      <w:pPr>
        <w:pStyle w:val="BCSTableheadings"/>
      </w:pPr>
    </w:p>
    <w:p w:rsidR="00291E20" w:rsidRPr="007F2133" w:rsidRDefault="00291E20" w:rsidP="00290288">
      <w:pPr>
        <w:pStyle w:val="BCSTableheadings"/>
      </w:pPr>
      <w:r w:rsidRPr="007F2133">
        <w:t>Figure 9b: Perception of ILT skills and knowledge of delivery staff within VCS/ WEA organizations</w:t>
      </w:r>
      <w:bookmarkEnd w:id="51"/>
    </w:p>
    <w:p w:rsidR="00291E20" w:rsidRDefault="002102AA" w:rsidP="00291E20">
      <w:pPr>
        <w:ind w:hanging="567"/>
      </w:pPr>
      <w:r>
        <w:rPr>
          <w:noProof/>
        </w:rPr>
        <w:drawing>
          <wp:inline distT="0" distB="0" distL="0" distR="0">
            <wp:extent cx="6739255" cy="455930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6739255" cy="4559300"/>
                    </a:xfrm>
                    <a:prstGeom prst="rect">
                      <a:avLst/>
                    </a:prstGeom>
                    <a:noFill/>
                    <a:ln w="9525">
                      <a:noFill/>
                      <a:miter lim="800000"/>
                      <a:headEnd/>
                      <a:tailEnd/>
                    </a:ln>
                  </pic:spPr>
                </pic:pic>
              </a:graphicData>
            </a:graphic>
          </wp:inline>
        </w:drawing>
      </w:r>
    </w:p>
    <w:p w:rsidR="00291E20" w:rsidRDefault="00291E20" w:rsidP="00291E20"/>
    <w:p w:rsidR="00290288" w:rsidRDefault="00290288" w:rsidP="00291E20"/>
    <w:p w:rsidR="00291E20" w:rsidRDefault="00291E20" w:rsidP="00290288">
      <w:pPr>
        <w:pStyle w:val="BCSParagraph"/>
      </w:pPr>
      <w:r>
        <w:t>When asked to generalize upon whether they perceived their ACL staff had the skills needed to delive</w:t>
      </w:r>
      <w:r w:rsidR="00F1681C">
        <w:t>r and support learning using technology</w:t>
      </w:r>
      <w:r>
        <w:t xml:space="preserve"> (</w:t>
      </w:r>
      <w:hyperlink w:anchor="_Figure_10:_Perceptions" w:history="1">
        <w:r w:rsidRPr="00376E5C">
          <w:rPr>
            <w:rStyle w:val="Hyperlink"/>
          </w:rPr>
          <w:t>figure 10</w:t>
        </w:r>
      </w:hyperlink>
      <w:r>
        <w:t>), the greater proportion of LAs stated they felt that half of their staff had the requisite skills (41.44%), followed by 39.64% who felt that this was true of three quarters of their staff.  Only 17.12% of organizations felt that one quarter of their staff had the requisite skills and only 1.80% felt that this was true of all of their staff.</w:t>
      </w:r>
    </w:p>
    <w:p w:rsidR="00291E20" w:rsidRDefault="00291E20" w:rsidP="00290288">
      <w:pPr>
        <w:pStyle w:val="BCSParagraph"/>
      </w:pPr>
      <w:r>
        <w:t>In ter</w:t>
      </w:r>
      <w:r w:rsidR="00F1681C">
        <w:t>ms of VCS/ WEAs, the responses</w:t>
      </w:r>
      <w:r>
        <w:t xml:space="preserve"> were more evenly distributed, suggesting a more uneven skills-base within the sector.  30.34% of organisations felt that three quarters of their staff had the skills needed to deliver and support learnin</w:t>
      </w:r>
      <w:r w:rsidR="00F1681C">
        <w:t>g using ILT (30.34%), whilst 24.</w:t>
      </w:r>
      <w:r>
        <w:t>72% felt that this was true of all of their staff.  23.60% indicated that they felt half of their staff had the requisite skills and 17.98% felt that this was true of one quarter of their staff.  1.12% stated that none of their staff had the requisite skills.</w:t>
      </w:r>
    </w:p>
    <w:p w:rsidR="00291E20" w:rsidRDefault="00291E20" w:rsidP="00290288">
      <w:pPr>
        <w:pStyle w:val="BCSParagraph"/>
      </w:pPr>
    </w:p>
    <w:p w:rsidR="00291E20" w:rsidRPr="003A46DD" w:rsidRDefault="00291E20" w:rsidP="00290288">
      <w:pPr>
        <w:pStyle w:val="BCSTableheadings"/>
      </w:pPr>
      <w:bookmarkStart w:id="52" w:name="_Figure_10:_Perceptions"/>
      <w:bookmarkStart w:id="53" w:name="_Toc256332131"/>
      <w:bookmarkEnd w:id="52"/>
      <w:r w:rsidRPr="003A46DD">
        <w:t>Figure 10: Perceptions of the ILT skills of organizations’ delivery staff</w:t>
      </w:r>
      <w:bookmarkEnd w:id="53"/>
      <w:r w:rsidRPr="003A46DD">
        <w:t xml:space="preserve">  </w:t>
      </w:r>
    </w:p>
    <w:p w:rsidR="00291E20" w:rsidRDefault="002102AA" w:rsidP="00291E20">
      <w:pPr>
        <w:ind w:left="-567"/>
      </w:pPr>
      <w:r>
        <w:rPr>
          <w:noProof/>
        </w:rPr>
        <w:drawing>
          <wp:inline distT="0" distB="0" distL="0" distR="0">
            <wp:extent cx="6599555" cy="4699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srcRect/>
                    <a:stretch>
                      <a:fillRect/>
                    </a:stretch>
                  </pic:blipFill>
                  <pic:spPr bwMode="auto">
                    <a:xfrm>
                      <a:off x="0" y="0"/>
                      <a:ext cx="6599555" cy="4699000"/>
                    </a:xfrm>
                    <a:prstGeom prst="rect">
                      <a:avLst/>
                    </a:prstGeom>
                    <a:noFill/>
                    <a:ln w="9525">
                      <a:noFill/>
                      <a:miter lim="800000"/>
                      <a:headEnd/>
                      <a:tailEnd/>
                    </a:ln>
                  </pic:spPr>
                </pic:pic>
              </a:graphicData>
            </a:graphic>
          </wp:inline>
        </w:drawing>
      </w:r>
    </w:p>
    <w:p w:rsidR="00290288" w:rsidRDefault="00290288" w:rsidP="00291E20">
      <w:pPr>
        <w:ind w:left="-567"/>
      </w:pPr>
    </w:p>
    <w:p w:rsidR="00290288" w:rsidRDefault="00290288" w:rsidP="00291E20"/>
    <w:p w:rsidR="00291E20" w:rsidRPr="00AB70D9" w:rsidRDefault="00F1681C" w:rsidP="00290288">
      <w:pPr>
        <w:pStyle w:val="Heading3"/>
        <w:rPr>
          <w:u w:val="single"/>
        </w:rPr>
      </w:pPr>
      <w:r>
        <w:t>Training available to teaching</w:t>
      </w:r>
      <w:r w:rsidR="00291E20" w:rsidRPr="00290288">
        <w:t xml:space="preserve"> and support staff</w:t>
      </w:r>
      <w:r w:rsidR="00291E20" w:rsidRPr="00AB70D9">
        <w:rPr>
          <w:u w:val="single"/>
        </w:rPr>
        <w:t>:</w:t>
      </w:r>
    </w:p>
    <w:p w:rsidR="00291E20" w:rsidRDefault="00291E20" w:rsidP="00290288">
      <w:pPr>
        <w:pStyle w:val="BCSParagraph"/>
      </w:pPr>
      <w:r>
        <w:t>In order to assess the sectoral level and range of training available to ACL staff, respondents were asked to indicate as many types of training as they made available, by staff type (teaching staff and learning support staff).   In terms of teaching staff, the following can be said:</w:t>
      </w:r>
    </w:p>
    <w:p w:rsidR="00291E20" w:rsidRDefault="00291E20" w:rsidP="00290288">
      <w:pPr>
        <w:pStyle w:val="BCSBulletparagraph"/>
      </w:pPr>
      <w:r>
        <w:t>Amongst local authorities, the greatest number (9 out of 10 in each case) indicated that they provided training for tutors in the following areas; General ICT skills (98.20%), Use ICT to access resources (92.79%), developing paper-based materials (90.99), using ICT face-to-face with learners (90/99%), and using NIACE and e-guides (90.09%)</w:t>
      </w:r>
    </w:p>
    <w:p w:rsidR="00291E20" w:rsidRDefault="00291E20" w:rsidP="00290288">
      <w:pPr>
        <w:pStyle w:val="BCSBulletparagraph"/>
      </w:pPr>
      <w:r>
        <w:t>85.59% of local authorities offered training in the use of specialist software packages (85.59%), developing electronic materials (78.38%), and managing learning and workload (62.16%).  Teaching and facilitating online training was offered the least number of organisations (39.64%).</w:t>
      </w:r>
    </w:p>
    <w:p w:rsidR="00291E20" w:rsidRDefault="00291E20" w:rsidP="00290288">
      <w:pPr>
        <w:pStyle w:val="BCSBulletparagraph"/>
      </w:pPr>
      <w:r>
        <w:t>Amongst VCS/ WEA organisations, the greatest number offered teaching staff training in general ICT skills (88.76%), specialist software packages (80.90%), developing paper-based materials (79.78%), and use of ICT to access resources (78.65%).</w:t>
      </w:r>
    </w:p>
    <w:p w:rsidR="00291E20" w:rsidRDefault="00291E20" w:rsidP="00290288">
      <w:pPr>
        <w:pStyle w:val="BCSBulletparagraph"/>
      </w:pPr>
      <w:r>
        <w:t>70.79% of VCS/ WEAs made use of NIACE and e-guides, whilst 69.66% offered training in the use of ICT face-to-face with learners.  Training in managing learning and workload was offered by 67.42%, training in the development of electronic materials was offered by 62.92% and teaching and facilitating online was offered by 48.31% of organisations.</w:t>
      </w:r>
    </w:p>
    <w:p w:rsidR="00290288" w:rsidRDefault="00290288" w:rsidP="00290288">
      <w:pPr>
        <w:pStyle w:val="BCSBulletparagraph"/>
        <w:numPr>
          <w:ilvl w:val="0"/>
          <w:numId w:val="0"/>
        </w:numPr>
        <w:ind w:left="1077"/>
      </w:pPr>
    </w:p>
    <w:p w:rsidR="00291E20" w:rsidRDefault="00291E20" w:rsidP="00290288">
      <w:pPr>
        <w:pStyle w:val="BCSParagraph"/>
      </w:pPr>
      <w:r>
        <w:t>By comparison, considerably lower levels of training were made available to learning support staff.  Overall, the following can be said:</w:t>
      </w:r>
    </w:p>
    <w:p w:rsidR="00291E20" w:rsidRDefault="00291E20" w:rsidP="00290288">
      <w:pPr>
        <w:pStyle w:val="BCSBulletparagraph"/>
      </w:pPr>
      <w:r>
        <w:t>The three most offered types of training, amongst local authorities were; general ICT skills (76.58%), specialist software packages (58.56%), and developing paper-based materials (54.95%)</w:t>
      </w:r>
    </w:p>
    <w:p w:rsidR="00291E20" w:rsidRDefault="00291E20" w:rsidP="00290288">
      <w:pPr>
        <w:pStyle w:val="BCSBulletparagraph"/>
      </w:pPr>
      <w:r>
        <w:t>Use ICT face-to-face with learners (45.05%), use ICT to access resources (43.24%), and developing electronic materials (36.04%) were offered within fewer organisations.</w:t>
      </w:r>
    </w:p>
    <w:p w:rsidR="00291E20" w:rsidRDefault="00291E20" w:rsidP="00290288">
      <w:pPr>
        <w:pStyle w:val="BCSBulletparagraph"/>
      </w:pPr>
      <w:r>
        <w:t>The least cited training available to learning support staff within LAs was; training to manage learning and workload (35.14%), use of NIACE and e-guides (35.14%), and teaching and facilitating online (16.22%).</w:t>
      </w:r>
    </w:p>
    <w:p w:rsidR="00291E20" w:rsidRDefault="00291E20" w:rsidP="00290288">
      <w:pPr>
        <w:pStyle w:val="BCSBulletparagraph"/>
      </w:pPr>
      <w:r>
        <w:t>The three most offered types of training, amongst VCS/ WEAs were training in; general ICT skills (74.16%), specialist software packages (56.18%), and using ICT to access resources (52.81%)</w:t>
      </w:r>
    </w:p>
    <w:p w:rsidR="00291E20" w:rsidRDefault="00291E20" w:rsidP="00290288">
      <w:pPr>
        <w:pStyle w:val="BCSBulletparagraph"/>
      </w:pPr>
      <w:r>
        <w:t>Training in the development of paper-based materials (47.19%), using ICT face-to-face with learners (47.19%), and managing learning and workload (43.82%) were offered within fewer organisations.</w:t>
      </w:r>
    </w:p>
    <w:p w:rsidR="00291E20" w:rsidRDefault="00291E20" w:rsidP="00290288">
      <w:pPr>
        <w:pStyle w:val="BCSBulletparagraph"/>
      </w:pPr>
      <w:r>
        <w:t>The least cited training available to learning support staff within VCS/ WEA organisations was; the use of NIACE and e-guides (34.83%), training in the development of electronic materials (25.84%), and teaching and facilitating online (23.60%).</w:t>
      </w:r>
    </w:p>
    <w:p w:rsidR="00290288" w:rsidRDefault="00290288" w:rsidP="00290288">
      <w:pPr>
        <w:pStyle w:val="BCSBulletparagraph"/>
        <w:numPr>
          <w:ilvl w:val="0"/>
          <w:numId w:val="0"/>
        </w:numPr>
        <w:ind w:left="1077"/>
      </w:pPr>
    </w:p>
    <w:p w:rsidR="00291E20" w:rsidRDefault="00291E20" w:rsidP="00290288">
      <w:pPr>
        <w:pStyle w:val="BCSParagraph"/>
      </w:pPr>
      <w:r>
        <w:t>When compared to the findin</w:t>
      </w:r>
      <w:r w:rsidR="00F1681C">
        <w:t xml:space="preserve">gs of 2008/09, </w:t>
      </w:r>
      <w:r>
        <w:t xml:space="preserve">increases </w:t>
      </w:r>
      <w:r w:rsidR="00F1681C">
        <w:t xml:space="preserve">are found </w:t>
      </w:r>
      <w:r>
        <w:t>in the following areas (teacher skills); general ICT skills (7 percentage points), specialist software packages (1</w:t>
      </w:r>
      <w:r w:rsidRPr="00AF5883">
        <w:t xml:space="preserve"> </w:t>
      </w:r>
      <w:r>
        <w:t>percentage point), developing paper-based materials (11 percentage points), use ICT face-to-face with learners (19 percentage points), using ICT to access resources (16 percentage points), and use of NIACE and e-guides (13 percentage points).  Decreases were seen in the area of managing learning and workload (5 percentage points), development of electronic materials (7 percentage points), and teaching a facilitating online (2 percentage points).</w:t>
      </w:r>
    </w:p>
    <w:p w:rsidR="00291E20" w:rsidRDefault="00291E20" w:rsidP="00290288">
      <w:pPr>
        <w:pStyle w:val="BCSParagraph"/>
      </w:pPr>
      <w:r>
        <w:t xml:space="preserve">By comparison, the number of organisations offering training to learning support staff saw an increase across all categories with the exception of developing paper-based materials, which saw a decrease of 2 percentage points.   </w:t>
      </w:r>
    </w:p>
    <w:p w:rsidR="00291E20" w:rsidRPr="00E42CA3" w:rsidRDefault="00291E20" w:rsidP="00290288">
      <w:pPr>
        <w:pStyle w:val="BCSTableheadings"/>
        <w:rPr>
          <w:i/>
        </w:rPr>
      </w:pPr>
      <w:bookmarkStart w:id="54" w:name="_Toc256332143"/>
      <w:r>
        <w:t>Table 6</w:t>
      </w:r>
      <w:r w:rsidRPr="00E42CA3">
        <w:t>: Increase of local authorities offering training to learning support staff since 2008/09</w:t>
      </w:r>
      <w:bookmarkEnd w:id="54"/>
    </w:p>
    <w:tbl>
      <w:tblPr>
        <w:tblW w:w="948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93"/>
        <w:gridCol w:w="4790"/>
      </w:tblGrid>
      <w:tr w:rsidR="00291E20" w:rsidRPr="00F9141E" w:rsidTr="00291E20">
        <w:trPr>
          <w:trHeight w:val="285"/>
        </w:trPr>
        <w:tc>
          <w:tcPr>
            <w:tcW w:w="4693" w:type="dxa"/>
            <w:shd w:val="clear" w:color="auto" w:fill="76923C"/>
            <w:noWrap/>
            <w:vAlign w:val="bottom"/>
            <w:hideMark/>
          </w:tcPr>
          <w:p w:rsidR="00291E20" w:rsidRPr="00F9141E" w:rsidRDefault="00291E20" w:rsidP="00290288">
            <w:pPr>
              <w:pStyle w:val="BCSTabletext"/>
              <w:rPr>
                <w:lang w:eastAsia="zh-CN"/>
              </w:rPr>
            </w:pPr>
            <w:r w:rsidRPr="00F9141E">
              <w:rPr>
                <w:lang w:eastAsia="zh-CN"/>
              </w:rPr>
              <w:t>Learning support staff skills</w:t>
            </w:r>
          </w:p>
        </w:tc>
        <w:tc>
          <w:tcPr>
            <w:tcW w:w="4790" w:type="dxa"/>
            <w:shd w:val="clear" w:color="auto" w:fill="76923C"/>
          </w:tcPr>
          <w:p w:rsidR="00291E20" w:rsidRPr="00F9141E" w:rsidRDefault="00291E20" w:rsidP="00290288">
            <w:pPr>
              <w:pStyle w:val="BCSTabletext"/>
              <w:rPr>
                <w:lang w:eastAsia="zh-CN"/>
              </w:rPr>
            </w:pPr>
            <w:r w:rsidRPr="00F9141E">
              <w:rPr>
                <w:lang w:eastAsia="zh-CN"/>
              </w:rPr>
              <w:t>Percentage point increase</w:t>
            </w:r>
            <w:r>
              <w:rPr>
                <w:lang w:eastAsia="zh-CN"/>
              </w:rPr>
              <w:t xml:space="preserve"> since 2008/09</w:t>
            </w:r>
          </w:p>
        </w:tc>
      </w:tr>
      <w:tr w:rsidR="00291E20" w:rsidRPr="00F9141E" w:rsidTr="00291E20">
        <w:trPr>
          <w:trHeight w:val="285"/>
        </w:trPr>
        <w:tc>
          <w:tcPr>
            <w:tcW w:w="4693" w:type="dxa"/>
            <w:tcBorders>
              <w:bottom w:val="single" w:sz="4" w:space="0" w:color="000000"/>
            </w:tcBorders>
            <w:shd w:val="clear" w:color="auto" w:fill="auto"/>
            <w:noWrap/>
            <w:vAlign w:val="bottom"/>
            <w:hideMark/>
          </w:tcPr>
          <w:p w:rsidR="00291E20" w:rsidRPr="00A95E8B" w:rsidRDefault="00291E20" w:rsidP="00290288">
            <w:pPr>
              <w:pStyle w:val="BCSTabletext"/>
              <w:rPr>
                <w:lang w:eastAsia="zh-CN"/>
              </w:rPr>
            </w:pPr>
            <w:r w:rsidRPr="00A95E8B">
              <w:rPr>
                <w:lang w:eastAsia="zh-CN"/>
              </w:rPr>
              <w:t>General ICT skills</w:t>
            </w:r>
          </w:p>
        </w:tc>
        <w:tc>
          <w:tcPr>
            <w:tcW w:w="4790" w:type="dxa"/>
            <w:tcBorders>
              <w:bottom w:val="single" w:sz="4" w:space="0" w:color="000000"/>
            </w:tcBorders>
          </w:tcPr>
          <w:p w:rsidR="00291E20" w:rsidRPr="00F9141E" w:rsidRDefault="00291E20" w:rsidP="00290288">
            <w:pPr>
              <w:pStyle w:val="BCSTabletext"/>
              <w:rPr>
                <w:lang w:eastAsia="zh-CN"/>
              </w:rPr>
            </w:pPr>
            <w:r>
              <w:rPr>
                <w:lang w:eastAsia="zh-CN"/>
              </w:rPr>
              <w:t>8</w:t>
            </w:r>
          </w:p>
        </w:tc>
      </w:tr>
      <w:tr w:rsidR="00291E20" w:rsidRPr="00F9141E" w:rsidTr="00291E20">
        <w:trPr>
          <w:trHeight w:val="285"/>
        </w:trPr>
        <w:tc>
          <w:tcPr>
            <w:tcW w:w="4693" w:type="dxa"/>
            <w:shd w:val="clear" w:color="auto" w:fill="C2D69B"/>
            <w:noWrap/>
            <w:vAlign w:val="bottom"/>
            <w:hideMark/>
          </w:tcPr>
          <w:p w:rsidR="00291E20" w:rsidRPr="00A95E8B" w:rsidRDefault="00291E20" w:rsidP="00290288">
            <w:pPr>
              <w:pStyle w:val="BCSTabletext"/>
              <w:rPr>
                <w:lang w:eastAsia="zh-CN"/>
              </w:rPr>
            </w:pPr>
            <w:r w:rsidRPr="00A95E8B">
              <w:rPr>
                <w:lang w:eastAsia="zh-CN"/>
              </w:rPr>
              <w:t>Specialist software packages</w:t>
            </w:r>
          </w:p>
        </w:tc>
        <w:tc>
          <w:tcPr>
            <w:tcW w:w="4790" w:type="dxa"/>
            <w:shd w:val="clear" w:color="auto" w:fill="C2D69B"/>
          </w:tcPr>
          <w:p w:rsidR="00291E20" w:rsidRPr="00F9141E" w:rsidRDefault="00291E20" w:rsidP="00290288">
            <w:pPr>
              <w:pStyle w:val="BCSTabletext"/>
              <w:rPr>
                <w:lang w:eastAsia="zh-CN"/>
              </w:rPr>
            </w:pPr>
            <w:r>
              <w:rPr>
                <w:lang w:eastAsia="zh-CN"/>
              </w:rPr>
              <w:t>18</w:t>
            </w:r>
          </w:p>
        </w:tc>
      </w:tr>
      <w:tr w:rsidR="00291E20" w:rsidRPr="00F9141E" w:rsidTr="00291E20">
        <w:trPr>
          <w:trHeight w:val="285"/>
        </w:trPr>
        <w:tc>
          <w:tcPr>
            <w:tcW w:w="4693" w:type="dxa"/>
            <w:tcBorders>
              <w:bottom w:val="single" w:sz="4" w:space="0" w:color="000000"/>
            </w:tcBorders>
            <w:shd w:val="clear" w:color="auto" w:fill="auto"/>
            <w:noWrap/>
            <w:vAlign w:val="bottom"/>
            <w:hideMark/>
          </w:tcPr>
          <w:p w:rsidR="00291E20" w:rsidRPr="00A95E8B" w:rsidRDefault="00291E20" w:rsidP="00290288">
            <w:pPr>
              <w:pStyle w:val="BCSTabletext"/>
              <w:rPr>
                <w:lang w:eastAsia="zh-CN"/>
              </w:rPr>
            </w:pPr>
            <w:r w:rsidRPr="00A95E8B">
              <w:rPr>
                <w:lang w:eastAsia="zh-CN"/>
              </w:rPr>
              <w:t>Manage learning &amp; workload</w:t>
            </w:r>
          </w:p>
        </w:tc>
        <w:tc>
          <w:tcPr>
            <w:tcW w:w="4790" w:type="dxa"/>
            <w:tcBorders>
              <w:bottom w:val="single" w:sz="4" w:space="0" w:color="000000"/>
            </w:tcBorders>
          </w:tcPr>
          <w:p w:rsidR="00291E20" w:rsidRPr="00F9141E" w:rsidRDefault="00291E20" w:rsidP="00290288">
            <w:pPr>
              <w:pStyle w:val="BCSTabletext"/>
              <w:rPr>
                <w:lang w:eastAsia="zh-CN"/>
              </w:rPr>
            </w:pPr>
            <w:r>
              <w:rPr>
                <w:lang w:eastAsia="zh-CN"/>
              </w:rPr>
              <w:t>19</w:t>
            </w:r>
          </w:p>
        </w:tc>
      </w:tr>
      <w:tr w:rsidR="00291E20" w:rsidRPr="00F9141E" w:rsidTr="00291E20">
        <w:trPr>
          <w:trHeight w:val="285"/>
        </w:trPr>
        <w:tc>
          <w:tcPr>
            <w:tcW w:w="4693" w:type="dxa"/>
            <w:shd w:val="clear" w:color="auto" w:fill="C2D69B"/>
            <w:noWrap/>
            <w:vAlign w:val="bottom"/>
            <w:hideMark/>
          </w:tcPr>
          <w:p w:rsidR="00291E20" w:rsidRPr="00A95E8B" w:rsidRDefault="00291E20" w:rsidP="00290288">
            <w:pPr>
              <w:pStyle w:val="BCSTabletext"/>
              <w:rPr>
                <w:lang w:eastAsia="zh-CN"/>
              </w:rPr>
            </w:pPr>
            <w:r w:rsidRPr="00A95E8B">
              <w:rPr>
                <w:lang w:eastAsia="zh-CN"/>
              </w:rPr>
              <w:t>Developing electronic materials</w:t>
            </w:r>
          </w:p>
        </w:tc>
        <w:tc>
          <w:tcPr>
            <w:tcW w:w="4790" w:type="dxa"/>
            <w:shd w:val="clear" w:color="auto" w:fill="C2D69B"/>
          </w:tcPr>
          <w:p w:rsidR="00291E20" w:rsidRPr="00F9141E" w:rsidRDefault="00291E20" w:rsidP="00290288">
            <w:pPr>
              <w:pStyle w:val="BCSTabletext"/>
              <w:rPr>
                <w:lang w:eastAsia="zh-CN"/>
              </w:rPr>
            </w:pPr>
            <w:r>
              <w:rPr>
                <w:lang w:eastAsia="zh-CN"/>
              </w:rPr>
              <w:t>10</w:t>
            </w:r>
          </w:p>
        </w:tc>
      </w:tr>
      <w:tr w:rsidR="00291E20" w:rsidRPr="00F9141E" w:rsidTr="00291E20">
        <w:trPr>
          <w:trHeight w:val="285"/>
        </w:trPr>
        <w:tc>
          <w:tcPr>
            <w:tcW w:w="4693" w:type="dxa"/>
            <w:tcBorders>
              <w:bottom w:val="single" w:sz="4" w:space="0" w:color="000000"/>
            </w:tcBorders>
            <w:shd w:val="clear" w:color="auto" w:fill="auto"/>
            <w:noWrap/>
            <w:vAlign w:val="bottom"/>
            <w:hideMark/>
          </w:tcPr>
          <w:p w:rsidR="00291E20" w:rsidRPr="00A95E8B" w:rsidRDefault="00291E20" w:rsidP="00290288">
            <w:pPr>
              <w:pStyle w:val="BCSTabletext"/>
              <w:rPr>
                <w:lang w:eastAsia="zh-CN"/>
              </w:rPr>
            </w:pPr>
            <w:r w:rsidRPr="00A95E8B">
              <w:rPr>
                <w:lang w:eastAsia="zh-CN"/>
              </w:rPr>
              <w:t>Teach and facilitate online</w:t>
            </w:r>
          </w:p>
        </w:tc>
        <w:tc>
          <w:tcPr>
            <w:tcW w:w="4790" w:type="dxa"/>
            <w:tcBorders>
              <w:bottom w:val="single" w:sz="4" w:space="0" w:color="000000"/>
            </w:tcBorders>
          </w:tcPr>
          <w:p w:rsidR="00291E20" w:rsidRPr="00F9141E" w:rsidRDefault="00291E20" w:rsidP="00290288">
            <w:pPr>
              <w:pStyle w:val="BCSTabletext"/>
              <w:rPr>
                <w:lang w:eastAsia="zh-CN"/>
              </w:rPr>
            </w:pPr>
            <w:r>
              <w:rPr>
                <w:lang w:eastAsia="zh-CN"/>
              </w:rPr>
              <w:t>7</w:t>
            </w:r>
          </w:p>
        </w:tc>
      </w:tr>
      <w:tr w:rsidR="00291E20" w:rsidRPr="00F9141E" w:rsidTr="00291E20">
        <w:trPr>
          <w:trHeight w:val="285"/>
        </w:trPr>
        <w:tc>
          <w:tcPr>
            <w:tcW w:w="4693" w:type="dxa"/>
            <w:shd w:val="clear" w:color="auto" w:fill="C2D69B"/>
            <w:noWrap/>
            <w:vAlign w:val="bottom"/>
            <w:hideMark/>
          </w:tcPr>
          <w:p w:rsidR="00291E20" w:rsidRPr="00A95E8B" w:rsidRDefault="00291E20" w:rsidP="00290288">
            <w:pPr>
              <w:pStyle w:val="BCSTabletext"/>
              <w:rPr>
                <w:lang w:eastAsia="zh-CN"/>
              </w:rPr>
            </w:pPr>
            <w:r w:rsidRPr="00A95E8B">
              <w:rPr>
                <w:lang w:eastAsia="zh-CN"/>
              </w:rPr>
              <w:t>Use ICT face-to-face with learners</w:t>
            </w:r>
          </w:p>
        </w:tc>
        <w:tc>
          <w:tcPr>
            <w:tcW w:w="4790" w:type="dxa"/>
            <w:shd w:val="clear" w:color="auto" w:fill="C2D69B"/>
          </w:tcPr>
          <w:p w:rsidR="00291E20" w:rsidRPr="00F9141E" w:rsidRDefault="00291E20" w:rsidP="00290288">
            <w:pPr>
              <w:pStyle w:val="BCSTabletext"/>
              <w:rPr>
                <w:lang w:eastAsia="zh-CN"/>
              </w:rPr>
            </w:pPr>
            <w:r>
              <w:rPr>
                <w:lang w:eastAsia="zh-CN"/>
              </w:rPr>
              <w:t>6</w:t>
            </w:r>
          </w:p>
        </w:tc>
      </w:tr>
      <w:tr w:rsidR="00291E20" w:rsidRPr="00F9141E" w:rsidTr="00291E20">
        <w:trPr>
          <w:trHeight w:val="285"/>
        </w:trPr>
        <w:tc>
          <w:tcPr>
            <w:tcW w:w="4693" w:type="dxa"/>
            <w:tcBorders>
              <w:bottom w:val="single" w:sz="4" w:space="0" w:color="000000"/>
            </w:tcBorders>
            <w:shd w:val="clear" w:color="auto" w:fill="auto"/>
            <w:noWrap/>
            <w:vAlign w:val="bottom"/>
            <w:hideMark/>
          </w:tcPr>
          <w:p w:rsidR="00291E20" w:rsidRPr="00A95E8B" w:rsidRDefault="00291E20" w:rsidP="00290288">
            <w:pPr>
              <w:pStyle w:val="BCSTabletext"/>
              <w:rPr>
                <w:lang w:eastAsia="zh-CN"/>
              </w:rPr>
            </w:pPr>
            <w:r w:rsidRPr="00A95E8B">
              <w:rPr>
                <w:lang w:eastAsia="zh-CN"/>
              </w:rPr>
              <w:t>Use ICT to access resources</w:t>
            </w:r>
          </w:p>
        </w:tc>
        <w:tc>
          <w:tcPr>
            <w:tcW w:w="4790" w:type="dxa"/>
            <w:tcBorders>
              <w:bottom w:val="single" w:sz="4" w:space="0" w:color="000000"/>
            </w:tcBorders>
          </w:tcPr>
          <w:p w:rsidR="00291E20" w:rsidRPr="00F9141E" w:rsidRDefault="00291E20" w:rsidP="00290288">
            <w:pPr>
              <w:pStyle w:val="BCSTabletext"/>
              <w:rPr>
                <w:lang w:eastAsia="zh-CN"/>
              </w:rPr>
            </w:pPr>
            <w:r>
              <w:rPr>
                <w:lang w:eastAsia="zh-CN"/>
              </w:rPr>
              <w:t>12</w:t>
            </w:r>
          </w:p>
        </w:tc>
      </w:tr>
      <w:tr w:rsidR="00291E20" w:rsidRPr="00F9141E" w:rsidTr="00291E20">
        <w:trPr>
          <w:trHeight w:val="285"/>
        </w:trPr>
        <w:tc>
          <w:tcPr>
            <w:tcW w:w="4693" w:type="dxa"/>
            <w:shd w:val="clear" w:color="auto" w:fill="C2D69B"/>
            <w:vAlign w:val="bottom"/>
            <w:hideMark/>
          </w:tcPr>
          <w:p w:rsidR="00291E20" w:rsidRPr="00A95E8B" w:rsidRDefault="00291E20" w:rsidP="00290288">
            <w:pPr>
              <w:pStyle w:val="BCSTabletext"/>
              <w:rPr>
                <w:lang w:eastAsia="zh-CN"/>
              </w:rPr>
            </w:pPr>
            <w:r w:rsidRPr="00A95E8B">
              <w:rPr>
                <w:lang w:eastAsia="zh-CN"/>
              </w:rPr>
              <w:t xml:space="preserve"> Use NIACE and e-guides</w:t>
            </w:r>
          </w:p>
        </w:tc>
        <w:tc>
          <w:tcPr>
            <w:tcW w:w="4790" w:type="dxa"/>
            <w:shd w:val="clear" w:color="auto" w:fill="C2D69B"/>
          </w:tcPr>
          <w:p w:rsidR="00291E20" w:rsidRPr="00F9141E" w:rsidRDefault="00291E20" w:rsidP="00290288">
            <w:pPr>
              <w:pStyle w:val="BCSTabletext"/>
              <w:rPr>
                <w:lang w:eastAsia="zh-CN"/>
              </w:rPr>
            </w:pPr>
            <w:r>
              <w:rPr>
                <w:lang w:eastAsia="zh-CN"/>
              </w:rPr>
              <w:t>17</w:t>
            </w:r>
          </w:p>
        </w:tc>
      </w:tr>
    </w:tbl>
    <w:p w:rsidR="00291E20" w:rsidRPr="00A95E8B" w:rsidRDefault="00291E20" w:rsidP="00291E20"/>
    <w:p w:rsidR="00291E20" w:rsidRPr="00290288" w:rsidRDefault="00291E20" w:rsidP="00290288">
      <w:pPr>
        <w:pStyle w:val="Heading5"/>
        <w:numPr>
          <w:ilvl w:val="0"/>
          <w:numId w:val="0"/>
        </w:numPr>
        <w:ind w:left="-567"/>
        <w:rPr>
          <w:i/>
          <w:sz w:val="22"/>
          <w:szCs w:val="22"/>
        </w:rPr>
      </w:pPr>
      <w:bookmarkStart w:id="55" w:name="_Figure_9b:_Perception"/>
      <w:bookmarkEnd w:id="55"/>
    </w:p>
    <w:p w:rsidR="00291E20" w:rsidRPr="008418F0" w:rsidRDefault="00291E20" w:rsidP="00290288">
      <w:pPr>
        <w:pStyle w:val="Heading3"/>
        <w:rPr>
          <w:i/>
        </w:rPr>
      </w:pPr>
      <w:r w:rsidRPr="00117B5E">
        <w:br w:type="page"/>
      </w:r>
      <w:bookmarkStart w:id="56" w:name="_Toc257276010"/>
      <w:r w:rsidRPr="008418F0">
        <w:t>Barriers, Enablers and Impacts</w:t>
      </w:r>
      <w:bookmarkEnd w:id="56"/>
    </w:p>
    <w:p w:rsidR="00291E20" w:rsidRDefault="00291E20" w:rsidP="00290288">
      <w:pPr>
        <w:pStyle w:val="BCSParagraph"/>
      </w:pPr>
      <w:r>
        <w:t xml:space="preserve">In order to establish the positive impacts of ILT experienced, by organisations, upon their learners, respondents were asked to indicate their level of agreement (on a five-point scale) with a series of positive impact statements.  </w:t>
      </w:r>
    </w:p>
    <w:p w:rsidR="00291E20" w:rsidRDefault="00291E20" w:rsidP="00290288">
      <w:pPr>
        <w:pStyle w:val="BCSParagraph"/>
      </w:pPr>
      <w:r>
        <w:t>Overall, 66.04% of all possible local authority responses (across all of the impact statements) agreed that ILT had had a positive impact upon the experience of their learners; 47.98% agreed whilst 17.26% strongly agreed.  When looking at the case-level results (</w:t>
      </w:r>
      <w:hyperlink w:anchor="_Table_6:_Level" w:history="1">
        <w:r w:rsidRPr="00CC1978">
          <w:rPr>
            <w:rStyle w:val="Hyperlink"/>
          </w:rPr>
          <w:t>table 7</w:t>
        </w:r>
      </w:hyperlink>
      <w:r>
        <w:t>), the majority of responses across 10 of the 13 categories were ‘agree’</w:t>
      </w:r>
      <w:r w:rsidR="002171D4">
        <w:t xml:space="preserve"> or ‘strongly agree’</w:t>
      </w:r>
      <w:r>
        <w:t xml:space="preserve">; </w:t>
      </w:r>
    </w:p>
    <w:p w:rsidR="00291E20" w:rsidRDefault="00291E20" w:rsidP="00290288">
      <w:pPr>
        <w:pStyle w:val="BCSBulletparagraph"/>
      </w:pPr>
      <w:r>
        <w:t>Learner access to relevant digital content (69.37%)</w:t>
      </w:r>
    </w:p>
    <w:p w:rsidR="00291E20" w:rsidRDefault="00291E20" w:rsidP="00290288">
      <w:pPr>
        <w:pStyle w:val="BCSBulletparagraph"/>
      </w:pPr>
      <w:r>
        <w:t>Improvement in quality of learning (68.47%)</w:t>
      </w:r>
    </w:p>
    <w:p w:rsidR="00291E20" w:rsidRDefault="00291E20" w:rsidP="00290288">
      <w:pPr>
        <w:pStyle w:val="BCSBulletparagraph"/>
      </w:pPr>
      <w:r>
        <w:t>Improve engagement and enjoyment (63.06%)</w:t>
      </w:r>
    </w:p>
    <w:p w:rsidR="00291E20" w:rsidRDefault="00291E20" w:rsidP="00290288">
      <w:pPr>
        <w:pStyle w:val="BCSBulletparagraph"/>
      </w:pPr>
      <w:r>
        <w:t>Improved assessment (56.76%)</w:t>
      </w:r>
    </w:p>
    <w:p w:rsidR="00291E20" w:rsidRDefault="00291E20" w:rsidP="00290288">
      <w:pPr>
        <w:pStyle w:val="BCSBulletparagraph"/>
      </w:pPr>
      <w:r>
        <w:t>Flexibility of delivery (53.15%)</w:t>
      </w:r>
    </w:p>
    <w:p w:rsidR="00291E20" w:rsidRDefault="00291E20" w:rsidP="00290288">
      <w:pPr>
        <w:pStyle w:val="BCSBulletparagraph"/>
      </w:pPr>
      <w:r>
        <w:t>Easier tracking of learner progress (52.25%)</w:t>
      </w:r>
    </w:p>
    <w:p w:rsidR="00291E20" w:rsidRDefault="00291E20" w:rsidP="00290288">
      <w:pPr>
        <w:pStyle w:val="BCSBulletparagraph"/>
      </w:pPr>
      <w:r>
        <w:t>Creative teaching and learning (51.35%)</w:t>
      </w:r>
    </w:p>
    <w:p w:rsidR="00291E20" w:rsidRDefault="00291E20" w:rsidP="00290288">
      <w:pPr>
        <w:pStyle w:val="BCSBulletparagraph"/>
      </w:pPr>
      <w:r>
        <w:t>Increased quality of IAG (41.44%)</w:t>
      </w:r>
    </w:p>
    <w:p w:rsidR="00291E20" w:rsidRDefault="00291E20" w:rsidP="00290288">
      <w:pPr>
        <w:pStyle w:val="BCSBulletparagraph"/>
      </w:pPr>
      <w:r>
        <w:t xml:space="preserve">a wider variety of subjects on offer (33.33%), and </w:t>
      </w:r>
    </w:p>
    <w:p w:rsidR="00291E20" w:rsidRDefault="00291E20" w:rsidP="00290288">
      <w:pPr>
        <w:pStyle w:val="BCSBulletparagraph"/>
      </w:pPr>
      <w:r>
        <w:t>Availability of personalised learning space (28.83%)</w:t>
      </w:r>
    </w:p>
    <w:p w:rsidR="00291E20" w:rsidRDefault="00291E20" w:rsidP="00291E20">
      <w:pPr>
        <w:contextualSpacing/>
      </w:pPr>
    </w:p>
    <w:p w:rsidR="00291E20" w:rsidRDefault="00291E20" w:rsidP="00290288">
      <w:pPr>
        <w:pStyle w:val="BCSParagraph"/>
      </w:pPr>
      <w:r>
        <w:t>Of the remaining three categories of impact, the great</w:t>
      </w:r>
      <w:r w:rsidR="002171D4">
        <w:t>er proportion of respondents were</w:t>
      </w:r>
      <w:r>
        <w:t xml:space="preserve"> ‘not sure’;</w:t>
      </w:r>
    </w:p>
    <w:p w:rsidR="00291E20" w:rsidRDefault="00291E20" w:rsidP="00290288">
      <w:pPr>
        <w:pStyle w:val="BCSBulletparagraph"/>
      </w:pPr>
      <w:r>
        <w:t>Increased learner retention (51.35%)</w:t>
      </w:r>
    </w:p>
    <w:p w:rsidR="00291E20" w:rsidRDefault="00291E20" w:rsidP="00290288">
      <w:pPr>
        <w:pStyle w:val="BCSBulletparagraph"/>
      </w:pPr>
      <w:r>
        <w:t xml:space="preserve">Increased learner  attainment (46.85%), and </w:t>
      </w:r>
    </w:p>
    <w:p w:rsidR="00291E20" w:rsidRDefault="00291E20" w:rsidP="00290288">
      <w:pPr>
        <w:pStyle w:val="BCSBulletparagraph"/>
      </w:pPr>
      <w:r>
        <w:t xml:space="preserve">Learner progression (where applicable); 46.86%. </w:t>
      </w:r>
    </w:p>
    <w:p w:rsidR="00291E20" w:rsidRDefault="00291E20" w:rsidP="00291E20">
      <w:pPr>
        <w:ind w:left="360"/>
        <w:contextualSpacing/>
      </w:pPr>
    </w:p>
    <w:p w:rsidR="00291E20" w:rsidRDefault="002171D4" w:rsidP="00290288">
      <w:pPr>
        <w:pStyle w:val="BCSParagraph"/>
      </w:pPr>
      <w:r>
        <w:t>T</w:t>
      </w:r>
      <w:r w:rsidR="00291E20">
        <w:t>he majority of those who had an opinion</w:t>
      </w:r>
      <w:r>
        <w:t xml:space="preserve"> on these areas,</w:t>
      </w:r>
      <w:r w:rsidR="00291E20">
        <w:t xml:space="preserve"> ‘agreed’ that they had seen evidence of positive impact upon l</w:t>
      </w:r>
      <w:r w:rsidR="00290288">
        <w:t>earners</w:t>
      </w:r>
      <w:r w:rsidR="00291E20">
        <w:t>.</w:t>
      </w:r>
    </w:p>
    <w:p w:rsidR="00291E20" w:rsidRDefault="00291E20" w:rsidP="00290288">
      <w:pPr>
        <w:pStyle w:val="BCSBulletparagraph"/>
      </w:pPr>
      <w:r>
        <w:t>40.54% of respondents agreed that ILT Increased learner  attainment</w:t>
      </w:r>
    </w:p>
    <w:p w:rsidR="00291E20" w:rsidRDefault="00291E20" w:rsidP="00290288">
      <w:pPr>
        <w:pStyle w:val="BCSBulletparagraph"/>
      </w:pPr>
      <w:r>
        <w:t xml:space="preserve">40.54% of respondents agreed that ILT enabled learner progression, and </w:t>
      </w:r>
    </w:p>
    <w:p w:rsidR="00291E20" w:rsidRDefault="00291E20" w:rsidP="00290288">
      <w:pPr>
        <w:pStyle w:val="BCSBulletparagraph"/>
      </w:pPr>
      <w:r>
        <w:t>35.14% of respondents agreed that ILT Increased learner retention</w:t>
      </w:r>
    </w:p>
    <w:p w:rsidR="00290288" w:rsidRDefault="00290288" w:rsidP="00290288">
      <w:pPr>
        <w:pStyle w:val="BCSBulletparagraph"/>
        <w:numPr>
          <w:ilvl w:val="0"/>
          <w:numId w:val="0"/>
        </w:numPr>
        <w:ind w:left="1077"/>
      </w:pPr>
    </w:p>
    <w:p w:rsidR="00291E20" w:rsidRDefault="00291E20" w:rsidP="00290288">
      <w:pPr>
        <w:pStyle w:val="BCSParagraph"/>
      </w:pPr>
      <w:r>
        <w:t>The greatest number of those disagreeing that ILTR had enable</w:t>
      </w:r>
      <w:r w:rsidR="002171D4">
        <w:t>d</w:t>
      </w:r>
      <w:r>
        <w:t xml:space="preserve"> posi</w:t>
      </w:r>
      <w:r w:rsidR="002171D4">
        <w:t>tive impact, cited</w:t>
      </w:r>
      <w:r>
        <w:t>;</w:t>
      </w:r>
    </w:p>
    <w:p w:rsidR="00291E20" w:rsidRDefault="00291E20" w:rsidP="00290288">
      <w:pPr>
        <w:pStyle w:val="BCSBulletparagraph"/>
      </w:pPr>
      <w:r>
        <w:t>ILT offering learners a wider variety of subjects (18.02%), and</w:t>
      </w:r>
    </w:p>
    <w:p w:rsidR="00291E20" w:rsidRDefault="00291E20" w:rsidP="00290288">
      <w:pPr>
        <w:pStyle w:val="BCSBulletparagraph"/>
      </w:pPr>
      <w:r>
        <w:t>Availability of personalized learning space (14.41%)</w:t>
      </w:r>
    </w:p>
    <w:p w:rsidR="005E09F4" w:rsidRDefault="005E09F4" w:rsidP="005E09F4">
      <w:pPr>
        <w:pStyle w:val="BCSBulletparagraph"/>
        <w:numPr>
          <w:ilvl w:val="0"/>
          <w:numId w:val="0"/>
        </w:numPr>
        <w:ind w:left="1077"/>
      </w:pPr>
    </w:p>
    <w:p w:rsidR="00291E20" w:rsidRDefault="00291E20" w:rsidP="005E09F4">
      <w:pPr>
        <w:pStyle w:val="BCSParagraph"/>
      </w:pPr>
      <w:r>
        <w:t>The four areas within which there was strong agreement of impact (over 20% in each case) were:</w:t>
      </w:r>
    </w:p>
    <w:p w:rsidR="00291E20" w:rsidRDefault="00291E20" w:rsidP="005E09F4">
      <w:pPr>
        <w:pStyle w:val="BCSBulletparagraph"/>
      </w:pPr>
      <w:r>
        <w:t>Creative teaching and learning (44.14%)</w:t>
      </w:r>
    </w:p>
    <w:p w:rsidR="00291E20" w:rsidRDefault="00291E20" w:rsidP="005E09F4">
      <w:pPr>
        <w:pStyle w:val="BCSBulletparagraph"/>
      </w:pPr>
      <w:r>
        <w:t xml:space="preserve">Flexibility of delivery (26.13%), and </w:t>
      </w:r>
    </w:p>
    <w:p w:rsidR="00291E20" w:rsidRDefault="00291E20" w:rsidP="005E09F4">
      <w:pPr>
        <w:pStyle w:val="BCSBulletparagraph"/>
      </w:pPr>
      <w:r>
        <w:t>Improved engagement and enjoyment (25.23%)</w:t>
      </w:r>
    </w:p>
    <w:p w:rsidR="00291E20" w:rsidRDefault="00291E20" w:rsidP="005E09F4">
      <w:pPr>
        <w:pStyle w:val="BCSBulletparagraph"/>
      </w:pPr>
      <w:r>
        <w:t>Improved quality of learning (20.72%)</w:t>
      </w:r>
    </w:p>
    <w:p w:rsidR="002171D4" w:rsidRDefault="002171D4" w:rsidP="002171D4">
      <w:pPr>
        <w:pStyle w:val="BCSBulletparagraph"/>
        <w:numPr>
          <w:ilvl w:val="0"/>
          <w:numId w:val="0"/>
        </w:numPr>
        <w:ind w:left="1077" w:hanging="357"/>
      </w:pPr>
    </w:p>
    <w:p w:rsidR="00291E20" w:rsidRDefault="00291E20" w:rsidP="005E09F4">
      <w:pPr>
        <w:pStyle w:val="BCSTableheadings"/>
      </w:pPr>
      <w:bookmarkStart w:id="57" w:name="_Table_6:_Level"/>
      <w:bookmarkStart w:id="58" w:name="_Toc256332144"/>
      <w:bookmarkEnd w:id="57"/>
      <w:r>
        <w:t>Table 7</w:t>
      </w:r>
      <w:r w:rsidRPr="00E43F9B">
        <w:t xml:space="preserve">: Level of </w:t>
      </w:r>
      <w:r>
        <w:t xml:space="preserve">LA </w:t>
      </w:r>
      <w:r w:rsidRPr="00E43F9B">
        <w:t>respondent agreement with potential positive impacts upon the learner experience</w:t>
      </w:r>
      <w:bookmarkEnd w:id="58"/>
    </w:p>
    <w:tbl>
      <w:tblPr>
        <w:tblW w:w="10043" w:type="dxa"/>
        <w:tblInd w:w="-338"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tblPr>
      <w:tblGrid>
        <w:gridCol w:w="3239"/>
        <w:gridCol w:w="1418"/>
        <w:gridCol w:w="1276"/>
        <w:gridCol w:w="1275"/>
        <w:gridCol w:w="1418"/>
        <w:gridCol w:w="1417"/>
      </w:tblGrid>
      <w:tr w:rsidR="00291E20" w:rsidRPr="00916BFA" w:rsidTr="00291E20">
        <w:trPr>
          <w:trHeight w:val="285"/>
        </w:trPr>
        <w:tc>
          <w:tcPr>
            <w:tcW w:w="3239" w:type="dxa"/>
            <w:shd w:val="clear" w:color="auto" w:fill="76923C"/>
            <w:noWrap/>
            <w:vAlign w:val="bottom"/>
            <w:hideMark/>
          </w:tcPr>
          <w:p w:rsidR="00291E20" w:rsidRPr="00916BFA" w:rsidRDefault="00291E20" w:rsidP="005E09F4">
            <w:pPr>
              <w:pStyle w:val="BCSTabletext"/>
            </w:pPr>
            <w:r>
              <w:t>Learner impact areas</w:t>
            </w:r>
          </w:p>
        </w:tc>
        <w:tc>
          <w:tcPr>
            <w:tcW w:w="1418" w:type="dxa"/>
            <w:shd w:val="clear" w:color="auto" w:fill="76923C"/>
            <w:noWrap/>
            <w:vAlign w:val="bottom"/>
            <w:hideMark/>
          </w:tcPr>
          <w:p w:rsidR="00291E20" w:rsidRPr="00916BFA" w:rsidRDefault="00291E20" w:rsidP="005E09F4">
            <w:pPr>
              <w:pStyle w:val="BCSTabletext"/>
            </w:pPr>
            <w:r w:rsidRPr="00916BFA">
              <w:t>Strongly agree</w:t>
            </w:r>
          </w:p>
        </w:tc>
        <w:tc>
          <w:tcPr>
            <w:tcW w:w="1276" w:type="dxa"/>
            <w:shd w:val="clear" w:color="auto" w:fill="76923C"/>
            <w:noWrap/>
            <w:vAlign w:val="bottom"/>
            <w:hideMark/>
          </w:tcPr>
          <w:p w:rsidR="00291E20" w:rsidRPr="00916BFA" w:rsidRDefault="00291E20" w:rsidP="005E09F4">
            <w:pPr>
              <w:pStyle w:val="BCSTabletext"/>
            </w:pPr>
            <w:r w:rsidRPr="00916BFA">
              <w:t>Agree</w:t>
            </w:r>
          </w:p>
        </w:tc>
        <w:tc>
          <w:tcPr>
            <w:tcW w:w="1275" w:type="dxa"/>
            <w:shd w:val="clear" w:color="auto" w:fill="76923C"/>
            <w:noWrap/>
            <w:vAlign w:val="bottom"/>
            <w:hideMark/>
          </w:tcPr>
          <w:p w:rsidR="00291E20" w:rsidRPr="00916BFA" w:rsidRDefault="00291E20" w:rsidP="005E09F4">
            <w:pPr>
              <w:pStyle w:val="BCSTabletext"/>
            </w:pPr>
            <w:r w:rsidRPr="00916BFA">
              <w:t>Not sure</w:t>
            </w:r>
          </w:p>
        </w:tc>
        <w:tc>
          <w:tcPr>
            <w:tcW w:w="1418" w:type="dxa"/>
            <w:shd w:val="clear" w:color="auto" w:fill="76923C"/>
            <w:noWrap/>
            <w:vAlign w:val="bottom"/>
            <w:hideMark/>
          </w:tcPr>
          <w:p w:rsidR="00291E20" w:rsidRPr="00916BFA" w:rsidRDefault="00291E20" w:rsidP="005E09F4">
            <w:pPr>
              <w:pStyle w:val="BCSTabletext"/>
            </w:pPr>
            <w:r w:rsidRPr="00916BFA">
              <w:t>Disagree</w:t>
            </w:r>
          </w:p>
        </w:tc>
        <w:tc>
          <w:tcPr>
            <w:tcW w:w="1417" w:type="dxa"/>
            <w:shd w:val="clear" w:color="auto" w:fill="76923C"/>
            <w:noWrap/>
            <w:vAlign w:val="bottom"/>
            <w:hideMark/>
          </w:tcPr>
          <w:p w:rsidR="00291E20" w:rsidRPr="00916BFA" w:rsidRDefault="00291E20" w:rsidP="005E09F4">
            <w:pPr>
              <w:pStyle w:val="BCSTabletext"/>
            </w:pPr>
            <w:r w:rsidRPr="00916BFA">
              <w:t>Strongly disagree</w:t>
            </w:r>
          </w:p>
        </w:tc>
      </w:tr>
      <w:tr w:rsidR="00291E20" w:rsidRPr="00916BFA" w:rsidTr="00291E20">
        <w:trPr>
          <w:trHeight w:val="285"/>
        </w:trPr>
        <w:tc>
          <w:tcPr>
            <w:tcW w:w="3239"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Flexibility of delivery</w:t>
            </w:r>
          </w:p>
        </w:tc>
        <w:tc>
          <w:tcPr>
            <w:tcW w:w="1418"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26.13%</w:t>
            </w:r>
          </w:p>
        </w:tc>
        <w:tc>
          <w:tcPr>
            <w:tcW w:w="1276"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53.15%</w:t>
            </w:r>
          </w:p>
        </w:tc>
        <w:tc>
          <w:tcPr>
            <w:tcW w:w="1275"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14.41%</w:t>
            </w:r>
          </w:p>
        </w:tc>
        <w:tc>
          <w:tcPr>
            <w:tcW w:w="1418"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4.50%</w:t>
            </w:r>
          </w:p>
        </w:tc>
        <w:tc>
          <w:tcPr>
            <w:tcW w:w="1417"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0.00%</w:t>
            </w:r>
          </w:p>
        </w:tc>
      </w:tr>
      <w:tr w:rsidR="00291E20" w:rsidRPr="00916BFA" w:rsidTr="00291E20">
        <w:trPr>
          <w:trHeight w:val="285"/>
        </w:trPr>
        <w:tc>
          <w:tcPr>
            <w:tcW w:w="3239" w:type="dxa"/>
            <w:shd w:val="clear" w:color="auto" w:fill="C2D69B"/>
            <w:noWrap/>
            <w:vAlign w:val="bottom"/>
            <w:hideMark/>
          </w:tcPr>
          <w:p w:rsidR="00291E20" w:rsidRPr="00916BFA" w:rsidRDefault="00291E20" w:rsidP="005E09F4">
            <w:pPr>
              <w:pStyle w:val="BCSTabletext"/>
            </w:pPr>
            <w:r w:rsidRPr="00916BFA">
              <w:t>Creative teaching and learning</w:t>
            </w:r>
          </w:p>
        </w:tc>
        <w:tc>
          <w:tcPr>
            <w:tcW w:w="1418" w:type="dxa"/>
            <w:shd w:val="clear" w:color="auto" w:fill="C2D69B"/>
            <w:noWrap/>
            <w:vAlign w:val="bottom"/>
            <w:hideMark/>
          </w:tcPr>
          <w:p w:rsidR="00291E20" w:rsidRPr="00916BFA" w:rsidRDefault="00291E20" w:rsidP="005E09F4">
            <w:pPr>
              <w:pStyle w:val="BCSTabletext"/>
            </w:pPr>
            <w:r w:rsidRPr="00916BFA">
              <w:t>44.14%</w:t>
            </w:r>
          </w:p>
        </w:tc>
        <w:tc>
          <w:tcPr>
            <w:tcW w:w="1276" w:type="dxa"/>
            <w:shd w:val="clear" w:color="auto" w:fill="C2D69B"/>
            <w:noWrap/>
            <w:vAlign w:val="bottom"/>
            <w:hideMark/>
          </w:tcPr>
          <w:p w:rsidR="00291E20" w:rsidRPr="00916BFA" w:rsidRDefault="00291E20" w:rsidP="005E09F4">
            <w:pPr>
              <w:pStyle w:val="BCSTabletext"/>
            </w:pPr>
            <w:r w:rsidRPr="00916BFA">
              <w:t>51.35%</w:t>
            </w:r>
          </w:p>
        </w:tc>
        <w:tc>
          <w:tcPr>
            <w:tcW w:w="1275" w:type="dxa"/>
            <w:shd w:val="clear" w:color="auto" w:fill="C2D69B"/>
            <w:noWrap/>
            <w:vAlign w:val="bottom"/>
            <w:hideMark/>
          </w:tcPr>
          <w:p w:rsidR="00291E20" w:rsidRPr="00916BFA" w:rsidRDefault="00291E20" w:rsidP="005E09F4">
            <w:pPr>
              <w:pStyle w:val="BCSTabletext"/>
            </w:pPr>
            <w:r w:rsidRPr="00916BFA">
              <w:t>3.60%</w:t>
            </w:r>
          </w:p>
        </w:tc>
        <w:tc>
          <w:tcPr>
            <w:tcW w:w="1418" w:type="dxa"/>
            <w:shd w:val="clear" w:color="auto" w:fill="C2D69B"/>
            <w:noWrap/>
            <w:vAlign w:val="bottom"/>
            <w:hideMark/>
          </w:tcPr>
          <w:p w:rsidR="00291E20" w:rsidRPr="00916BFA" w:rsidRDefault="00291E20" w:rsidP="005E09F4">
            <w:pPr>
              <w:pStyle w:val="BCSTabletext"/>
            </w:pPr>
            <w:r w:rsidRPr="00916BFA">
              <w:t>0.00%</w:t>
            </w:r>
          </w:p>
        </w:tc>
        <w:tc>
          <w:tcPr>
            <w:tcW w:w="1417" w:type="dxa"/>
            <w:shd w:val="clear" w:color="auto" w:fill="C2D69B"/>
            <w:noWrap/>
            <w:vAlign w:val="bottom"/>
            <w:hideMark/>
          </w:tcPr>
          <w:p w:rsidR="00291E20" w:rsidRPr="00916BFA" w:rsidRDefault="00291E20" w:rsidP="005E09F4">
            <w:pPr>
              <w:pStyle w:val="BCSTabletext"/>
            </w:pPr>
            <w:r w:rsidRPr="00916BFA">
              <w:t>0.00%</w:t>
            </w:r>
          </w:p>
        </w:tc>
      </w:tr>
      <w:tr w:rsidR="00291E20" w:rsidRPr="00916BFA" w:rsidTr="00291E20">
        <w:trPr>
          <w:trHeight w:val="570"/>
        </w:trPr>
        <w:tc>
          <w:tcPr>
            <w:tcW w:w="3239" w:type="dxa"/>
            <w:tcBorders>
              <w:bottom w:val="single" w:sz="4" w:space="0" w:color="4F6228"/>
            </w:tcBorders>
            <w:shd w:val="clear" w:color="auto" w:fill="auto"/>
            <w:vAlign w:val="bottom"/>
            <w:hideMark/>
          </w:tcPr>
          <w:p w:rsidR="00291E20" w:rsidRPr="00916BFA" w:rsidRDefault="00291E20" w:rsidP="005E09F4">
            <w:pPr>
              <w:pStyle w:val="BCSTabletext"/>
            </w:pPr>
            <w:r w:rsidRPr="00916BFA">
              <w:t xml:space="preserve">Wider variety </w:t>
            </w:r>
            <w:r w:rsidRPr="00916BFA">
              <w:br/>
              <w:t>of subjects</w:t>
            </w:r>
          </w:p>
        </w:tc>
        <w:tc>
          <w:tcPr>
            <w:tcW w:w="1418"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10.81%</w:t>
            </w:r>
          </w:p>
        </w:tc>
        <w:tc>
          <w:tcPr>
            <w:tcW w:w="1276"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33.33%</w:t>
            </w:r>
          </w:p>
        </w:tc>
        <w:tc>
          <w:tcPr>
            <w:tcW w:w="1275"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31.53%</w:t>
            </w:r>
          </w:p>
        </w:tc>
        <w:tc>
          <w:tcPr>
            <w:tcW w:w="1418" w:type="dxa"/>
            <w:tcBorders>
              <w:bottom w:val="single" w:sz="4" w:space="0" w:color="4F6228"/>
            </w:tcBorders>
            <w:shd w:val="clear" w:color="auto" w:fill="auto"/>
            <w:vAlign w:val="bottom"/>
          </w:tcPr>
          <w:p w:rsidR="00291E20" w:rsidRPr="00916BFA" w:rsidRDefault="00291E20" w:rsidP="005E09F4">
            <w:pPr>
              <w:pStyle w:val="BCSTabletext"/>
            </w:pPr>
            <w:r w:rsidRPr="00916BFA">
              <w:t>18.02%</w:t>
            </w:r>
          </w:p>
        </w:tc>
        <w:tc>
          <w:tcPr>
            <w:tcW w:w="1417" w:type="dxa"/>
            <w:tcBorders>
              <w:bottom w:val="single" w:sz="4" w:space="0" w:color="4F6228"/>
            </w:tcBorders>
            <w:shd w:val="clear" w:color="auto" w:fill="auto"/>
            <w:vAlign w:val="bottom"/>
          </w:tcPr>
          <w:p w:rsidR="00291E20" w:rsidRPr="00916BFA" w:rsidRDefault="00291E20" w:rsidP="005E09F4">
            <w:pPr>
              <w:pStyle w:val="BCSTabletext"/>
            </w:pPr>
            <w:r w:rsidRPr="00916BFA">
              <w:t>0.90%</w:t>
            </w:r>
          </w:p>
        </w:tc>
      </w:tr>
      <w:tr w:rsidR="00291E20" w:rsidRPr="00916BFA" w:rsidTr="00291E20">
        <w:trPr>
          <w:trHeight w:val="285"/>
        </w:trPr>
        <w:tc>
          <w:tcPr>
            <w:tcW w:w="3239" w:type="dxa"/>
            <w:shd w:val="clear" w:color="auto" w:fill="C2D69B"/>
            <w:noWrap/>
            <w:vAlign w:val="bottom"/>
            <w:hideMark/>
          </w:tcPr>
          <w:p w:rsidR="00291E20" w:rsidRPr="00916BFA" w:rsidRDefault="00291E20" w:rsidP="005E09F4">
            <w:pPr>
              <w:pStyle w:val="BCSTabletext"/>
            </w:pPr>
            <w:r w:rsidRPr="00916BFA">
              <w:t>Access to relevant digital content</w:t>
            </w:r>
          </w:p>
        </w:tc>
        <w:tc>
          <w:tcPr>
            <w:tcW w:w="1418" w:type="dxa"/>
            <w:shd w:val="clear" w:color="auto" w:fill="C2D69B"/>
            <w:noWrap/>
            <w:vAlign w:val="bottom"/>
            <w:hideMark/>
          </w:tcPr>
          <w:p w:rsidR="00291E20" w:rsidRPr="00916BFA" w:rsidRDefault="00291E20" w:rsidP="005E09F4">
            <w:pPr>
              <w:pStyle w:val="BCSTabletext"/>
            </w:pPr>
            <w:r w:rsidRPr="00916BFA">
              <w:t>16.22%</w:t>
            </w:r>
          </w:p>
        </w:tc>
        <w:tc>
          <w:tcPr>
            <w:tcW w:w="1276" w:type="dxa"/>
            <w:shd w:val="clear" w:color="auto" w:fill="C2D69B"/>
            <w:noWrap/>
            <w:vAlign w:val="bottom"/>
            <w:hideMark/>
          </w:tcPr>
          <w:p w:rsidR="00291E20" w:rsidRPr="00916BFA" w:rsidRDefault="00291E20" w:rsidP="005E09F4">
            <w:pPr>
              <w:pStyle w:val="BCSTabletext"/>
            </w:pPr>
            <w:r w:rsidRPr="00916BFA">
              <w:t>69.37%</w:t>
            </w:r>
          </w:p>
        </w:tc>
        <w:tc>
          <w:tcPr>
            <w:tcW w:w="1275" w:type="dxa"/>
            <w:shd w:val="clear" w:color="auto" w:fill="C2D69B"/>
            <w:noWrap/>
            <w:vAlign w:val="bottom"/>
            <w:hideMark/>
          </w:tcPr>
          <w:p w:rsidR="00291E20" w:rsidRPr="00916BFA" w:rsidRDefault="00291E20" w:rsidP="005E09F4">
            <w:pPr>
              <w:pStyle w:val="BCSTabletext"/>
            </w:pPr>
            <w:r w:rsidRPr="00916BFA">
              <w:t>9.91%</w:t>
            </w:r>
          </w:p>
        </w:tc>
        <w:tc>
          <w:tcPr>
            <w:tcW w:w="1418" w:type="dxa"/>
            <w:shd w:val="clear" w:color="auto" w:fill="C2D69B"/>
            <w:noWrap/>
            <w:vAlign w:val="bottom"/>
            <w:hideMark/>
          </w:tcPr>
          <w:p w:rsidR="00291E20" w:rsidRPr="00916BFA" w:rsidRDefault="00291E20" w:rsidP="005E09F4">
            <w:pPr>
              <w:pStyle w:val="BCSTabletext"/>
            </w:pPr>
            <w:r w:rsidRPr="00916BFA">
              <w:t>2.70%</w:t>
            </w:r>
          </w:p>
        </w:tc>
        <w:tc>
          <w:tcPr>
            <w:tcW w:w="1417" w:type="dxa"/>
            <w:shd w:val="clear" w:color="auto" w:fill="C2D69B"/>
            <w:noWrap/>
            <w:vAlign w:val="bottom"/>
            <w:hideMark/>
          </w:tcPr>
          <w:p w:rsidR="00291E20" w:rsidRPr="00916BFA" w:rsidRDefault="00291E20" w:rsidP="005E09F4">
            <w:pPr>
              <w:pStyle w:val="BCSTabletext"/>
            </w:pPr>
            <w:r w:rsidRPr="00916BFA">
              <w:t>0.00%</w:t>
            </w:r>
          </w:p>
        </w:tc>
      </w:tr>
      <w:tr w:rsidR="00291E20" w:rsidRPr="00916BFA" w:rsidTr="00291E20">
        <w:trPr>
          <w:trHeight w:val="285"/>
        </w:trPr>
        <w:tc>
          <w:tcPr>
            <w:tcW w:w="3239"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Increased quality of information</w:t>
            </w:r>
          </w:p>
        </w:tc>
        <w:tc>
          <w:tcPr>
            <w:tcW w:w="1418"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18.02%</w:t>
            </w:r>
          </w:p>
        </w:tc>
        <w:tc>
          <w:tcPr>
            <w:tcW w:w="1276"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41.44%</w:t>
            </w:r>
          </w:p>
        </w:tc>
        <w:tc>
          <w:tcPr>
            <w:tcW w:w="1275"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30.63%</w:t>
            </w:r>
          </w:p>
        </w:tc>
        <w:tc>
          <w:tcPr>
            <w:tcW w:w="1418"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6.31%</w:t>
            </w:r>
          </w:p>
        </w:tc>
        <w:tc>
          <w:tcPr>
            <w:tcW w:w="1417"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0.90%</w:t>
            </w:r>
          </w:p>
        </w:tc>
      </w:tr>
      <w:tr w:rsidR="00291E20" w:rsidRPr="00916BFA" w:rsidTr="00291E20">
        <w:trPr>
          <w:trHeight w:val="285"/>
        </w:trPr>
        <w:tc>
          <w:tcPr>
            <w:tcW w:w="3239" w:type="dxa"/>
            <w:shd w:val="clear" w:color="auto" w:fill="C2D69B"/>
            <w:noWrap/>
            <w:vAlign w:val="bottom"/>
            <w:hideMark/>
          </w:tcPr>
          <w:p w:rsidR="00291E20" w:rsidRPr="00916BFA" w:rsidRDefault="00291E20" w:rsidP="005E09F4">
            <w:pPr>
              <w:pStyle w:val="BCSTabletext"/>
            </w:pPr>
            <w:r w:rsidRPr="00916BFA">
              <w:t>Availability of personalised learning space</w:t>
            </w:r>
          </w:p>
        </w:tc>
        <w:tc>
          <w:tcPr>
            <w:tcW w:w="1418" w:type="dxa"/>
            <w:shd w:val="clear" w:color="auto" w:fill="C2D69B"/>
            <w:noWrap/>
            <w:vAlign w:val="bottom"/>
            <w:hideMark/>
          </w:tcPr>
          <w:p w:rsidR="00291E20" w:rsidRPr="00916BFA" w:rsidRDefault="00291E20" w:rsidP="005E09F4">
            <w:pPr>
              <w:pStyle w:val="BCSTabletext"/>
            </w:pPr>
            <w:r w:rsidRPr="00916BFA">
              <w:t>13.51%</w:t>
            </w:r>
          </w:p>
        </w:tc>
        <w:tc>
          <w:tcPr>
            <w:tcW w:w="1276" w:type="dxa"/>
            <w:shd w:val="clear" w:color="auto" w:fill="C2D69B"/>
            <w:noWrap/>
            <w:vAlign w:val="bottom"/>
            <w:hideMark/>
          </w:tcPr>
          <w:p w:rsidR="00291E20" w:rsidRPr="00916BFA" w:rsidRDefault="00291E20" w:rsidP="005E09F4">
            <w:pPr>
              <w:pStyle w:val="BCSTabletext"/>
            </w:pPr>
            <w:r w:rsidRPr="00916BFA">
              <w:t>28.83%</w:t>
            </w:r>
          </w:p>
        </w:tc>
        <w:tc>
          <w:tcPr>
            <w:tcW w:w="1275" w:type="dxa"/>
            <w:shd w:val="clear" w:color="auto" w:fill="C2D69B"/>
            <w:noWrap/>
            <w:vAlign w:val="bottom"/>
            <w:hideMark/>
          </w:tcPr>
          <w:p w:rsidR="00291E20" w:rsidRPr="00916BFA" w:rsidRDefault="00291E20" w:rsidP="005E09F4">
            <w:pPr>
              <w:pStyle w:val="BCSTabletext"/>
            </w:pPr>
            <w:r w:rsidRPr="00916BFA">
              <w:t>24.32%</w:t>
            </w:r>
          </w:p>
        </w:tc>
        <w:tc>
          <w:tcPr>
            <w:tcW w:w="1418" w:type="dxa"/>
            <w:shd w:val="clear" w:color="auto" w:fill="C2D69B"/>
            <w:noWrap/>
            <w:vAlign w:val="bottom"/>
            <w:hideMark/>
          </w:tcPr>
          <w:p w:rsidR="00291E20" w:rsidRPr="00916BFA" w:rsidRDefault="00291E20" w:rsidP="005E09F4">
            <w:pPr>
              <w:pStyle w:val="BCSTabletext"/>
            </w:pPr>
            <w:r w:rsidRPr="00916BFA">
              <w:t>14.41%</w:t>
            </w:r>
          </w:p>
        </w:tc>
        <w:tc>
          <w:tcPr>
            <w:tcW w:w="1417" w:type="dxa"/>
            <w:shd w:val="clear" w:color="auto" w:fill="C2D69B"/>
            <w:noWrap/>
            <w:vAlign w:val="bottom"/>
            <w:hideMark/>
          </w:tcPr>
          <w:p w:rsidR="00291E20" w:rsidRPr="00916BFA" w:rsidRDefault="00291E20" w:rsidP="005E09F4">
            <w:pPr>
              <w:pStyle w:val="BCSTabletext"/>
            </w:pPr>
            <w:r w:rsidRPr="00916BFA">
              <w:t>0.90%</w:t>
            </w:r>
          </w:p>
        </w:tc>
      </w:tr>
      <w:tr w:rsidR="00291E20" w:rsidRPr="00916BFA" w:rsidTr="00291E20">
        <w:trPr>
          <w:trHeight w:val="285"/>
        </w:trPr>
        <w:tc>
          <w:tcPr>
            <w:tcW w:w="3239" w:type="dxa"/>
            <w:tcBorders>
              <w:bottom w:val="single" w:sz="4" w:space="0" w:color="4F6228"/>
            </w:tcBorders>
            <w:shd w:val="clear" w:color="auto" w:fill="auto"/>
            <w:noWrap/>
            <w:vAlign w:val="bottom"/>
            <w:hideMark/>
          </w:tcPr>
          <w:p w:rsidR="00291E20" w:rsidRPr="00916BFA" w:rsidRDefault="00291E20" w:rsidP="005E09F4">
            <w:pPr>
              <w:pStyle w:val="BCSTabletext"/>
            </w:pPr>
            <w:r>
              <w:t>Improve en</w:t>
            </w:r>
            <w:r w:rsidRPr="00916BFA">
              <w:t>gagement and enjoyment</w:t>
            </w:r>
          </w:p>
        </w:tc>
        <w:tc>
          <w:tcPr>
            <w:tcW w:w="1418"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25.23%</w:t>
            </w:r>
          </w:p>
        </w:tc>
        <w:tc>
          <w:tcPr>
            <w:tcW w:w="1276"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63.06%</w:t>
            </w:r>
          </w:p>
        </w:tc>
        <w:tc>
          <w:tcPr>
            <w:tcW w:w="1275"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9.01%</w:t>
            </w:r>
          </w:p>
        </w:tc>
        <w:tc>
          <w:tcPr>
            <w:tcW w:w="1418"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2.70%</w:t>
            </w:r>
          </w:p>
        </w:tc>
        <w:tc>
          <w:tcPr>
            <w:tcW w:w="1417"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0.00%</w:t>
            </w:r>
          </w:p>
        </w:tc>
      </w:tr>
      <w:tr w:rsidR="00291E20" w:rsidRPr="00916BFA" w:rsidTr="00291E20">
        <w:trPr>
          <w:trHeight w:val="285"/>
        </w:trPr>
        <w:tc>
          <w:tcPr>
            <w:tcW w:w="3239" w:type="dxa"/>
            <w:shd w:val="clear" w:color="auto" w:fill="C2D69B"/>
            <w:noWrap/>
            <w:vAlign w:val="bottom"/>
            <w:hideMark/>
          </w:tcPr>
          <w:p w:rsidR="00291E20" w:rsidRPr="00916BFA" w:rsidRDefault="00291E20" w:rsidP="005E09F4">
            <w:pPr>
              <w:pStyle w:val="BCSTabletext"/>
            </w:pPr>
            <w:r w:rsidRPr="00916BFA">
              <w:t>Improved assessment</w:t>
            </w:r>
          </w:p>
        </w:tc>
        <w:tc>
          <w:tcPr>
            <w:tcW w:w="1418" w:type="dxa"/>
            <w:shd w:val="clear" w:color="auto" w:fill="C2D69B"/>
            <w:noWrap/>
            <w:vAlign w:val="bottom"/>
            <w:hideMark/>
          </w:tcPr>
          <w:p w:rsidR="00291E20" w:rsidRPr="00916BFA" w:rsidRDefault="00291E20" w:rsidP="005E09F4">
            <w:pPr>
              <w:pStyle w:val="BCSTabletext"/>
            </w:pPr>
            <w:r w:rsidRPr="00916BFA">
              <w:t>16.22%</w:t>
            </w:r>
          </w:p>
        </w:tc>
        <w:tc>
          <w:tcPr>
            <w:tcW w:w="1276" w:type="dxa"/>
            <w:shd w:val="clear" w:color="auto" w:fill="C2D69B"/>
            <w:noWrap/>
            <w:vAlign w:val="bottom"/>
            <w:hideMark/>
          </w:tcPr>
          <w:p w:rsidR="00291E20" w:rsidRPr="00916BFA" w:rsidRDefault="00291E20" w:rsidP="005E09F4">
            <w:pPr>
              <w:pStyle w:val="BCSTabletext"/>
            </w:pPr>
            <w:r w:rsidRPr="00916BFA">
              <w:t>56.76%</w:t>
            </w:r>
          </w:p>
        </w:tc>
        <w:tc>
          <w:tcPr>
            <w:tcW w:w="1275" w:type="dxa"/>
            <w:shd w:val="clear" w:color="auto" w:fill="C2D69B"/>
            <w:noWrap/>
            <w:vAlign w:val="bottom"/>
            <w:hideMark/>
          </w:tcPr>
          <w:p w:rsidR="00291E20" w:rsidRPr="00916BFA" w:rsidRDefault="00291E20" w:rsidP="005E09F4">
            <w:pPr>
              <w:pStyle w:val="BCSTabletext"/>
            </w:pPr>
            <w:r w:rsidRPr="00916BFA">
              <w:t>19.82%</w:t>
            </w:r>
          </w:p>
        </w:tc>
        <w:tc>
          <w:tcPr>
            <w:tcW w:w="1418" w:type="dxa"/>
            <w:shd w:val="clear" w:color="auto" w:fill="C2D69B"/>
            <w:noWrap/>
            <w:vAlign w:val="bottom"/>
            <w:hideMark/>
          </w:tcPr>
          <w:p w:rsidR="00291E20" w:rsidRPr="00916BFA" w:rsidRDefault="00291E20" w:rsidP="005E09F4">
            <w:pPr>
              <w:pStyle w:val="BCSTabletext"/>
            </w:pPr>
            <w:r w:rsidRPr="00916BFA">
              <w:t>6.31%</w:t>
            </w:r>
          </w:p>
        </w:tc>
        <w:tc>
          <w:tcPr>
            <w:tcW w:w="1417" w:type="dxa"/>
            <w:shd w:val="clear" w:color="auto" w:fill="C2D69B"/>
            <w:noWrap/>
            <w:vAlign w:val="bottom"/>
            <w:hideMark/>
          </w:tcPr>
          <w:p w:rsidR="00291E20" w:rsidRPr="00916BFA" w:rsidRDefault="00291E20" w:rsidP="005E09F4">
            <w:pPr>
              <w:pStyle w:val="BCSTabletext"/>
            </w:pPr>
            <w:r w:rsidRPr="00916BFA">
              <w:t>0.00%</w:t>
            </w:r>
          </w:p>
        </w:tc>
      </w:tr>
      <w:tr w:rsidR="00291E20" w:rsidRPr="00916BFA" w:rsidTr="00291E20">
        <w:trPr>
          <w:trHeight w:val="285"/>
        </w:trPr>
        <w:tc>
          <w:tcPr>
            <w:tcW w:w="3239"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Increased attainment</w:t>
            </w:r>
          </w:p>
        </w:tc>
        <w:tc>
          <w:tcPr>
            <w:tcW w:w="1418"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6.31%</w:t>
            </w:r>
          </w:p>
        </w:tc>
        <w:tc>
          <w:tcPr>
            <w:tcW w:w="1276"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40.54%</w:t>
            </w:r>
          </w:p>
        </w:tc>
        <w:tc>
          <w:tcPr>
            <w:tcW w:w="1275"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46.85%</w:t>
            </w:r>
          </w:p>
        </w:tc>
        <w:tc>
          <w:tcPr>
            <w:tcW w:w="1418"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4.50%</w:t>
            </w:r>
          </w:p>
        </w:tc>
        <w:tc>
          <w:tcPr>
            <w:tcW w:w="1417"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0.00%</w:t>
            </w:r>
          </w:p>
        </w:tc>
      </w:tr>
      <w:tr w:rsidR="00291E20" w:rsidRPr="00916BFA" w:rsidTr="00291E20">
        <w:trPr>
          <w:trHeight w:val="570"/>
        </w:trPr>
        <w:tc>
          <w:tcPr>
            <w:tcW w:w="3239" w:type="dxa"/>
            <w:shd w:val="clear" w:color="auto" w:fill="C2D69B"/>
            <w:vAlign w:val="bottom"/>
            <w:hideMark/>
          </w:tcPr>
          <w:p w:rsidR="00291E20" w:rsidRPr="00916BFA" w:rsidRDefault="00291E20" w:rsidP="005E09F4">
            <w:pPr>
              <w:pStyle w:val="BCSTabletext"/>
            </w:pPr>
            <w:r w:rsidRPr="00916BFA">
              <w:t>Increased</w:t>
            </w:r>
            <w:r w:rsidRPr="00916BFA">
              <w:br/>
              <w:t>retention</w:t>
            </w:r>
          </w:p>
        </w:tc>
        <w:tc>
          <w:tcPr>
            <w:tcW w:w="1418" w:type="dxa"/>
            <w:shd w:val="clear" w:color="auto" w:fill="C2D69B"/>
            <w:noWrap/>
            <w:vAlign w:val="bottom"/>
            <w:hideMark/>
          </w:tcPr>
          <w:p w:rsidR="00291E20" w:rsidRPr="00916BFA" w:rsidRDefault="00291E20" w:rsidP="005E09F4">
            <w:pPr>
              <w:pStyle w:val="BCSTabletext"/>
            </w:pPr>
            <w:r w:rsidRPr="00916BFA">
              <w:t>7.21%</w:t>
            </w:r>
          </w:p>
        </w:tc>
        <w:tc>
          <w:tcPr>
            <w:tcW w:w="1276" w:type="dxa"/>
            <w:shd w:val="clear" w:color="auto" w:fill="C2D69B"/>
            <w:noWrap/>
            <w:vAlign w:val="bottom"/>
            <w:hideMark/>
          </w:tcPr>
          <w:p w:rsidR="00291E20" w:rsidRPr="00916BFA" w:rsidRDefault="00291E20" w:rsidP="005E09F4">
            <w:pPr>
              <w:pStyle w:val="BCSTabletext"/>
            </w:pPr>
            <w:r w:rsidRPr="00916BFA">
              <w:t>35.14%</w:t>
            </w:r>
          </w:p>
        </w:tc>
        <w:tc>
          <w:tcPr>
            <w:tcW w:w="1275" w:type="dxa"/>
            <w:shd w:val="clear" w:color="auto" w:fill="C2D69B"/>
            <w:noWrap/>
            <w:vAlign w:val="bottom"/>
            <w:hideMark/>
          </w:tcPr>
          <w:p w:rsidR="00291E20" w:rsidRPr="00916BFA" w:rsidRDefault="00291E20" w:rsidP="005E09F4">
            <w:pPr>
              <w:pStyle w:val="BCSTabletext"/>
            </w:pPr>
            <w:r w:rsidRPr="00916BFA">
              <w:t>51.35%</w:t>
            </w:r>
          </w:p>
        </w:tc>
        <w:tc>
          <w:tcPr>
            <w:tcW w:w="1418" w:type="dxa"/>
            <w:shd w:val="clear" w:color="auto" w:fill="C2D69B"/>
            <w:noWrap/>
            <w:vAlign w:val="bottom"/>
            <w:hideMark/>
          </w:tcPr>
          <w:p w:rsidR="00291E20" w:rsidRPr="00916BFA" w:rsidRDefault="00291E20" w:rsidP="005E09F4">
            <w:pPr>
              <w:pStyle w:val="BCSTabletext"/>
            </w:pPr>
            <w:r w:rsidRPr="00916BFA">
              <w:t>4.50%</w:t>
            </w:r>
          </w:p>
        </w:tc>
        <w:tc>
          <w:tcPr>
            <w:tcW w:w="1417" w:type="dxa"/>
            <w:shd w:val="clear" w:color="auto" w:fill="C2D69B"/>
            <w:noWrap/>
            <w:vAlign w:val="bottom"/>
            <w:hideMark/>
          </w:tcPr>
          <w:p w:rsidR="00291E20" w:rsidRPr="00916BFA" w:rsidRDefault="00291E20" w:rsidP="005E09F4">
            <w:pPr>
              <w:pStyle w:val="BCSTabletext"/>
            </w:pPr>
            <w:r w:rsidRPr="00916BFA">
              <w:t>0.90%</w:t>
            </w:r>
          </w:p>
        </w:tc>
      </w:tr>
      <w:tr w:rsidR="00291E20" w:rsidRPr="00916BFA" w:rsidTr="00291E20">
        <w:trPr>
          <w:trHeight w:val="570"/>
        </w:trPr>
        <w:tc>
          <w:tcPr>
            <w:tcW w:w="3239" w:type="dxa"/>
            <w:tcBorders>
              <w:bottom w:val="single" w:sz="4" w:space="0" w:color="4F6228"/>
            </w:tcBorders>
            <w:shd w:val="clear" w:color="auto" w:fill="auto"/>
            <w:vAlign w:val="bottom"/>
            <w:hideMark/>
          </w:tcPr>
          <w:p w:rsidR="00291E20" w:rsidRPr="00916BFA" w:rsidRDefault="00291E20" w:rsidP="005E09F4">
            <w:pPr>
              <w:pStyle w:val="BCSTabletext"/>
            </w:pPr>
            <w:r w:rsidRPr="00916BFA">
              <w:t>Learner</w:t>
            </w:r>
            <w:r w:rsidRPr="00916BFA">
              <w:br/>
              <w:t>progression</w:t>
            </w:r>
          </w:p>
        </w:tc>
        <w:tc>
          <w:tcPr>
            <w:tcW w:w="1418"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7.21%</w:t>
            </w:r>
          </w:p>
        </w:tc>
        <w:tc>
          <w:tcPr>
            <w:tcW w:w="1276"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40.54%</w:t>
            </w:r>
          </w:p>
        </w:tc>
        <w:tc>
          <w:tcPr>
            <w:tcW w:w="1275"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46.85%</w:t>
            </w:r>
          </w:p>
        </w:tc>
        <w:tc>
          <w:tcPr>
            <w:tcW w:w="1418"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1.80%</w:t>
            </w:r>
          </w:p>
        </w:tc>
        <w:tc>
          <w:tcPr>
            <w:tcW w:w="1417"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1.80%</w:t>
            </w:r>
          </w:p>
        </w:tc>
      </w:tr>
      <w:tr w:rsidR="00291E20" w:rsidRPr="00916BFA" w:rsidTr="00291E20">
        <w:trPr>
          <w:trHeight w:val="570"/>
        </w:trPr>
        <w:tc>
          <w:tcPr>
            <w:tcW w:w="3239" w:type="dxa"/>
            <w:shd w:val="clear" w:color="auto" w:fill="C2D69B"/>
            <w:vAlign w:val="bottom"/>
            <w:hideMark/>
          </w:tcPr>
          <w:p w:rsidR="00291E20" w:rsidRPr="00916BFA" w:rsidRDefault="00291E20" w:rsidP="005E09F4">
            <w:pPr>
              <w:pStyle w:val="BCSTabletext"/>
            </w:pPr>
            <w:r w:rsidRPr="00916BFA">
              <w:t>Easier tracking</w:t>
            </w:r>
            <w:r w:rsidRPr="00916BFA">
              <w:br/>
              <w:t>of progress</w:t>
            </w:r>
          </w:p>
        </w:tc>
        <w:tc>
          <w:tcPr>
            <w:tcW w:w="1418" w:type="dxa"/>
            <w:shd w:val="clear" w:color="auto" w:fill="C2D69B"/>
            <w:noWrap/>
            <w:vAlign w:val="bottom"/>
            <w:hideMark/>
          </w:tcPr>
          <w:p w:rsidR="00291E20" w:rsidRPr="00916BFA" w:rsidRDefault="00291E20" w:rsidP="005E09F4">
            <w:pPr>
              <w:pStyle w:val="BCSTabletext"/>
            </w:pPr>
            <w:r w:rsidRPr="00916BFA">
              <w:t>12.61%</w:t>
            </w:r>
          </w:p>
        </w:tc>
        <w:tc>
          <w:tcPr>
            <w:tcW w:w="1276" w:type="dxa"/>
            <w:shd w:val="clear" w:color="auto" w:fill="C2D69B"/>
            <w:noWrap/>
            <w:vAlign w:val="bottom"/>
            <w:hideMark/>
          </w:tcPr>
          <w:p w:rsidR="00291E20" w:rsidRPr="00916BFA" w:rsidRDefault="00291E20" w:rsidP="005E09F4">
            <w:pPr>
              <w:pStyle w:val="BCSTabletext"/>
            </w:pPr>
            <w:r w:rsidRPr="00916BFA">
              <w:t>52.25%</w:t>
            </w:r>
          </w:p>
        </w:tc>
        <w:tc>
          <w:tcPr>
            <w:tcW w:w="1275" w:type="dxa"/>
            <w:shd w:val="clear" w:color="auto" w:fill="C2D69B"/>
            <w:noWrap/>
            <w:vAlign w:val="bottom"/>
            <w:hideMark/>
          </w:tcPr>
          <w:p w:rsidR="00291E20" w:rsidRPr="00916BFA" w:rsidRDefault="00291E20" w:rsidP="005E09F4">
            <w:pPr>
              <w:pStyle w:val="BCSTabletext"/>
            </w:pPr>
            <w:r w:rsidRPr="00916BFA">
              <w:t>28.83%</w:t>
            </w:r>
          </w:p>
        </w:tc>
        <w:tc>
          <w:tcPr>
            <w:tcW w:w="1418" w:type="dxa"/>
            <w:shd w:val="clear" w:color="auto" w:fill="C2D69B"/>
            <w:noWrap/>
            <w:vAlign w:val="bottom"/>
            <w:hideMark/>
          </w:tcPr>
          <w:p w:rsidR="00291E20" w:rsidRPr="00916BFA" w:rsidRDefault="00291E20" w:rsidP="005E09F4">
            <w:pPr>
              <w:pStyle w:val="BCSTabletext"/>
            </w:pPr>
            <w:r w:rsidRPr="00916BFA">
              <w:t>3.60%</w:t>
            </w:r>
          </w:p>
        </w:tc>
        <w:tc>
          <w:tcPr>
            <w:tcW w:w="1417" w:type="dxa"/>
            <w:shd w:val="clear" w:color="auto" w:fill="C2D69B"/>
            <w:noWrap/>
            <w:vAlign w:val="bottom"/>
            <w:hideMark/>
          </w:tcPr>
          <w:p w:rsidR="00291E20" w:rsidRPr="00916BFA" w:rsidRDefault="00291E20" w:rsidP="005E09F4">
            <w:pPr>
              <w:pStyle w:val="BCSTabletext"/>
            </w:pPr>
            <w:r w:rsidRPr="00916BFA">
              <w:t>0.90%</w:t>
            </w:r>
          </w:p>
        </w:tc>
      </w:tr>
      <w:tr w:rsidR="00291E20" w:rsidRPr="00916BFA" w:rsidTr="00291E20">
        <w:trPr>
          <w:trHeight w:val="570"/>
        </w:trPr>
        <w:tc>
          <w:tcPr>
            <w:tcW w:w="3239" w:type="dxa"/>
            <w:shd w:val="clear" w:color="auto" w:fill="auto"/>
            <w:vAlign w:val="bottom"/>
            <w:hideMark/>
          </w:tcPr>
          <w:p w:rsidR="00291E20" w:rsidRPr="00916BFA" w:rsidRDefault="00291E20" w:rsidP="005E09F4">
            <w:pPr>
              <w:pStyle w:val="BCSTabletext"/>
            </w:pPr>
            <w:r w:rsidRPr="00916BFA">
              <w:t>Improved quality</w:t>
            </w:r>
            <w:r w:rsidRPr="00916BFA">
              <w:br/>
              <w:t>of learning</w:t>
            </w:r>
          </w:p>
        </w:tc>
        <w:tc>
          <w:tcPr>
            <w:tcW w:w="1418" w:type="dxa"/>
            <w:shd w:val="clear" w:color="auto" w:fill="auto"/>
            <w:noWrap/>
            <w:vAlign w:val="bottom"/>
            <w:hideMark/>
          </w:tcPr>
          <w:p w:rsidR="00291E20" w:rsidRPr="00916BFA" w:rsidRDefault="00291E20" w:rsidP="005E09F4">
            <w:pPr>
              <w:pStyle w:val="BCSTabletext"/>
            </w:pPr>
            <w:r w:rsidRPr="00916BFA">
              <w:t>20.72%</w:t>
            </w:r>
          </w:p>
        </w:tc>
        <w:tc>
          <w:tcPr>
            <w:tcW w:w="1276" w:type="dxa"/>
            <w:shd w:val="clear" w:color="auto" w:fill="auto"/>
            <w:noWrap/>
            <w:vAlign w:val="bottom"/>
            <w:hideMark/>
          </w:tcPr>
          <w:p w:rsidR="00291E20" w:rsidRPr="00916BFA" w:rsidRDefault="00291E20" w:rsidP="005E09F4">
            <w:pPr>
              <w:pStyle w:val="BCSTabletext"/>
            </w:pPr>
            <w:r w:rsidRPr="00916BFA">
              <w:t>68.47%</w:t>
            </w:r>
          </w:p>
        </w:tc>
        <w:tc>
          <w:tcPr>
            <w:tcW w:w="1275" w:type="dxa"/>
            <w:shd w:val="clear" w:color="auto" w:fill="auto"/>
            <w:noWrap/>
            <w:vAlign w:val="bottom"/>
            <w:hideMark/>
          </w:tcPr>
          <w:p w:rsidR="00291E20" w:rsidRPr="00916BFA" w:rsidRDefault="00291E20" w:rsidP="005E09F4">
            <w:pPr>
              <w:pStyle w:val="BCSTabletext"/>
            </w:pPr>
            <w:r w:rsidRPr="00916BFA">
              <w:t>9.91%</w:t>
            </w:r>
          </w:p>
        </w:tc>
        <w:tc>
          <w:tcPr>
            <w:tcW w:w="1418" w:type="dxa"/>
            <w:shd w:val="clear" w:color="auto" w:fill="auto"/>
            <w:noWrap/>
            <w:vAlign w:val="bottom"/>
            <w:hideMark/>
          </w:tcPr>
          <w:p w:rsidR="00291E20" w:rsidRPr="00916BFA" w:rsidRDefault="00291E20" w:rsidP="005E09F4">
            <w:pPr>
              <w:pStyle w:val="BCSTabletext"/>
            </w:pPr>
            <w:r w:rsidRPr="00916BFA">
              <w:t>0.90%</w:t>
            </w:r>
          </w:p>
        </w:tc>
        <w:tc>
          <w:tcPr>
            <w:tcW w:w="1417" w:type="dxa"/>
            <w:shd w:val="clear" w:color="auto" w:fill="auto"/>
            <w:noWrap/>
            <w:vAlign w:val="bottom"/>
            <w:hideMark/>
          </w:tcPr>
          <w:p w:rsidR="00291E20" w:rsidRPr="00916BFA" w:rsidRDefault="00291E20" w:rsidP="005E09F4">
            <w:pPr>
              <w:pStyle w:val="BCSTabletext"/>
            </w:pPr>
            <w:r w:rsidRPr="00916BFA">
              <w:t>0.00%</w:t>
            </w:r>
          </w:p>
        </w:tc>
      </w:tr>
    </w:tbl>
    <w:p w:rsidR="00291E20" w:rsidRPr="0077753A" w:rsidRDefault="00291E20" w:rsidP="005E09F4">
      <w:pPr>
        <w:pStyle w:val="BCSTabletextafter"/>
      </w:pPr>
      <w:r w:rsidRPr="0077753A">
        <w:t>(</w:t>
      </w:r>
      <w:r>
        <w:t xml:space="preserve">NB: </w:t>
      </w:r>
      <w:r w:rsidRPr="0077753A">
        <w:t>Table excludes figures for ‘not applicable’ and ‘no reply’)</w:t>
      </w:r>
    </w:p>
    <w:p w:rsidR="00291E20" w:rsidRDefault="00291E20" w:rsidP="005E09F4">
      <w:pPr>
        <w:pStyle w:val="BCSParagraph"/>
      </w:pPr>
      <w:r>
        <w:t>Overall, 76.23% of all VCS/ WEA responses (across all of the imp</w:t>
      </w:r>
      <w:r w:rsidR="001A5516">
        <w:t xml:space="preserve">act statements) agreed that technology </w:t>
      </w:r>
      <w:r>
        <w:t xml:space="preserve">had had a positive impact upon the experience of their learners; </w:t>
      </w:r>
      <w:r w:rsidR="0072603A">
        <w:t>(44.25% agree, and 31.98% strongly agree)</w:t>
      </w:r>
      <w:r>
        <w:t xml:space="preserve">.  Beyond this, 16.34% of all possible responses fell within the ‘don’t know’ category, whilst </w:t>
      </w:r>
      <w:r w:rsidR="0072603A">
        <w:t>2.85% fell within ‘disagree’.</w:t>
      </w:r>
    </w:p>
    <w:p w:rsidR="00291E20" w:rsidRDefault="00291E20" w:rsidP="005E09F4">
      <w:pPr>
        <w:pStyle w:val="BCSParagraph"/>
      </w:pPr>
      <w:r>
        <w:t>When looking at the case-level data (</w:t>
      </w:r>
      <w:hyperlink w:anchor="_Table_8:_Level" w:history="1">
        <w:r w:rsidRPr="00CC1978">
          <w:rPr>
            <w:rStyle w:val="Hyperlink"/>
          </w:rPr>
          <w:t>table 8</w:t>
        </w:r>
      </w:hyperlink>
      <w:r>
        <w:t>), the greater proportion of respondents within 11 of the 13 categories indicated that they agreed that ILT had had a positive impact upon their learners, whilst the greater proportion of respondents within the remaining two categories strongly agreed with the statements.  These were:</w:t>
      </w:r>
    </w:p>
    <w:p w:rsidR="0072603A" w:rsidRDefault="0072603A" w:rsidP="0072603A">
      <w:pPr>
        <w:pStyle w:val="BCSBulletparagraph"/>
      </w:pPr>
      <w:r>
        <w:t>Creative teaching and learning, and Improved quality of learning (53.93% in each case)</w:t>
      </w:r>
    </w:p>
    <w:p w:rsidR="0072603A" w:rsidRDefault="0072603A" w:rsidP="0072603A">
      <w:pPr>
        <w:pStyle w:val="BCSBulletparagraph"/>
      </w:pPr>
      <w:r>
        <w:t>Access to relevant digital content (52.81%)</w:t>
      </w:r>
    </w:p>
    <w:p w:rsidR="0072603A" w:rsidRDefault="0072603A" w:rsidP="005E09F4">
      <w:pPr>
        <w:pStyle w:val="BCSBulletparagraph"/>
      </w:pPr>
      <w:r>
        <w:t>Learner progression (48.31%)</w:t>
      </w:r>
    </w:p>
    <w:p w:rsidR="00291E20" w:rsidRDefault="00291E20" w:rsidP="005E09F4">
      <w:pPr>
        <w:pStyle w:val="BCSBulletparagraph"/>
      </w:pPr>
      <w:r>
        <w:t>Fl</w:t>
      </w:r>
      <w:r w:rsidR="0072603A">
        <w:t xml:space="preserve">exibility of delivery </w:t>
      </w:r>
      <w:r>
        <w:t>and</w:t>
      </w:r>
      <w:r w:rsidR="0072603A">
        <w:t xml:space="preserve"> Easier tracking of progression (47.19%)</w:t>
      </w:r>
    </w:p>
    <w:p w:rsidR="0072603A" w:rsidRDefault="0072603A" w:rsidP="0072603A">
      <w:pPr>
        <w:pStyle w:val="BCSBulletparagraph"/>
      </w:pPr>
      <w:r>
        <w:t>Improved engagement and enjoyment (46.07%)</w:t>
      </w:r>
    </w:p>
    <w:p w:rsidR="0072603A" w:rsidRDefault="0072603A" w:rsidP="0072603A">
      <w:pPr>
        <w:pStyle w:val="BCSBulletparagraph"/>
      </w:pPr>
      <w:r>
        <w:t>Increased retention (42.70%)</w:t>
      </w:r>
    </w:p>
    <w:p w:rsidR="0072603A" w:rsidRDefault="0072603A" w:rsidP="0072603A">
      <w:pPr>
        <w:pStyle w:val="BCSBulletparagraph"/>
      </w:pPr>
      <w:r>
        <w:t>Improved assessment (41.57%)</w:t>
      </w:r>
    </w:p>
    <w:p w:rsidR="0072603A" w:rsidRDefault="0072603A" w:rsidP="0072603A">
      <w:pPr>
        <w:pStyle w:val="BCSBulletparagraph"/>
      </w:pPr>
      <w:r>
        <w:t>Increased attainment (40.45%)</w:t>
      </w:r>
    </w:p>
    <w:p w:rsidR="00291E20" w:rsidRDefault="00291E20" w:rsidP="0072603A">
      <w:pPr>
        <w:pStyle w:val="BCSBulletparagraph"/>
      </w:pPr>
      <w:r>
        <w:t>Increased quality of information (39.33%)</w:t>
      </w:r>
    </w:p>
    <w:p w:rsidR="00291E20" w:rsidRDefault="00291E20" w:rsidP="001A5516">
      <w:pPr>
        <w:pStyle w:val="BCSBulletparagraph"/>
      </w:pPr>
      <w:r>
        <w:t>Availability of personalized learning space, and wider variety of subjects (34.83% in each case)</w:t>
      </w:r>
    </w:p>
    <w:p w:rsidR="0072603A" w:rsidRDefault="0072603A" w:rsidP="0072603A">
      <w:pPr>
        <w:pStyle w:val="BCSBulletparagraph"/>
        <w:numPr>
          <w:ilvl w:val="0"/>
          <w:numId w:val="0"/>
        </w:numPr>
        <w:ind w:left="1077"/>
      </w:pPr>
    </w:p>
    <w:p w:rsidR="00291E20" w:rsidRDefault="00291E20" w:rsidP="005E09F4">
      <w:pPr>
        <w:pStyle w:val="BCSBulletparagraph"/>
      </w:pPr>
      <w:r>
        <w:t>The areas within which the ‘not sure’ responses were the highest were;</w:t>
      </w:r>
    </w:p>
    <w:p w:rsidR="00291E20" w:rsidRDefault="00291E20" w:rsidP="001A5516">
      <w:pPr>
        <w:pStyle w:val="BCSBulletlevel2"/>
      </w:pPr>
      <w:r>
        <w:t>Increased retention (30.34%)</w:t>
      </w:r>
    </w:p>
    <w:p w:rsidR="00291E20" w:rsidRDefault="00291E20" w:rsidP="001A5516">
      <w:pPr>
        <w:pStyle w:val="BCSBulletlevel2"/>
      </w:pPr>
      <w:r>
        <w:t>Increased attainment (28.09%), and</w:t>
      </w:r>
    </w:p>
    <w:p w:rsidR="00291E20" w:rsidRDefault="00291E20" w:rsidP="001A5516">
      <w:pPr>
        <w:pStyle w:val="BCSBulletlevel2"/>
      </w:pPr>
      <w:r>
        <w:t>Learner progression (26.97</w:t>
      </w:r>
      <w:r w:rsidR="002E3FCD">
        <w:t>%</w:t>
      </w:r>
      <w:r>
        <w:t>)</w:t>
      </w:r>
    </w:p>
    <w:p w:rsidR="00291E20" w:rsidRDefault="00291E20" w:rsidP="00291E20">
      <w:pPr>
        <w:contextualSpacing/>
      </w:pPr>
    </w:p>
    <w:p w:rsidR="00291E20" w:rsidRDefault="001A5516" w:rsidP="005E09F4">
      <w:pPr>
        <w:pStyle w:val="BCSParagraph"/>
      </w:pPr>
      <w:r>
        <w:t>R</w:t>
      </w:r>
      <w:r w:rsidR="00291E20">
        <w:t>espondents disagreeing with the impact statements were less than 3% in each area, with the exception of availability of personali</w:t>
      </w:r>
      <w:r w:rsidR="00F64B30">
        <w:t>zed learning space, and that technology</w:t>
      </w:r>
      <w:r w:rsidR="00291E20">
        <w:t xml:space="preserve"> enabled </w:t>
      </w:r>
      <w:r w:rsidR="00F64B30">
        <w:t xml:space="preserve">the provision of </w:t>
      </w:r>
      <w:r w:rsidR="00291E20">
        <w:t xml:space="preserve">a wider variety of subjects (11.24% in each case).  </w:t>
      </w:r>
    </w:p>
    <w:p w:rsidR="00291E20" w:rsidRDefault="00291E20" w:rsidP="00291E20"/>
    <w:p w:rsidR="00291E20" w:rsidRDefault="00291E20" w:rsidP="005E09F4">
      <w:pPr>
        <w:pStyle w:val="BCSTableheadings"/>
      </w:pPr>
      <w:bookmarkStart w:id="59" w:name="_Table_7:_Level"/>
      <w:bookmarkStart w:id="60" w:name="_Table_8:_Level"/>
      <w:bookmarkStart w:id="61" w:name="_Toc256332145"/>
      <w:bookmarkEnd w:id="59"/>
      <w:bookmarkEnd w:id="60"/>
      <w:r w:rsidRPr="00E43F9B">
        <w:t xml:space="preserve">Table </w:t>
      </w:r>
      <w:r>
        <w:t>8</w:t>
      </w:r>
      <w:r w:rsidRPr="00E43F9B">
        <w:t xml:space="preserve">: Level of </w:t>
      </w:r>
      <w:r>
        <w:t xml:space="preserve">VCS/ WEA </w:t>
      </w:r>
      <w:r w:rsidRPr="00E43F9B">
        <w:t>respondent agreement with potential positive impacts upon the learner experience</w:t>
      </w:r>
      <w:bookmarkEnd w:id="61"/>
    </w:p>
    <w:tbl>
      <w:tblPr>
        <w:tblW w:w="10964" w:type="dxa"/>
        <w:tblInd w:w="-795"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tblPr>
      <w:tblGrid>
        <w:gridCol w:w="3026"/>
        <w:gridCol w:w="1984"/>
        <w:gridCol w:w="1701"/>
        <w:gridCol w:w="1701"/>
        <w:gridCol w:w="1418"/>
        <w:gridCol w:w="1134"/>
      </w:tblGrid>
      <w:tr w:rsidR="00291E20" w:rsidRPr="00916BFA" w:rsidTr="00291E20">
        <w:trPr>
          <w:trHeight w:val="285"/>
        </w:trPr>
        <w:tc>
          <w:tcPr>
            <w:tcW w:w="3026" w:type="dxa"/>
            <w:shd w:val="clear" w:color="auto" w:fill="76923C"/>
            <w:noWrap/>
            <w:vAlign w:val="bottom"/>
            <w:hideMark/>
          </w:tcPr>
          <w:p w:rsidR="00291E20" w:rsidRPr="00916BFA" w:rsidRDefault="00291E20" w:rsidP="005E09F4">
            <w:pPr>
              <w:pStyle w:val="BCSTabletext"/>
            </w:pPr>
            <w:r>
              <w:t>Learner impact areas</w:t>
            </w:r>
          </w:p>
        </w:tc>
        <w:tc>
          <w:tcPr>
            <w:tcW w:w="1984" w:type="dxa"/>
            <w:shd w:val="clear" w:color="auto" w:fill="76923C"/>
            <w:noWrap/>
            <w:vAlign w:val="bottom"/>
            <w:hideMark/>
          </w:tcPr>
          <w:p w:rsidR="00291E20" w:rsidRPr="00916BFA" w:rsidRDefault="00291E20" w:rsidP="005E09F4">
            <w:pPr>
              <w:pStyle w:val="BCSTabletext"/>
            </w:pPr>
            <w:r w:rsidRPr="00916BFA">
              <w:t>Strongly agree</w:t>
            </w:r>
          </w:p>
        </w:tc>
        <w:tc>
          <w:tcPr>
            <w:tcW w:w="1701" w:type="dxa"/>
            <w:shd w:val="clear" w:color="auto" w:fill="76923C"/>
            <w:noWrap/>
            <w:vAlign w:val="bottom"/>
            <w:hideMark/>
          </w:tcPr>
          <w:p w:rsidR="00291E20" w:rsidRPr="00916BFA" w:rsidRDefault="00291E20" w:rsidP="005E09F4">
            <w:pPr>
              <w:pStyle w:val="BCSTabletext"/>
            </w:pPr>
            <w:r w:rsidRPr="00916BFA">
              <w:t>Agree</w:t>
            </w:r>
          </w:p>
        </w:tc>
        <w:tc>
          <w:tcPr>
            <w:tcW w:w="1701" w:type="dxa"/>
            <w:shd w:val="clear" w:color="auto" w:fill="76923C"/>
            <w:noWrap/>
            <w:vAlign w:val="bottom"/>
            <w:hideMark/>
          </w:tcPr>
          <w:p w:rsidR="00291E20" w:rsidRPr="00916BFA" w:rsidRDefault="00291E20" w:rsidP="005E09F4">
            <w:pPr>
              <w:pStyle w:val="BCSTabletext"/>
            </w:pPr>
            <w:r w:rsidRPr="00916BFA">
              <w:t>Not sure</w:t>
            </w:r>
          </w:p>
        </w:tc>
        <w:tc>
          <w:tcPr>
            <w:tcW w:w="1418" w:type="dxa"/>
            <w:shd w:val="clear" w:color="auto" w:fill="76923C"/>
            <w:noWrap/>
            <w:vAlign w:val="bottom"/>
            <w:hideMark/>
          </w:tcPr>
          <w:p w:rsidR="00291E20" w:rsidRPr="00916BFA" w:rsidRDefault="00291E20" w:rsidP="005E09F4">
            <w:pPr>
              <w:pStyle w:val="BCSTabletext"/>
            </w:pPr>
            <w:r w:rsidRPr="00916BFA">
              <w:t>Disagree</w:t>
            </w:r>
          </w:p>
        </w:tc>
        <w:tc>
          <w:tcPr>
            <w:tcW w:w="1134" w:type="dxa"/>
            <w:shd w:val="clear" w:color="auto" w:fill="76923C"/>
            <w:noWrap/>
            <w:vAlign w:val="bottom"/>
            <w:hideMark/>
          </w:tcPr>
          <w:p w:rsidR="00291E20" w:rsidRPr="00C0592D" w:rsidRDefault="00291E20" w:rsidP="005E09F4">
            <w:pPr>
              <w:pStyle w:val="BCSTabletext"/>
            </w:pPr>
            <w:r w:rsidRPr="00C0592D">
              <w:t>N/A</w:t>
            </w:r>
          </w:p>
        </w:tc>
      </w:tr>
      <w:tr w:rsidR="00291E20" w:rsidRPr="00916BFA" w:rsidTr="00291E20">
        <w:trPr>
          <w:trHeight w:val="285"/>
        </w:trPr>
        <w:tc>
          <w:tcPr>
            <w:tcW w:w="3026"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Flexibility of delivery</w:t>
            </w:r>
          </w:p>
        </w:tc>
        <w:tc>
          <w:tcPr>
            <w:tcW w:w="1984"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47.19%</w:t>
            </w:r>
          </w:p>
        </w:tc>
        <w:tc>
          <w:tcPr>
            <w:tcW w:w="1701"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40.45%</w:t>
            </w:r>
          </w:p>
        </w:tc>
        <w:tc>
          <w:tcPr>
            <w:tcW w:w="1701"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6.74%</w:t>
            </w:r>
          </w:p>
        </w:tc>
        <w:tc>
          <w:tcPr>
            <w:tcW w:w="1418"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2.25%</w:t>
            </w:r>
          </w:p>
        </w:tc>
        <w:tc>
          <w:tcPr>
            <w:tcW w:w="1134" w:type="dxa"/>
            <w:tcBorders>
              <w:bottom w:val="single" w:sz="4" w:space="0" w:color="4F6228"/>
            </w:tcBorders>
            <w:shd w:val="clear" w:color="auto" w:fill="auto"/>
            <w:noWrap/>
            <w:vAlign w:val="bottom"/>
            <w:hideMark/>
          </w:tcPr>
          <w:p w:rsidR="00291E20" w:rsidRPr="00C0592D" w:rsidRDefault="00291E20" w:rsidP="005E09F4">
            <w:pPr>
              <w:pStyle w:val="BCSTabletext"/>
            </w:pPr>
            <w:r w:rsidRPr="00C0592D">
              <w:t>3.37%</w:t>
            </w:r>
          </w:p>
        </w:tc>
      </w:tr>
      <w:tr w:rsidR="00291E20" w:rsidRPr="00916BFA" w:rsidTr="00291E20">
        <w:trPr>
          <w:trHeight w:val="285"/>
        </w:trPr>
        <w:tc>
          <w:tcPr>
            <w:tcW w:w="3026" w:type="dxa"/>
            <w:shd w:val="clear" w:color="auto" w:fill="C2D69B"/>
            <w:noWrap/>
            <w:vAlign w:val="bottom"/>
            <w:hideMark/>
          </w:tcPr>
          <w:p w:rsidR="00291E20" w:rsidRPr="00916BFA" w:rsidRDefault="00291E20" w:rsidP="005E09F4">
            <w:pPr>
              <w:pStyle w:val="BCSTabletext"/>
            </w:pPr>
            <w:r w:rsidRPr="00916BFA">
              <w:t>Creative teaching and learning</w:t>
            </w:r>
          </w:p>
        </w:tc>
        <w:tc>
          <w:tcPr>
            <w:tcW w:w="1984" w:type="dxa"/>
            <w:shd w:val="clear" w:color="auto" w:fill="C2D69B"/>
            <w:noWrap/>
            <w:vAlign w:val="bottom"/>
            <w:hideMark/>
          </w:tcPr>
          <w:p w:rsidR="00291E20" w:rsidRPr="00916BFA" w:rsidRDefault="00291E20" w:rsidP="005E09F4">
            <w:pPr>
              <w:pStyle w:val="BCSTabletext"/>
            </w:pPr>
            <w:r w:rsidRPr="00916BFA">
              <w:t>38.20%</w:t>
            </w:r>
          </w:p>
        </w:tc>
        <w:tc>
          <w:tcPr>
            <w:tcW w:w="1701" w:type="dxa"/>
            <w:shd w:val="clear" w:color="auto" w:fill="C2D69B"/>
            <w:noWrap/>
            <w:vAlign w:val="bottom"/>
            <w:hideMark/>
          </w:tcPr>
          <w:p w:rsidR="00291E20" w:rsidRPr="00916BFA" w:rsidRDefault="00291E20" w:rsidP="005E09F4">
            <w:pPr>
              <w:pStyle w:val="BCSTabletext"/>
            </w:pPr>
            <w:r w:rsidRPr="00916BFA">
              <w:t>53.93%</w:t>
            </w:r>
          </w:p>
        </w:tc>
        <w:tc>
          <w:tcPr>
            <w:tcW w:w="1701" w:type="dxa"/>
            <w:shd w:val="clear" w:color="auto" w:fill="C2D69B"/>
            <w:noWrap/>
            <w:vAlign w:val="bottom"/>
            <w:hideMark/>
          </w:tcPr>
          <w:p w:rsidR="00291E20" w:rsidRPr="00916BFA" w:rsidRDefault="00291E20" w:rsidP="005E09F4">
            <w:pPr>
              <w:pStyle w:val="BCSTabletext"/>
            </w:pPr>
            <w:r w:rsidRPr="00916BFA">
              <w:t>3.37%</w:t>
            </w:r>
          </w:p>
        </w:tc>
        <w:tc>
          <w:tcPr>
            <w:tcW w:w="1418" w:type="dxa"/>
            <w:shd w:val="clear" w:color="auto" w:fill="C2D69B"/>
            <w:noWrap/>
            <w:vAlign w:val="bottom"/>
            <w:hideMark/>
          </w:tcPr>
          <w:p w:rsidR="00291E20" w:rsidRPr="00916BFA" w:rsidRDefault="00291E20" w:rsidP="005E09F4">
            <w:pPr>
              <w:pStyle w:val="BCSTabletext"/>
            </w:pPr>
            <w:r w:rsidRPr="00916BFA">
              <w:t>0.00%</w:t>
            </w:r>
          </w:p>
        </w:tc>
        <w:tc>
          <w:tcPr>
            <w:tcW w:w="1134" w:type="dxa"/>
            <w:shd w:val="clear" w:color="auto" w:fill="C2D69B"/>
            <w:noWrap/>
            <w:vAlign w:val="bottom"/>
            <w:hideMark/>
          </w:tcPr>
          <w:p w:rsidR="00291E20" w:rsidRPr="00C0592D" w:rsidRDefault="00291E20" w:rsidP="005E09F4">
            <w:pPr>
              <w:pStyle w:val="BCSTabletext"/>
            </w:pPr>
            <w:r w:rsidRPr="00C0592D">
              <w:t>3.37%</w:t>
            </w:r>
          </w:p>
        </w:tc>
      </w:tr>
      <w:tr w:rsidR="00291E20" w:rsidRPr="00916BFA" w:rsidTr="00291E20">
        <w:trPr>
          <w:trHeight w:val="570"/>
        </w:trPr>
        <w:tc>
          <w:tcPr>
            <w:tcW w:w="3026" w:type="dxa"/>
            <w:tcBorders>
              <w:bottom w:val="single" w:sz="4" w:space="0" w:color="4F6228"/>
            </w:tcBorders>
            <w:shd w:val="clear" w:color="auto" w:fill="auto"/>
            <w:vAlign w:val="bottom"/>
            <w:hideMark/>
          </w:tcPr>
          <w:p w:rsidR="00291E20" w:rsidRPr="00916BFA" w:rsidRDefault="00291E20" w:rsidP="005E09F4">
            <w:pPr>
              <w:pStyle w:val="BCSTabletext"/>
            </w:pPr>
            <w:r w:rsidRPr="00916BFA">
              <w:t xml:space="preserve">Wider variety </w:t>
            </w:r>
            <w:r w:rsidRPr="00916BFA">
              <w:br/>
              <w:t>of subjects</w:t>
            </w:r>
          </w:p>
        </w:tc>
        <w:tc>
          <w:tcPr>
            <w:tcW w:w="1984"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31.46%</w:t>
            </w:r>
          </w:p>
        </w:tc>
        <w:tc>
          <w:tcPr>
            <w:tcW w:w="1701"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34.83%</w:t>
            </w:r>
          </w:p>
        </w:tc>
        <w:tc>
          <w:tcPr>
            <w:tcW w:w="1701"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16.85%</w:t>
            </w:r>
          </w:p>
        </w:tc>
        <w:tc>
          <w:tcPr>
            <w:tcW w:w="1418"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11.24%</w:t>
            </w:r>
          </w:p>
        </w:tc>
        <w:tc>
          <w:tcPr>
            <w:tcW w:w="1134" w:type="dxa"/>
            <w:tcBorders>
              <w:bottom w:val="single" w:sz="4" w:space="0" w:color="4F6228"/>
            </w:tcBorders>
            <w:shd w:val="clear" w:color="auto" w:fill="auto"/>
            <w:noWrap/>
            <w:vAlign w:val="bottom"/>
            <w:hideMark/>
          </w:tcPr>
          <w:p w:rsidR="00291E20" w:rsidRPr="00C0592D" w:rsidRDefault="00291E20" w:rsidP="005E09F4">
            <w:pPr>
              <w:pStyle w:val="BCSTabletext"/>
            </w:pPr>
            <w:r w:rsidRPr="00C0592D">
              <w:t>5.62%</w:t>
            </w:r>
          </w:p>
        </w:tc>
      </w:tr>
      <w:tr w:rsidR="00291E20" w:rsidRPr="00916BFA" w:rsidTr="00291E20">
        <w:trPr>
          <w:trHeight w:val="285"/>
        </w:trPr>
        <w:tc>
          <w:tcPr>
            <w:tcW w:w="3026" w:type="dxa"/>
            <w:shd w:val="clear" w:color="auto" w:fill="C2D69B"/>
            <w:noWrap/>
            <w:vAlign w:val="bottom"/>
            <w:hideMark/>
          </w:tcPr>
          <w:p w:rsidR="00291E20" w:rsidRPr="00916BFA" w:rsidRDefault="00291E20" w:rsidP="005E09F4">
            <w:pPr>
              <w:pStyle w:val="BCSTabletext"/>
            </w:pPr>
            <w:r w:rsidRPr="00916BFA">
              <w:t>Access to relevant digital content</w:t>
            </w:r>
          </w:p>
        </w:tc>
        <w:tc>
          <w:tcPr>
            <w:tcW w:w="1984" w:type="dxa"/>
            <w:shd w:val="clear" w:color="auto" w:fill="C2D69B"/>
            <w:noWrap/>
            <w:vAlign w:val="bottom"/>
            <w:hideMark/>
          </w:tcPr>
          <w:p w:rsidR="00291E20" w:rsidRPr="00916BFA" w:rsidRDefault="00291E20" w:rsidP="005E09F4">
            <w:pPr>
              <w:pStyle w:val="BCSTabletext"/>
            </w:pPr>
            <w:r w:rsidRPr="00916BFA">
              <w:t>32.58%</w:t>
            </w:r>
          </w:p>
        </w:tc>
        <w:tc>
          <w:tcPr>
            <w:tcW w:w="1701" w:type="dxa"/>
            <w:shd w:val="clear" w:color="auto" w:fill="C2D69B"/>
            <w:noWrap/>
            <w:vAlign w:val="bottom"/>
            <w:hideMark/>
          </w:tcPr>
          <w:p w:rsidR="00291E20" w:rsidRPr="00916BFA" w:rsidRDefault="00291E20" w:rsidP="005E09F4">
            <w:pPr>
              <w:pStyle w:val="BCSTabletext"/>
            </w:pPr>
            <w:r w:rsidRPr="00916BFA">
              <w:t>52.81%</w:t>
            </w:r>
          </w:p>
        </w:tc>
        <w:tc>
          <w:tcPr>
            <w:tcW w:w="1701" w:type="dxa"/>
            <w:shd w:val="clear" w:color="auto" w:fill="C2D69B"/>
            <w:noWrap/>
            <w:vAlign w:val="bottom"/>
            <w:hideMark/>
          </w:tcPr>
          <w:p w:rsidR="00291E20" w:rsidRPr="00916BFA" w:rsidRDefault="00291E20" w:rsidP="005E09F4">
            <w:pPr>
              <w:pStyle w:val="BCSTabletext"/>
            </w:pPr>
            <w:r w:rsidRPr="00916BFA">
              <w:t>8.99%</w:t>
            </w:r>
          </w:p>
        </w:tc>
        <w:tc>
          <w:tcPr>
            <w:tcW w:w="1418" w:type="dxa"/>
            <w:shd w:val="clear" w:color="auto" w:fill="C2D69B"/>
            <w:noWrap/>
            <w:vAlign w:val="bottom"/>
            <w:hideMark/>
          </w:tcPr>
          <w:p w:rsidR="00291E20" w:rsidRPr="00916BFA" w:rsidRDefault="00291E20" w:rsidP="005E09F4">
            <w:pPr>
              <w:pStyle w:val="BCSTabletext"/>
            </w:pPr>
            <w:r w:rsidRPr="00916BFA">
              <w:t>1.12%</w:t>
            </w:r>
          </w:p>
        </w:tc>
        <w:tc>
          <w:tcPr>
            <w:tcW w:w="1134" w:type="dxa"/>
            <w:shd w:val="clear" w:color="auto" w:fill="C2D69B"/>
            <w:noWrap/>
            <w:vAlign w:val="bottom"/>
            <w:hideMark/>
          </w:tcPr>
          <w:p w:rsidR="00291E20" w:rsidRPr="00C0592D" w:rsidRDefault="00291E20" w:rsidP="005E09F4">
            <w:pPr>
              <w:pStyle w:val="BCSTabletext"/>
            </w:pPr>
            <w:r w:rsidRPr="00C0592D">
              <w:t>3.37%</w:t>
            </w:r>
          </w:p>
        </w:tc>
      </w:tr>
      <w:tr w:rsidR="00291E20" w:rsidRPr="00916BFA" w:rsidTr="00291E20">
        <w:trPr>
          <w:trHeight w:val="285"/>
        </w:trPr>
        <w:tc>
          <w:tcPr>
            <w:tcW w:w="3026"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Increased quality of information</w:t>
            </w:r>
          </w:p>
        </w:tc>
        <w:tc>
          <w:tcPr>
            <w:tcW w:w="1984"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39.33%</w:t>
            </w:r>
          </w:p>
        </w:tc>
        <w:tc>
          <w:tcPr>
            <w:tcW w:w="1701"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38.20%</w:t>
            </w:r>
          </w:p>
        </w:tc>
        <w:tc>
          <w:tcPr>
            <w:tcW w:w="1701"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17.98%</w:t>
            </w:r>
          </w:p>
        </w:tc>
        <w:tc>
          <w:tcPr>
            <w:tcW w:w="1418"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2.25%</w:t>
            </w:r>
          </w:p>
        </w:tc>
        <w:tc>
          <w:tcPr>
            <w:tcW w:w="1134" w:type="dxa"/>
            <w:tcBorders>
              <w:bottom w:val="single" w:sz="4" w:space="0" w:color="4F6228"/>
            </w:tcBorders>
            <w:shd w:val="clear" w:color="auto" w:fill="auto"/>
            <w:noWrap/>
            <w:vAlign w:val="bottom"/>
            <w:hideMark/>
          </w:tcPr>
          <w:p w:rsidR="00291E20" w:rsidRPr="00C0592D" w:rsidRDefault="00291E20" w:rsidP="005E09F4">
            <w:pPr>
              <w:pStyle w:val="BCSTabletext"/>
            </w:pPr>
            <w:r w:rsidRPr="00C0592D">
              <w:t>2.25%</w:t>
            </w:r>
          </w:p>
        </w:tc>
      </w:tr>
      <w:tr w:rsidR="00291E20" w:rsidRPr="00916BFA" w:rsidTr="00291E20">
        <w:trPr>
          <w:trHeight w:val="285"/>
        </w:trPr>
        <w:tc>
          <w:tcPr>
            <w:tcW w:w="3026" w:type="dxa"/>
            <w:shd w:val="clear" w:color="auto" w:fill="C2D69B"/>
            <w:noWrap/>
            <w:vAlign w:val="bottom"/>
            <w:hideMark/>
          </w:tcPr>
          <w:p w:rsidR="00291E20" w:rsidRPr="00916BFA" w:rsidRDefault="00291E20" w:rsidP="005E09F4">
            <w:pPr>
              <w:pStyle w:val="BCSTabletext"/>
            </w:pPr>
            <w:r w:rsidRPr="00916BFA">
              <w:t>Availability of personalised learning space</w:t>
            </w:r>
          </w:p>
        </w:tc>
        <w:tc>
          <w:tcPr>
            <w:tcW w:w="1984" w:type="dxa"/>
            <w:shd w:val="clear" w:color="auto" w:fill="C2D69B"/>
            <w:noWrap/>
            <w:vAlign w:val="bottom"/>
            <w:hideMark/>
          </w:tcPr>
          <w:p w:rsidR="00291E20" w:rsidRPr="00916BFA" w:rsidRDefault="00291E20" w:rsidP="005E09F4">
            <w:pPr>
              <w:pStyle w:val="BCSTabletext"/>
            </w:pPr>
            <w:r w:rsidRPr="00916BFA">
              <w:t>17.98%</w:t>
            </w:r>
          </w:p>
        </w:tc>
        <w:tc>
          <w:tcPr>
            <w:tcW w:w="1701" w:type="dxa"/>
            <w:shd w:val="clear" w:color="auto" w:fill="C2D69B"/>
            <w:noWrap/>
            <w:vAlign w:val="bottom"/>
            <w:hideMark/>
          </w:tcPr>
          <w:p w:rsidR="00291E20" w:rsidRPr="00916BFA" w:rsidRDefault="00291E20" w:rsidP="005E09F4">
            <w:pPr>
              <w:pStyle w:val="BCSTabletext"/>
            </w:pPr>
            <w:r w:rsidRPr="00916BFA">
              <w:t>34.83%</w:t>
            </w:r>
          </w:p>
        </w:tc>
        <w:tc>
          <w:tcPr>
            <w:tcW w:w="1701" w:type="dxa"/>
            <w:shd w:val="clear" w:color="auto" w:fill="C2D69B"/>
            <w:noWrap/>
            <w:vAlign w:val="bottom"/>
            <w:hideMark/>
          </w:tcPr>
          <w:p w:rsidR="00291E20" w:rsidRPr="00916BFA" w:rsidRDefault="00291E20" w:rsidP="005E09F4">
            <w:pPr>
              <w:pStyle w:val="BCSTabletext"/>
            </w:pPr>
            <w:r w:rsidRPr="00916BFA">
              <w:t>23.60%</w:t>
            </w:r>
          </w:p>
        </w:tc>
        <w:tc>
          <w:tcPr>
            <w:tcW w:w="1418" w:type="dxa"/>
            <w:shd w:val="clear" w:color="auto" w:fill="C2D69B"/>
            <w:noWrap/>
            <w:vAlign w:val="bottom"/>
            <w:hideMark/>
          </w:tcPr>
          <w:p w:rsidR="00291E20" w:rsidRPr="00916BFA" w:rsidRDefault="00291E20" w:rsidP="005E09F4">
            <w:pPr>
              <w:pStyle w:val="BCSTabletext"/>
            </w:pPr>
            <w:r w:rsidRPr="00916BFA">
              <w:t>11.24%</w:t>
            </w:r>
          </w:p>
        </w:tc>
        <w:tc>
          <w:tcPr>
            <w:tcW w:w="1134" w:type="dxa"/>
            <w:shd w:val="clear" w:color="auto" w:fill="C2D69B"/>
            <w:noWrap/>
            <w:vAlign w:val="bottom"/>
            <w:hideMark/>
          </w:tcPr>
          <w:p w:rsidR="00291E20" w:rsidRPr="00C0592D" w:rsidRDefault="00291E20" w:rsidP="005E09F4">
            <w:pPr>
              <w:pStyle w:val="BCSTabletext"/>
            </w:pPr>
            <w:r w:rsidRPr="00C0592D">
              <w:t>11.24%</w:t>
            </w:r>
          </w:p>
        </w:tc>
      </w:tr>
      <w:tr w:rsidR="00291E20" w:rsidRPr="00916BFA" w:rsidTr="00291E20">
        <w:trPr>
          <w:trHeight w:val="285"/>
        </w:trPr>
        <w:tc>
          <w:tcPr>
            <w:tcW w:w="3026" w:type="dxa"/>
            <w:tcBorders>
              <w:bottom w:val="single" w:sz="4" w:space="0" w:color="4F6228"/>
            </w:tcBorders>
            <w:shd w:val="clear" w:color="auto" w:fill="auto"/>
            <w:noWrap/>
            <w:vAlign w:val="bottom"/>
            <w:hideMark/>
          </w:tcPr>
          <w:p w:rsidR="00291E20" w:rsidRPr="00916BFA" w:rsidRDefault="00291E20" w:rsidP="005E09F4">
            <w:pPr>
              <w:pStyle w:val="BCSTabletext"/>
            </w:pPr>
            <w:r w:rsidRPr="00C0592D">
              <w:t>Improve en</w:t>
            </w:r>
            <w:r w:rsidRPr="00916BFA">
              <w:t>gagement and enjoyment</w:t>
            </w:r>
          </w:p>
        </w:tc>
        <w:tc>
          <w:tcPr>
            <w:tcW w:w="1984"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41.57%</w:t>
            </w:r>
          </w:p>
        </w:tc>
        <w:tc>
          <w:tcPr>
            <w:tcW w:w="1701"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46.07%</w:t>
            </w:r>
          </w:p>
        </w:tc>
        <w:tc>
          <w:tcPr>
            <w:tcW w:w="1701"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7.87%</w:t>
            </w:r>
          </w:p>
        </w:tc>
        <w:tc>
          <w:tcPr>
            <w:tcW w:w="1418"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1.12%</w:t>
            </w:r>
          </w:p>
        </w:tc>
        <w:tc>
          <w:tcPr>
            <w:tcW w:w="1134" w:type="dxa"/>
            <w:tcBorders>
              <w:bottom w:val="single" w:sz="4" w:space="0" w:color="4F6228"/>
            </w:tcBorders>
            <w:shd w:val="clear" w:color="auto" w:fill="auto"/>
            <w:noWrap/>
            <w:vAlign w:val="bottom"/>
            <w:hideMark/>
          </w:tcPr>
          <w:p w:rsidR="00291E20" w:rsidRPr="00C0592D" w:rsidRDefault="00291E20" w:rsidP="005E09F4">
            <w:pPr>
              <w:pStyle w:val="BCSTabletext"/>
            </w:pPr>
            <w:r w:rsidRPr="00C0592D">
              <w:t>2.25%</w:t>
            </w:r>
          </w:p>
        </w:tc>
      </w:tr>
      <w:tr w:rsidR="00291E20" w:rsidRPr="00916BFA" w:rsidTr="00291E20">
        <w:trPr>
          <w:trHeight w:val="285"/>
        </w:trPr>
        <w:tc>
          <w:tcPr>
            <w:tcW w:w="3026" w:type="dxa"/>
            <w:shd w:val="clear" w:color="auto" w:fill="C2D69B"/>
            <w:noWrap/>
            <w:vAlign w:val="bottom"/>
            <w:hideMark/>
          </w:tcPr>
          <w:p w:rsidR="00291E20" w:rsidRPr="00916BFA" w:rsidRDefault="00291E20" w:rsidP="005E09F4">
            <w:pPr>
              <w:pStyle w:val="BCSTabletext"/>
            </w:pPr>
            <w:r w:rsidRPr="00916BFA">
              <w:t>Improved assessment</w:t>
            </w:r>
          </w:p>
        </w:tc>
        <w:tc>
          <w:tcPr>
            <w:tcW w:w="1984" w:type="dxa"/>
            <w:shd w:val="clear" w:color="auto" w:fill="C2D69B"/>
            <w:noWrap/>
            <w:vAlign w:val="bottom"/>
            <w:hideMark/>
          </w:tcPr>
          <w:p w:rsidR="00291E20" w:rsidRPr="00916BFA" w:rsidRDefault="00291E20" w:rsidP="005E09F4">
            <w:pPr>
              <w:pStyle w:val="BCSTabletext"/>
            </w:pPr>
            <w:r w:rsidRPr="00916BFA">
              <w:t>31.46%</w:t>
            </w:r>
          </w:p>
        </w:tc>
        <w:tc>
          <w:tcPr>
            <w:tcW w:w="1701" w:type="dxa"/>
            <w:shd w:val="clear" w:color="auto" w:fill="C2D69B"/>
            <w:noWrap/>
            <w:vAlign w:val="bottom"/>
            <w:hideMark/>
          </w:tcPr>
          <w:p w:rsidR="00291E20" w:rsidRPr="00916BFA" w:rsidRDefault="00291E20" w:rsidP="005E09F4">
            <w:pPr>
              <w:pStyle w:val="BCSTabletext"/>
            </w:pPr>
            <w:r w:rsidRPr="00916BFA">
              <w:t>41.57%</w:t>
            </w:r>
          </w:p>
        </w:tc>
        <w:tc>
          <w:tcPr>
            <w:tcW w:w="1701" w:type="dxa"/>
            <w:shd w:val="clear" w:color="auto" w:fill="C2D69B"/>
            <w:noWrap/>
            <w:vAlign w:val="bottom"/>
            <w:hideMark/>
          </w:tcPr>
          <w:p w:rsidR="00291E20" w:rsidRPr="00916BFA" w:rsidRDefault="00291E20" w:rsidP="005E09F4">
            <w:pPr>
              <w:pStyle w:val="BCSTabletext"/>
            </w:pPr>
            <w:r w:rsidRPr="00916BFA">
              <w:t>17.98%</w:t>
            </w:r>
          </w:p>
        </w:tc>
        <w:tc>
          <w:tcPr>
            <w:tcW w:w="1418" w:type="dxa"/>
            <w:shd w:val="clear" w:color="auto" w:fill="C2D69B"/>
            <w:noWrap/>
            <w:vAlign w:val="bottom"/>
            <w:hideMark/>
          </w:tcPr>
          <w:p w:rsidR="00291E20" w:rsidRPr="00916BFA" w:rsidRDefault="00291E20" w:rsidP="005E09F4">
            <w:pPr>
              <w:pStyle w:val="BCSTabletext"/>
            </w:pPr>
            <w:r w:rsidRPr="00916BFA">
              <w:t>2.25%</w:t>
            </w:r>
          </w:p>
        </w:tc>
        <w:tc>
          <w:tcPr>
            <w:tcW w:w="1134" w:type="dxa"/>
            <w:shd w:val="clear" w:color="auto" w:fill="C2D69B"/>
            <w:noWrap/>
            <w:vAlign w:val="bottom"/>
            <w:hideMark/>
          </w:tcPr>
          <w:p w:rsidR="00291E20" w:rsidRPr="00C0592D" w:rsidRDefault="00291E20" w:rsidP="005E09F4">
            <w:pPr>
              <w:pStyle w:val="BCSTabletext"/>
            </w:pPr>
            <w:r w:rsidRPr="00C0592D">
              <w:t>5.62%</w:t>
            </w:r>
          </w:p>
        </w:tc>
      </w:tr>
      <w:tr w:rsidR="00291E20" w:rsidRPr="00916BFA" w:rsidTr="00291E20">
        <w:trPr>
          <w:trHeight w:val="285"/>
        </w:trPr>
        <w:tc>
          <w:tcPr>
            <w:tcW w:w="3026"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Increased attainment</w:t>
            </w:r>
          </w:p>
        </w:tc>
        <w:tc>
          <w:tcPr>
            <w:tcW w:w="1984"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28.09%</w:t>
            </w:r>
          </w:p>
        </w:tc>
        <w:tc>
          <w:tcPr>
            <w:tcW w:w="1701"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40.45%</w:t>
            </w:r>
          </w:p>
        </w:tc>
        <w:tc>
          <w:tcPr>
            <w:tcW w:w="1701"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28.09%</w:t>
            </w:r>
          </w:p>
        </w:tc>
        <w:tc>
          <w:tcPr>
            <w:tcW w:w="1418"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0.00%</w:t>
            </w:r>
          </w:p>
        </w:tc>
        <w:tc>
          <w:tcPr>
            <w:tcW w:w="1134" w:type="dxa"/>
            <w:tcBorders>
              <w:bottom w:val="single" w:sz="4" w:space="0" w:color="4F6228"/>
            </w:tcBorders>
            <w:shd w:val="clear" w:color="auto" w:fill="auto"/>
            <w:noWrap/>
            <w:vAlign w:val="bottom"/>
            <w:hideMark/>
          </w:tcPr>
          <w:p w:rsidR="00291E20" w:rsidRPr="00C0592D" w:rsidRDefault="00291E20" w:rsidP="005E09F4">
            <w:pPr>
              <w:pStyle w:val="BCSTabletext"/>
            </w:pPr>
            <w:r w:rsidRPr="00C0592D">
              <w:t>2.25%</w:t>
            </w:r>
          </w:p>
        </w:tc>
      </w:tr>
      <w:tr w:rsidR="00291E20" w:rsidRPr="00916BFA" w:rsidTr="00291E20">
        <w:trPr>
          <w:trHeight w:val="570"/>
        </w:trPr>
        <w:tc>
          <w:tcPr>
            <w:tcW w:w="3026" w:type="dxa"/>
            <w:shd w:val="clear" w:color="auto" w:fill="C2D69B"/>
            <w:vAlign w:val="bottom"/>
            <w:hideMark/>
          </w:tcPr>
          <w:p w:rsidR="00291E20" w:rsidRPr="00916BFA" w:rsidRDefault="00291E20" w:rsidP="005E09F4">
            <w:pPr>
              <w:pStyle w:val="BCSTabletext"/>
            </w:pPr>
            <w:r w:rsidRPr="00916BFA">
              <w:t>Increased</w:t>
            </w:r>
            <w:r w:rsidRPr="00916BFA">
              <w:br/>
              <w:t>retention</w:t>
            </w:r>
          </w:p>
        </w:tc>
        <w:tc>
          <w:tcPr>
            <w:tcW w:w="1984" w:type="dxa"/>
            <w:shd w:val="clear" w:color="auto" w:fill="C2D69B"/>
            <w:noWrap/>
            <w:vAlign w:val="bottom"/>
            <w:hideMark/>
          </w:tcPr>
          <w:p w:rsidR="00291E20" w:rsidRPr="00916BFA" w:rsidRDefault="00291E20" w:rsidP="005E09F4">
            <w:pPr>
              <w:pStyle w:val="BCSTabletext"/>
            </w:pPr>
            <w:r w:rsidRPr="00916BFA">
              <w:t>22.47%</w:t>
            </w:r>
          </w:p>
        </w:tc>
        <w:tc>
          <w:tcPr>
            <w:tcW w:w="1701" w:type="dxa"/>
            <w:shd w:val="clear" w:color="auto" w:fill="C2D69B"/>
            <w:noWrap/>
            <w:vAlign w:val="bottom"/>
            <w:hideMark/>
          </w:tcPr>
          <w:p w:rsidR="00291E20" w:rsidRPr="00916BFA" w:rsidRDefault="00291E20" w:rsidP="005E09F4">
            <w:pPr>
              <w:pStyle w:val="BCSTabletext"/>
            </w:pPr>
            <w:r w:rsidRPr="00916BFA">
              <w:t>42.70%</w:t>
            </w:r>
          </w:p>
        </w:tc>
        <w:tc>
          <w:tcPr>
            <w:tcW w:w="1701" w:type="dxa"/>
            <w:shd w:val="clear" w:color="auto" w:fill="C2D69B"/>
            <w:noWrap/>
            <w:vAlign w:val="bottom"/>
            <w:hideMark/>
          </w:tcPr>
          <w:p w:rsidR="00291E20" w:rsidRPr="00916BFA" w:rsidRDefault="00291E20" w:rsidP="005E09F4">
            <w:pPr>
              <w:pStyle w:val="BCSTabletext"/>
            </w:pPr>
            <w:r w:rsidRPr="00916BFA">
              <w:t>30.34%</w:t>
            </w:r>
          </w:p>
        </w:tc>
        <w:tc>
          <w:tcPr>
            <w:tcW w:w="1418" w:type="dxa"/>
            <w:shd w:val="clear" w:color="auto" w:fill="C2D69B"/>
            <w:noWrap/>
            <w:vAlign w:val="bottom"/>
            <w:hideMark/>
          </w:tcPr>
          <w:p w:rsidR="00291E20" w:rsidRPr="00916BFA" w:rsidRDefault="00291E20" w:rsidP="005E09F4">
            <w:pPr>
              <w:pStyle w:val="BCSTabletext"/>
            </w:pPr>
            <w:r w:rsidRPr="00916BFA">
              <w:t>1.12%</w:t>
            </w:r>
          </w:p>
        </w:tc>
        <w:tc>
          <w:tcPr>
            <w:tcW w:w="1134" w:type="dxa"/>
            <w:shd w:val="clear" w:color="auto" w:fill="C2D69B"/>
            <w:noWrap/>
            <w:vAlign w:val="bottom"/>
            <w:hideMark/>
          </w:tcPr>
          <w:p w:rsidR="00291E20" w:rsidRPr="00C0592D" w:rsidRDefault="00291E20" w:rsidP="005E09F4">
            <w:pPr>
              <w:pStyle w:val="BCSTabletext"/>
            </w:pPr>
            <w:r w:rsidRPr="00C0592D">
              <w:t>2.25%</w:t>
            </w:r>
          </w:p>
        </w:tc>
      </w:tr>
      <w:tr w:rsidR="00291E20" w:rsidRPr="00916BFA" w:rsidTr="00291E20">
        <w:trPr>
          <w:trHeight w:val="570"/>
        </w:trPr>
        <w:tc>
          <w:tcPr>
            <w:tcW w:w="3026" w:type="dxa"/>
            <w:tcBorders>
              <w:bottom w:val="single" w:sz="4" w:space="0" w:color="4F6228"/>
            </w:tcBorders>
            <w:shd w:val="clear" w:color="auto" w:fill="auto"/>
            <w:vAlign w:val="bottom"/>
            <w:hideMark/>
          </w:tcPr>
          <w:p w:rsidR="00291E20" w:rsidRPr="00916BFA" w:rsidRDefault="00291E20" w:rsidP="005E09F4">
            <w:pPr>
              <w:pStyle w:val="BCSTabletext"/>
            </w:pPr>
            <w:r w:rsidRPr="00916BFA">
              <w:t>Learner</w:t>
            </w:r>
            <w:r w:rsidRPr="00916BFA">
              <w:br/>
              <w:t>progression</w:t>
            </w:r>
          </w:p>
        </w:tc>
        <w:tc>
          <w:tcPr>
            <w:tcW w:w="1984"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19.10%</w:t>
            </w:r>
          </w:p>
        </w:tc>
        <w:tc>
          <w:tcPr>
            <w:tcW w:w="1701"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48.31%</w:t>
            </w:r>
          </w:p>
        </w:tc>
        <w:tc>
          <w:tcPr>
            <w:tcW w:w="1701"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26.97%</w:t>
            </w:r>
          </w:p>
        </w:tc>
        <w:tc>
          <w:tcPr>
            <w:tcW w:w="1418" w:type="dxa"/>
            <w:tcBorders>
              <w:bottom w:val="single" w:sz="4" w:space="0" w:color="4F6228"/>
            </w:tcBorders>
            <w:shd w:val="clear" w:color="auto" w:fill="auto"/>
            <w:noWrap/>
            <w:vAlign w:val="bottom"/>
            <w:hideMark/>
          </w:tcPr>
          <w:p w:rsidR="00291E20" w:rsidRPr="00916BFA" w:rsidRDefault="00291E20" w:rsidP="005E09F4">
            <w:pPr>
              <w:pStyle w:val="BCSTabletext"/>
            </w:pPr>
            <w:r w:rsidRPr="00916BFA">
              <w:t>2.25%</w:t>
            </w:r>
          </w:p>
        </w:tc>
        <w:tc>
          <w:tcPr>
            <w:tcW w:w="1134" w:type="dxa"/>
            <w:tcBorders>
              <w:bottom w:val="single" w:sz="4" w:space="0" w:color="4F6228"/>
            </w:tcBorders>
            <w:shd w:val="clear" w:color="auto" w:fill="auto"/>
            <w:noWrap/>
            <w:vAlign w:val="bottom"/>
            <w:hideMark/>
          </w:tcPr>
          <w:p w:rsidR="00291E20" w:rsidRPr="00C0592D" w:rsidRDefault="00291E20" w:rsidP="005E09F4">
            <w:pPr>
              <w:pStyle w:val="BCSTabletext"/>
            </w:pPr>
            <w:r w:rsidRPr="00C0592D">
              <w:t>2.25%</w:t>
            </w:r>
          </w:p>
        </w:tc>
      </w:tr>
      <w:tr w:rsidR="00291E20" w:rsidRPr="00916BFA" w:rsidTr="00291E20">
        <w:trPr>
          <w:trHeight w:val="570"/>
        </w:trPr>
        <w:tc>
          <w:tcPr>
            <w:tcW w:w="3026" w:type="dxa"/>
            <w:shd w:val="clear" w:color="auto" w:fill="C2D69B"/>
            <w:vAlign w:val="bottom"/>
            <w:hideMark/>
          </w:tcPr>
          <w:p w:rsidR="00291E20" w:rsidRPr="00916BFA" w:rsidRDefault="00291E20" w:rsidP="005E09F4">
            <w:pPr>
              <w:pStyle w:val="BCSTabletext"/>
            </w:pPr>
            <w:r w:rsidRPr="00916BFA">
              <w:t>Easier tracking</w:t>
            </w:r>
            <w:r w:rsidRPr="00916BFA">
              <w:br/>
              <w:t>of progress</w:t>
            </w:r>
          </w:p>
        </w:tc>
        <w:tc>
          <w:tcPr>
            <w:tcW w:w="1984" w:type="dxa"/>
            <w:shd w:val="clear" w:color="auto" w:fill="C2D69B"/>
            <w:noWrap/>
            <w:vAlign w:val="bottom"/>
            <w:hideMark/>
          </w:tcPr>
          <w:p w:rsidR="00291E20" w:rsidRPr="00916BFA" w:rsidRDefault="00291E20" w:rsidP="005E09F4">
            <w:pPr>
              <w:pStyle w:val="BCSTabletext"/>
            </w:pPr>
            <w:r w:rsidRPr="00916BFA">
              <w:t>33.71%</w:t>
            </w:r>
          </w:p>
        </w:tc>
        <w:tc>
          <w:tcPr>
            <w:tcW w:w="1701" w:type="dxa"/>
            <w:shd w:val="clear" w:color="auto" w:fill="C2D69B"/>
            <w:noWrap/>
            <w:vAlign w:val="bottom"/>
            <w:hideMark/>
          </w:tcPr>
          <w:p w:rsidR="00291E20" w:rsidRPr="00916BFA" w:rsidRDefault="00291E20" w:rsidP="005E09F4">
            <w:pPr>
              <w:pStyle w:val="BCSTabletext"/>
            </w:pPr>
            <w:r w:rsidRPr="00916BFA">
              <w:t>47.19%</w:t>
            </w:r>
          </w:p>
        </w:tc>
        <w:tc>
          <w:tcPr>
            <w:tcW w:w="1701" w:type="dxa"/>
            <w:shd w:val="clear" w:color="auto" w:fill="C2D69B"/>
            <w:noWrap/>
            <w:vAlign w:val="bottom"/>
            <w:hideMark/>
          </w:tcPr>
          <w:p w:rsidR="00291E20" w:rsidRPr="00916BFA" w:rsidRDefault="00291E20" w:rsidP="005E09F4">
            <w:pPr>
              <w:pStyle w:val="BCSTabletext"/>
            </w:pPr>
            <w:r w:rsidRPr="00916BFA">
              <w:t>12.36%</w:t>
            </w:r>
          </w:p>
        </w:tc>
        <w:tc>
          <w:tcPr>
            <w:tcW w:w="1418" w:type="dxa"/>
            <w:shd w:val="clear" w:color="auto" w:fill="C2D69B"/>
            <w:noWrap/>
            <w:vAlign w:val="bottom"/>
            <w:hideMark/>
          </w:tcPr>
          <w:p w:rsidR="00291E20" w:rsidRPr="00916BFA" w:rsidRDefault="00291E20" w:rsidP="005E09F4">
            <w:pPr>
              <w:pStyle w:val="BCSTabletext"/>
            </w:pPr>
            <w:r w:rsidRPr="00916BFA">
              <w:t>2.25%</w:t>
            </w:r>
          </w:p>
        </w:tc>
        <w:tc>
          <w:tcPr>
            <w:tcW w:w="1134" w:type="dxa"/>
            <w:shd w:val="clear" w:color="auto" w:fill="C2D69B"/>
            <w:noWrap/>
            <w:vAlign w:val="bottom"/>
            <w:hideMark/>
          </w:tcPr>
          <w:p w:rsidR="00291E20" w:rsidRPr="00C0592D" w:rsidRDefault="00291E20" w:rsidP="005E09F4">
            <w:pPr>
              <w:pStyle w:val="BCSTabletext"/>
            </w:pPr>
            <w:r w:rsidRPr="00C0592D">
              <w:t>4.49%</w:t>
            </w:r>
          </w:p>
        </w:tc>
      </w:tr>
      <w:tr w:rsidR="00291E20" w:rsidRPr="00916BFA" w:rsidTr="00291E20">
        <w:trPr>
          <w:trHeight w:val="570"/>
        </w:trPr>
        <w:tc>
          <w:tcPr>
            <w:tcW w:w="3026" w:type="dxa"/>
            <w:shd w:val="clear" w:color="auto" w:fill="auto"/>
            <w:vAlign w:val="bottom"/>
            <w:hideMark/>
          </w:tcPr>
          <w:p w:rsidR="00291E20" w:rsidRPr="00916BFA" w:rsidRDefault="00291E20" w:rsidP="005E09F4">
            <w:pPr>
              <w:pStyle w:val="BCSTabletext"/>
            </w:pPr>
            <w:r w:rsidRPr="00916BFA">
              <w:t>Improved quality</w:t>
            </w:r>
            <w:r w:rsidRPr="00916BFA">
              <w:br/>
              <w:t>of learning</w:t>
            </w:r>
          </w:p>
        </w:tc>
        <w:tc>
          <w:tcPr>
            <w:tcW w:w="1984" w:type="dxa"/>
            <w:shd w:val="clear" w:color="auto" w:fill="auto"/>
            <w:noWrap/>
            <w:vAlign w:val="bottom"/>
            <w:hideMark/>
          </w:tcPr>
          <w:p w:rsidR="00291E20" w:rsidRPr="00916BFA" w:rsidRDefault="00291E20" w:rsidP="005E09F4">
            <w:pPr>
              <w:pStyle w:val="BCSTabletext"/>
            </w:pPr>
            <w:r w:rsidRPr="00916BFA">
              <w:t>32.58%</w:t>
            </w:r>
          </w:p>
        </w:tc>
        <w:tc>
          <w:tcPr>
            <w:tcW w:w="1701" w:type="dxa"/>
            <w:shd w:val="clear" w:color="auto" w:fill="auto"/>
            <w:noWrap/>
            <w:vAlign w:val="bottom"/>
            <w:hideMark/>
          </w:tcPr>
          <w:p w:rsidR="00291E20" w:rsidRPr="00916BFA" w:rsidRDefault="00291E20" w:rsidP="005E09F4">
            <w:pPr>
              <w:pStyle w:val="BCSTabletext"/>
            </w:pPr>
            <w:r w:rsidRPr="00916BFA">
              <w:t>53.93%</w:t>
            </w:r>
          </w:p>
        </w:tc>
        <w:tc>
          <w:tcPr>
            <w:tcW w:w="1701" w:type="dxa"/>
            <w:shd w:val="clear" w:color="auto" w:fill="auto"/>
            <w:noWrap/>
            <w:vAlign w:val="bottom"/>
            <w:hideMark/>
          </w:tcPr>
          <w:p w:rsidR="00291E20" w:rsidRPr="00916BFA" w:rsidRDefault="00291E20" w:rsidP="005E09F4">
            <w:pPr>
              <w:pStyle w:val="BCSTabletext"/>
            </w:pPr>
            <w:r w:rsidRPr="00916BFA">
              <w:t>11.24%</w:t>
            </w:r>
          </w:p>
        </w:tc>
        <w:tc>
          <w:tcPr>
            <w:tcW w:w="1418" w:type="dxa"/>
            <w:shd w:val="clear" w:color="auto" w:fill="auto"/>
            <w:noWrap/>
            <w:vAlign w:val="bottom"/>
            <w:hideMark/>
          </w:tcPr>
          <w:p w:rsidR="00291E20" w:rsidRPr="00916BFA" w:rsidRDefault="00291E20" w:rsidP="005E09F4">
            <w:pPr>
              <w:pStyle w:val="BCSTabletext"/>
            </w:pPr>
            <w:r w:rsidRPr="00916BFA">
              <w:t>0.00%</w:t>
            </w:r>
          </w:p>
        </w:tc>
        <w:tc>
          <w:tcPr>
            <w:tcW w:w="1134" w:type="dxa"/>
            <w:shd w:val="clear" w:color="auto" w:fill="auto"/>
            <w:noWrap/>
            <w:vAlign w:val="bottom"/>
            <w:hideMark/>
          </w:tcPr>
          <w:p w:rsidR="00291E20" w:rsidRPr="00C0592D" w:rsidRDefault="00291E20" w:rsidP="005E09F4">
            <w:pPr>
              <w:pStyle w:val="BCSTabletext"/>
            </w:pPr>
            <w:r w:rsidRPr="00C0592D">
              <w:t>1.12%</w:t>
            </w:r>
          </w:p>
        </w:tc>
      </w:tr>
    </w:tbl>
    <w:p w:rsidR="00291E20" w:rsidRDefault="00291E20" w:rsidP="005E09F4">
      <w:pPr>
        <w:pStyle w:val="BCSTabletextafter"/>
      </w:pPr>
      <w:r w:rsidRPr="0077753A">
        <w:t>(</w:t>
      </w:r>
      <w:r>
        <w:t xml:space="preserve">NB: </w:t>
      </w:r>
      <w:r w:rsidRPr="0077753A">
        <w:t>Table excludes figures for ‘no reply’)</w:t>
      </w:r>
    </w:p>
    <w:p w:rsidR="00291E20" w:rsidRDefault="00291E20" w:rsidP="005E09F4">
      <w:pPr>
        <w:pStyle w:val="BCSParagraph"/>
      </w:pPr>
      <w:r>
        <w:t xml:space="preserve">When compared with the 2008/09 survey, the categories attracting most and least agreement amongst local authorities remain broadly the same.  In terms of frequency of response, the proportion of all possible responses that ‘agreed’ that there was positive impact remained the same, however there was a slight increase in those strongly agreeing and a reduction of those disagreeing.  </w:t>
      </w:r>
    </w:p>
    <w:p w:rsidR="005E09F4" w:rsidRDefault="005E09F4" w:rsidP="005E09F4">
      <w:pPr>
        <w:pStyle w:val="BCSParagraph"/>
      </w:pPr>
    </w:p>
    <w:p w:rsidR="00291E20" w:rsidRPr="002B7384" w:rsidRDefault="00291E20" w:rsidP="005E09F4">
      <w:pPr>
        <w:pStyle w:val="Heading3"/>
        <w:rPr>
          <w:u w:val="single"/>
        </w:rPr>
      </w:pPr>
      <w:r w:rsidRPr="005E09F4">
        <w:t>Limitations to effective use of ILT and e-learning</w:t>
      </w:r>
      <w:r w:rsidRPr="002B7384">
        <w:rPr>
          <w:u w:val="single"/>
        </w:rPr>
        <w:t>:</w:t>
      </w:r>
    </w:p>
    <w:p w:rsidR="00291E20" w:rsidRDefault="00291E20" w:rsidP="005E09F4">
      <w:pPr>
        <w:pStyle w:val="BCSParagraph"/>
      </w:pPr>
      <w:r>
        <w:t xml:space="preserve">Organisations were asked to indicate, from a list of 9 factors, those which they felt prevented their ACL staff making effective use of ILT and e-learning.  </w:t>
      </w:r>
    </w:p>
    <w:p w:rsidR="00291E20" w:rsidRDefault="00291E20" w:rsidP="005E09F4">
      <w:pPr>
        <w:pStyle w:val="BCSParagraph"/>
      </w:pPr>
    </w:p>
    <w:p w:rsidR="00291E20" w:rsidRDefault="00291E20" w:rsidP="005E09F4">
      <w:pPr>
        <w:pStyle w:val="BCSParagraph"/>
      </w:pPr>
      <w:r>
        <w:t>When looking at responses at the case-level, the following can be said of local authorities (</w:t>
      </w:r>
      <w:hyperlink w:anchor="_Table_8:_Factors" w:history="1">
        <w:r w:rsidRPr="00CC1978">
          <w:rPr>
            <w:rStyle w:val="Hyperlink"/>
          </w:rPr>
          <w:t>table 9</w:t>
        </w:r>
      </w:hyperlink>
      <w:r>
        <w:t>):</w:t>
      </w:r>
    </w:p>
    <w:p w:rsidR="00291E20" w:rsidRDefault="00291E20" w:rsidP="00291E20">
      <w:pPr>
        <w:contextualSpacing/>
      </w:pPr>
    </w:p>
    <w:p w:rsidR="00291E20" w:rsidRDefault="00291E20" w:rsidP="002E3FCD">
      <w:pPr>
        <w:pStyle w:val="BCSBulletparagraph"/>
      </w:pPr>
      <w:r>
        <w:t>The two areas across which there was the highest level of agreement were those of ‘insufficient time for training’ (</w:t>
      </w:r>
      <w:r w:rsidR="002E3FCD">
        <w:t xml:space="preserve">84% </w:t>
      </w:r>
      <w:r>
        <w:t>agree), and to a lesser extent ‘inadequate infrastructure’ (</w:t>
      </w:r>
      <w:r w:rsidR="002E3FCD">
        <w:t>51%</w:t>
      </w:r>
      <w:r>
        <w:t xml:space="preserve"> agree). </w:t>
      </w:r>
    </w:p>
    <w:p w:rsidR="00291E20" w:rsidRDefault="00291E20" w:rsidP="005E09F4">
      <w:pPr>
        <w:pStyle w:val="BCSBulletparagraph"/>
      </w:pPr>
      <w:r>
        <w:t>The limitations with which the majority of people disagreed or strongly disagreed was lack of manager commitment (49.55% disagreed and 18.92% strongly disagreed), the ‘cautious approach of the providers’ (52.25% disagreed and 16.22% strongly disagreed), ‘physical security’ (53.15% disagreed and 9.01% strongly disagreed), and ‘general security’ (51.35% disagreed and 10.81% strongly disagreed).</w:t>
      </w:r>
    </w:p>
    <w:p w:rsidR="00291E20" w:rsidRDefault="00291E20" w:rsidP="005E09F4">
      <w:pPr>
        <w:pStyle w:val="BCSBulletparagraph"/>
      </w:pPr>
    </w:p>
    <w:p w:rsidR="00291E20" w:rsidRDefault="00291E20" w:rsidP="005E09F4">
      <w:pPr>
        <w:pStyle w:val="BCSBulletparagraph"/>
      </w:pPr>
      <w:r>
        <w:t xml:space="preserve">The issue of ‘insufficient training opportunities’ was the limitations which attracted the widest distribution of responses across the scale; it was agreed with strongly by 18.92% of organisations, whilst 29.73% agreed and 40.50% disagreed, whilst 5.42% disagreed strongly.  </w:t>
      </w:r>
    </w:p>
    <w:p w:rsidR="005E09F4" w:rsidRDefault="005E09F4" w:rsidP="005E09F4">
      <w:pPr>
        <w:pStyle w:val="BCSBulletparagraph"/>
      </w:pPr>
    </w:p>
    <w:p w:rsidR="00291E20" w:rsidRDefault="00291E20" w:rsidP="00291E20"/>
    <w:p w:rsidR="00291E20" w:rsidRPr="007436F0" w:rsidRDefault="00291E20" w:rsidP="005E09F4">
      <w:pPr>
        <w:pStyle w:val="BCSTableheadings"/>
        <w:rPr>
          <w:i/>
        </w:rPr>
      </w:pPr>
      <w:bookmarkStart w:id="62" w:name="_Table_8:_Factors"/>
      <w:bookmarkStart w:id="63" w:name="_Toc256332146"/>
      <w:bookmarkEnd w:id="62"/>
      <w:r>
        <w:t>Table 9</w:t>
      </w:r>
      <w:r w:rsidRPr="007436F0">
        <w:t>: Factors preventing effective use of ILT and e-learning amongst ACL staff (Local Authorities)</w:t>
      </w:r>
      <w:bookmarkEnd w:id="63"/>
    </w:p>
    <w:tbl>
      <w:tblPr>
        <w:tblW w:w="10374" w:type="dxa"/>
        <w:tblInd w:w="-495"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tblPr>
      <w:tblGrid>
        <w:gridCol w:w="3774"/>
        <w:gridCol w:w="1320"/>
        <w:gridCol w:w="1320"/>
        <w:gridCol w:w="1320"/>
        <w:gridCol w:w="1320"/>
        <w:gridCol w:w="1320"/>
      </w:tblGrid>
      <w:tr w:rsidR="00291E20" w:rsidRPr="007436F0" w:rsidTr="00291E20">
        <w:trPr>
          <w:trHeight w:val="285"/>
        </w:trPr>
        <w:tc>
          <w:tcPr>
            <w:tcW w:w="3774" w:type="dxa"/>
            <w:shd w:val="clear" w:color="auto" w:fill="76923C"/>
            <w:noWrap/>
            <w:vAlign w:val="bottom"/>
            <w:hideMark/>
          </w:tcPr>
          <w:p w:rsidR="00291E20" w:rsidRPr="00FF3F11" w:rsidRDefault="00291E20" w:rsidP="005E09F4">
            <w:pPr>
              <w:pStyle w:val="BCSTabletext"/>
            </w:pPr>
            <w:r w:rsidRPr="007436F0">
              <w:t>Factors preventing effective use of ILT</w:t>
            </w:r>
          </w:p>
        </w:tc>
        <w:tc>
          <w:tcPr>
            <w:tcW w:w="1320" w:type="dxa"/>
            <w:shd w:val="clear" w:color="auto" w:fill="76923C"/>
            <w:noWrap/>
            <w:vAlign w:val="bottom"/>
            <w:hideMark/>
          </w:tcPr>
          <w:p w:rsidR="00291E20" w:rsidRPr="00FF3F11" w:rsidRDefault="00291E20" w:rsidP="005E09F4">
            <w:pPr>
              <w:pStyle w:val="BCSTabletext"/>
            </w:pPr>
            <w:r w:rsidRPr="00FF3F11">
              <w:t>Strongly agree</w:t>
            </w:r>
          </w:p>
        </w:tc>
        <w:tc>
          <w:tcPr>
            <w:tcW w:w="1320" w:type="dxa"/>
            <w:shd w:val="clear" w:color="auto" w:fill="76923C"/>
            <w:noWrap/>
            <w:vAlign w:val="bottom"/>
            <w:hideMark/>
          </w:tcPr>
          <w:p w:rsidR="00291E20" w:rsidRPr="00FF3F11" w:rsidRDefault="00291E20" w:rsidP="005E09F4">
            <w:pPr>
              <w:pStyle w:val="BCSTabletext"/>
            </w:pPr>
            <w:r w:rsidRPr="00FF3F11">
              <w:t>Agree</w:t>
            </w:r>
          </w:p>
        </w:tc>
        <w:tc>
          <w:tcPr>
            <w:tcW w:w="1320" w:type="dxa"/>
            <w:shd w:val="clear" w:color="auto" w:fill="76923C"/>
            <w:noWrap/>
            <w:vAlign w:val="bottom"/>
            <w:hideMark/>
          </w:tcPr>
          <w:p w:rsidR="00291E20" w:rsidRPr="00FF3F11" w:rsidRDefault="00291E20" w:rsidP="005E09F4">
            <w:pPr>
              <w:pStyle w:val="BCSTabletext"/>
            </w:pPr>
            <w:r w:rsidRPr="00FF3F11">
              <w:t>Not sure</w:t>
            </w:r>
          </w:p>
        </w:tc>
        <w:tc>
          <w:tcPr>
            <w:tcW w:w="1320" w:type="dxa"/>
            <w:shd w:val="clear" w:color="auto" w:fill="76923C"/>
            <w:noWrap/>
            <w:vAlign w:val="bottom"/>
            <w:hideMark/>
          </w:tcPr>
          <w:p w:rsidR="00291E20" w:rsidRPr="00FF3F11" w:rsidRDefault="00291E20" w:rsidP="005E09F4">
            <w:pPr>
              <w:pStyle w:val="BCSTabletext"/>
            </w:pPr>
            <w:r w:rsidRPr="00FF3F11">
              <w:t>Disagree</w:t>
            </w:r>
          </w:p>
        </w:tc>
        <w:tc>
          <w:tcPr>
            <w:tcW w:w="1320" w:type="dxa"/>
            <w:shd w:val="clear" w:color="auto" w:fill="76923C"/>
            <w:noWrap/>
            <w:vAlign w:val="bottom"/>
            <w:hideMark/>
          </w:tcPr>
          <w:p w:rsidR="00291E20" w:rsidRDefault="00291E20" w:rsidP="005E09F4">
            <w:pPr>
              <w:pStyle w:val="BCSTabletext"/>
            </w:pPr>
            <w:r w:rsidRPr="00FF3F11">
              <w:t xml:space="preserve">Strongly </w:t>
            </w:r>
          </w:p>
          <w:p w:rsidR="00291E20" w:rsidRPr="00FF3F11" w:rsidRDefault="00291E20" w:rsidP="005E09F4">
            <w:pPr>
              <w:pStyle w:val="BCSTabletext"/>
            </w:pPr>
            <w:r w:rsidRPr="00FF3F11">
              <w:t>disagree</w:t>
            </w:r>
          </w:p>
        </w:tc>
      </w:tr>
      <w:tr w:rsidR="00291E20" w:rsidRPr="007436F0" w:rsidTr="00291E20">
        <w:trPr>
          <w:trHeight w:val="285"/>
        </w:trPr>
        <w:tc>
          <w:tcPr>
            <w:tcW w:w="3774"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Insufficient training opp</w:t>
            </w:r>
            <w:r w:rsidRPr="007436F0">
              <w:t>ortunities</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18.92%</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29.73%</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5.41%</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40.54%</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5.41%</w:t>
            </w:r>
          </w:p>
        </w:tc>
      </w:tr>
      <w:tr w:rsidR="00291E20" w:rsidRPr="007436F0" w:rsidTr="00291E20">
        <w:trPr>
          <w:trHeight w:val="285"/>
        </w:trPr>
        <w:tc>
          <w:tcPr>
            <w:tcW w:w="3774" w:type="dxa"/>
            <w:shd w:val="clear" w:color="auto" w:fill="C2D69B"/>
            <w:noWrap/>
            <w:vAlign w:val="bottom"/>
            <w:hideMark/>
          </w:tcPr>
          <w:p w:rsidR="00291E20" w:rsidRPr="00FF3F11" w:rsidRDefault="00291E20" w:rsidP="005E09F4">
            <w:pPr>
              <w:pStyle w:val="BCSTabletext"/>
            </w:pPr>
            <w:r w:rsidRPr="00FF3F11">
              <w:t>Lack of awareness of training</w:t>
            </w:r>
          </w:p>
        </w:tc>
        <w:tc>
          <w:tcPr>
            <w:tcW w:w="1320" w:type="dxa"/>
            <w:shd w:val="clear" w:color="auto" w:fill="C2D69B"/>
            <w:noWrap/>
            <w:vAlign w:val="bottom"/>
            <w:hideMark/>
          </w:tcPr>
          <w:p w:rsidR="00291E20" w:rsidRPr="00FF3F11" w:rsidRDefault="00291E20" w:rsidP="005E09F4">
            <w:pPr>
              <w:pStyle w:val="BCSTabletext"/>
            </w:pPr>
            <w:r w:rsidRPr="00FF3F11">
              <w:t>6.31%</w:t>
            </w:r>
          </w:p>
        </w:tc>
        <w:tc>
          <w:tcPr>
            <w:tcW w:w="1320" w:type="dxa"/>
            <w:shd w:val="clear" w:color="auto" w:fill="C2D69B"/>
            <w:noWrap/>
            <w:vAlign w:val="bottom"/>
            <w:hideMark/>
          </w:tcPr>
          <w:p w:rsidR="00291E20" w:rsidRPr="00FF3F11" w:rsidRDefault="00291E20" w:rsidP="005E09F4">
            <w:pPr>
              <w:pStyle w:val="BCSTabletext"/>
            </w:pPr>
            <w:r w:rsidRPr="00FF3F11">
              <w:t>30.63%</w:t>
            </w:r>
          </w:p>
        </w:tc>
        <w:tc>
          <w:tcPr>
            <w:tcW w:w="1320" w:type="dxa"/>
            <w:shd w:val="clear" w:color="auto" w:fill="C2D69B"/>
            <w:noWrap/>
            <w:vAlign w:val="bottom"/>
            <w:hideMark/>
          </w:tcPr>
          <w:p w:rsidR="00291E20" w:rsidRPr="00FF3F11" w:rsidRDefault="00291E20" w:rsidP="005E09F4">
            <w:pPr>
              <w:pStyle w:val="BCSTabletext"/>
            </w:pPr>
            <w:r w:rsidRPr="00FF3F11">
              <w:t>10.81%</w:t>
            </w:r>
          </w:p>
        </w:tc>
        <w:tc>
          <w:tcPr>
            <w:tcW w:w="1320" w:type="dxa"/>
            <w:shd w:val="clear" w:color="auto" w:fill="C2D69B"/>
            <w:noWrap/>
            <w:vAlign w:val="bottom"/>
            <w:hideMark/>
          </w:tcPr>
          <w:p w:rsidR="00291E20" w:rsidRPr="00FF3F11" w:rsidRDefault="00291E20" w:rsidP="005E09F4">
            <w:pPr>
              <w:pStyle w:val="BCSTabletext"/>
            </w:pPr>
            <w:r w:rsidRPr="00FF3F11">
              <w:t>49.55%</w:t>
            </w:r>
          </w:p>
        </w:tc>
        <w:tc>
          <w:tcPr>
            <w:tcW w:w="1320" w:type="dxa"/>
            <w:shd w:val="clear" w:color="auto" w:fill="C2D69B"/>
            <w:noWrap/>
            <w:vAlign w:val="bottom"/>
            <w:hideMark/>
          </w:tcPr>
          <w:p w:rsidR="00291E20" w:rsidRPr="00FF3F11" w:rsidRDefault="00291E20" w:rsidP="005E09F4">
            <w:pPr>
              <w:pStyle w:val="BCSTabletext"/>
            </w:pPr>
            <w:r w:rsidRPr="00FF3F11">
              <w:t>2.70%</w:t>
            </w:r>
          </w:p>
        </w:tc>
      </w:tr>
      <w:tr w:rsidR="00291E20" w:rsidRPr="007436F0" w:rsidTr="00291E20">
        <w:trPr>
          <w:trHeight w:val="285"/>
        </w:trPr>
        <w:tc>
          <w:tcPr>
            <w:tcW w:w="3774"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Insufficient time for training</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24.32%</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59.46%</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3.60%</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9.91%</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2.70%</w:t>
            </w:r>
          </w:p>
        </w:tc>
      </w:tr>
      <w:tr w:rsidR="00291E20" w:rsidRPr="007436F0" w:rsidTr="00291E20">
        <w:trPr>
          <w:trHeight w:val="285"/>
        </w:trPr>
        <w:tc>
          <w:tcPr>
            <w:tcW w:w="3774" w:type="dxa"/>
            <w:shd w:val="clear" w:color="auto" w:fill="C2D69B"/>
            <w:noWrap/>
            <w:vAlign w:val="bottom"/>
            <w:hideMark/>
          </w:tcPr>
          <w:p w:rsidR="00291E20" w:rsidRPr="00FF3F11" w:rsidRDefault="00291E20" w:rsidP="005E09F4">
            <w:pPr>
              <w:pStyle w:val="BCSTabletext"/>
            </w:pPr>
            <w:r w:rsidRPr="00FF3F11">
              <w:t>Inadequate infra-structure</w:t>
            </w:r>
          </w:p>
        </w:tc>
        <w:tc>
          <w:tcPr>
            <w:tcW w:w="1320" w:type="dxa"/>
            <w:shd w:val="clear" w:color="auto" w:fill="C2D69B"/>
            <w:noWrap/>
            <w:vAlign w:val="bottom"/>
            <w:hideMark/>
          </w:tcPr>
          <w:p w:rsidR="00291E20" w:rsidRPr="00FF3F11" w:rsidRDefault="00291E20" w:rsidP="005E09F4">
            <w:pPr>
              <w:pStyle w:val="BCSTabletext"/>
            </w:pPr>
            <w:r w:rsidRPr="00FF3F11">
              <w:t>16.22%</w:t>
            </w:r>
          </w:p>
        </w:tc>
        <w:tc>
          <w:tcPr>
            <w:tcW w:w="1320" w:type="dxa"/>
            <w:shd w:val="clear" w:color="auto" w:fill="C2D69B"/>
            <w:noWrap/>
            <w:vAlign w:val="bottom"/>
            <w:hideMark/>
          </w:tcPr>
          <w:p w:rsidR="00291E20" w:rsidRPr="00FF3F11" w:rsidRDefault="00291E20" w:rsidP="005E09F4">
            <w:pPr>
              <w:pStyle w:val="BCSTabletext"/>
            </w:pPr>
            <w:r w:rsidRPr="00FF3F11">
              <w:t>35.14%</w:t>
            </w:r>
          </w:p>
        </w:tc>
        <w:tc>
          <w:tcPr>
            <w:tcW w:w="1320" w:type="dxa"/>
            <w:shd w:val="clear" w:color="auto" w:fill="C2D69B"/>
            <w:noWrap/>
            <w:vAlign w:val="bottom"/>
            <w:hideMark/>
          </w:tcPr>
          <w:p w:rsidR="00291E20" w:rsidRPr="00FF3F11" w:rsidRDefault="00291E20" w:rsidP="005E09F4">
            <w:pPr>
              <w:pStyle w:val="BCSTabletext"/>
            </w:pPr>
            <w:r w:rsidRPr="00FF3F11">
              <w:t>11.71%</w:t>
            </w:r>
          </w:p>
        </w:tc>
        <w:tc>
          <w:tcPr>
            <w:tcW w:w="1320" w:type="dxa"/>
            <w:shd w:val="clear" w:color="auto" w:fill="C2D69B"/>
            <w:noWrap/>
            <w:vAlign w:val="bottom"/>
            <w:hideMark/>
          </w:tcPr>
          <w:p w:rsidR="00291E20" w:rsidRPr="00FF3F11" w:rsidRDefault="00291E20" w:rsidP="005E09F4">
            <w:pPr>
              <w:pStyle w:val="BCSTabletext"/>
            </w:pPr>
            <w:r w:rsidRPr="00FF3F11">
              <w:t>33.33%</w:t>
            </w:r>
          </w:p>
        </w:tc>
        <w:tc>
          <w:tcPr>
            <w:tcW w:w="1320" w:type="dxa"/>
            <w:shd w:val="clear" w:color="auto" w:fill="C2D69B"/>
            <w:noWrap/>
            <w:vAlign w:val="bottom"/>
            <w:hideMark/>
          </w:tcPr>
          <w:p w:rsidR="00291E20" w:rsidRPr="00FF3F11" w:rsidRDefault="00291E20" w:rsidP="005E09F4">
            <w:pPr>
              <w:pStyle w:val="BCSTabletext"/>
            </w:pPr>
            <w:r w:rsidRPr="00FF3F11">
              <w:t>2.70%</w:t>
            </w:r>
          </w:p>
        </w:tc>
      </w:tr>
      <w:tr w:rsidR="00291E20" w:rsidRPr="007436F0" w:rsidTr="00291E20">
        <w:trPr>
          <w:trHeight w:val="285"/>
        </w:trPr>
        <w:tc>
          <w:tcPr>
            <w:tcW w:w="3774"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Lack of manager commitment</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5.41%</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18.92%</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7.21%</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49.55%</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18.92%</w:t>
            </w:r>
          </w:p>
        </w:tc>
      </w:tr>
      <w:tr w:rsidR="00291E20" w:rsidRPr="007436F0" w:rsidTr="00291E20">
        <w:trPr>
          <w:trHeight w:val="285"/>
        </w:trPr>
        <w:tc>
          <w:tcPr>
            <w:tcW w:w="3774" w:type="dxa"/>
            <w:shd w:val="clear" w:color="auto" w:fill="C2D69B"/>
            <w:noWrap/>
            <w:vAlign w:val="bottom"/>
            <w:hideMark/>
          </w:tcPr>
          <w:p w:rsidR="00291E20" w:rsidRPr="00FF3F11" w:rsidRDefault="00291E20" w:rsidP="005E09F4">
            <w:pPr>
              <w:pStyle w:val="BCSTabletext"/>
            </w:pPr>
            <w:r w:rsidRPr="00FF3F11">
              <w:t>Cautious approach of provider</w:t>
            </w:r>
          </w:p>
        </w:tc>
        <w:tc>
          <w:tcPr>
            <w:tcW w:w="1320" w:type="dxa"/>
            <w:shd w:val="clear" w:color="auto" w:fill="C2D69B"/>
            <w:noWrap/>
            <w:vAlign w:val="bottom"/>
            <w:hideMark/>
          </w:tcPr>
          <w:p w:rsidR="00291E20" w:rsidRPr="00FF3F11" w:rsidRDefault="00291E20" w:rsidP="005E09F4">
            <w:pPr>
              <w:pStyle w:val="BCSTabletext"/>
            </w:pPr>
            <w:r w:rsidRPr="00FF3F11">
              <w:t>1.80%</w:t>
            </w:r>
          </w:p>
        </w:tc>
        <w:tc>
          <w:tcPr>
            <w:tcW w:w="1320" w:type="dxa"/>
            <w:shd w:val="clear" w:color="auto" w:fill="C2D69B"/>
            <w:noWrap/>
            <w:vAlign w:val="bottom"/>
            <w:hideMark/>
          </w:tcPr>
          <w:p w:rsidR="00291E20" w:rsidRPr="00FF3F11" w:rsidRDefault="00291E20" w:rsidP="005E09F4">
            <w:pPr>
              <w:pStyle w:val="BCSTabletext"/>
            </w:pPr>
            <w:r w:rsidRPr="00FF3F11">
              <w:t>20.72%</w:t>
            </w:r>
          </w:p>
        </w:tc>
        <w:tc>
          <w:tcPr>
            <w:tcW w:w="1320" w:type="dxa"/>
            <w:shd w:val="clear" w:color="auto" w:fill="C2D69B"/>
            <w:noWrap/>
            <w:vAlign w:val="bottom"/>
            <w:hideMark/>
          </w:tcPr>
          <w:p w:rsidR="00291E20" w:rsidRPr="00FF3F11" w:rsidRDefault="00291E20" w:rsidP="005E09F4">
            <w:pPr>
              <w:pStyle w:val="BCSTabletext"/>
            </w:pPr>
            <w:r w:rsidRPr="00FF3F11">
              <w:t>8.11%</w:t>
            </w:r>
          </w:p>
        </w:tc>
        <w:tc>
          <w:tcPr>
            <w:tcW w:w="1320" w:type="dxa"/>
            <w:shd w:val="clear" w:color="auto" w:fill="C2D69B"/>
            <w:noWrap/>
            <w:vAlign w:val="bottom"/>
            <w:hideMark/>
          </w:tcPr>
          <w:p w:rsidR="00291E20" w:rsidRPr="00FF3F11" w:rsidRDefault="00291E20" w:rsidP="005E09F4">
            <w:pPr>
              <w:pStyle w:val="BCSTabletext"/>
            </w:pPr>
            <w:r w:rsidRPr="00FF3F11">
              <w:t>52.25%</w:t>
            </w:r>
          </w:p>
        </w:tc>
        <w:tc>
          <w:tcPr>
            <w:tcW w:w="1320" w:type="dxa"/>
            <w:shd w:val="clear" w:color="auto" w:fill="C2D69B"/>
            <w:noWrap/>
            <w:vAlign w:val="bottom"/>
            <w:hideMark/>
          </w:tcPr>
          <w:p w:rsidR="00291E20" w:rsidRPr="00FF3F11" w:rsidRDefault="00291E20" w:rsidP="005E09F4">
            <w:pPr>
              <w:pStyle w:val="BCSTabletext"/>
            </w:pPr>
            <w:r w:rsidRPr="00FF3F11">
              <w:t>16.22%</w:t>
            </w:r>
          </w:p>
        </w:tc>
      </w:tr>
      <w:tr w:rsidR="00291E20" w:rsidRPr="007436F0" w:rsidTr="00291E20">
        <w:trPr>
          <w:trHeight w:val="285"/>
        </w:trPr>
        <w:tc>
          <w:tcPr>
            <w:tcW w:w="3774"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Physical security</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3.60%</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20.72%</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13.51%</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53.15%</w:t>
            </w:r>
          </w:p>
        </w:tc>
        <w:tc>
          <w:tcPr>
            <w:tcW w:w="1320"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9.01%</w:t>
            </w:r>
          </w:p>
        </w:tc>
      </w:tr>
      <w:tr w:rsidR="00291E20" w:rsidRPr="007436F0" w:rsidTr="00291E20">
        <w:trPr>
          <w:trHeight w:val="285"/>
        </w:trPr>
        <w:tc>
          <w:tcPr>
            <w:tcW w:w="3774" w:type="dxa"/>
            <w:shd w:val="clear" w:color="auto" w:fill="C2D69B"/>
            <w:noWrap/>
            <w:vAlign w:val="bottom"/>
            <w:hideMark/>
          </w:tcPr>
          <w:p w:rsidR="00291E20" w:rsidRPr="00FF3F11" w:rsidRDefault="00291E20" w:rsidP="005E09F4">
            <w:pPr>
              <w:pStyle w:val="BCSTabletext"/>
            </w:pPr>
            <w:r w:rsidRPr="00FF3F11">
              <w:t>Virtual security</w:t>
            </w:r>
          </w:p>
        </w:tc>
        <w:tc>
          <w:tcPr>
            <w:tcW w:w="1320" w:type="dxa"/>
            <w:shd w:val="clear" w:color="auto" w:fill="C2D69B"/>
            <w:noWrap/>
            <w:vAlign w:val="bottom"/>
            <w:hideMark/>
          </w:tcPr>
          <w:p w:rsidR="00291E20" w:rsidRPr="00FF3F11" w:rsidRDefault="00291E20" w:rsidP="005E09F4">
            <w:pPr>
              <w:pStyle w:val="BCSTabletext"/>
            </w:pPr>
            <w:r w:rsidRPr="00FF3F11">
              <w:t>4.50%</w:t>
            </w:r>
          </w:p>
        </w:tc>
        <w:tc>
          <w:tcPr>
            <w:tcW w:w="1320" w:type="dxa"/>
            <w:shd w:val="clear" w:color="auto" w:fill="C2D69B"/>
            <w:noWrap/>
            <w:vAlign w:val="bottom"/>
            <w:hideMark/>
          </w:tcPr>
          <w:p w:rsidR="00291E20" w:rsidRPr="00FF3F11" w:rsidRDefault="00291E20" w:rsidP="005E09F4">
            <w:pPr>
              <w:pStyle w:val="BCSTabletext"/>
            </w:pPr>
            <w:r w:rsidRPr="00FF3F11">
              <w:t>26.13%</w:t>
            </w:r>
          </w:p>
        </w:tc>
        <w:tc>
          <w:tcPr>
            <w:tcW w:w="1320" w:type="dxa"/>
            <w:shd w:val="clear" w:color="auto" w:fill="C2D69B"/>
            <w:noWrap/>
            <w:vAlign w:val="bottom"/>
            <w:hideMark/>
          </w:tcPr>
          <w:p w:rsidR="00291E20" w:rsidRPr="00FF3F11" w:rsidRDefault="00291E20" w:rsidP="005E09F4">
            <w:pPr>
              <w:pStyle w:val="BCSTabletext"/>
            </w:pPr>
            <w:r w:rsidRPr="00FF3F11">
              <w:t>9.01%</w:t>
            </w:r>
          </w:p>
        </w:tc>
        <w:tc>
          <w:tcPr>
            <w:tcW w:w="1320" w:type="dxa"/>
            <w:shd w:val="clear" w:color="auto" w:fill="C2D69B"/>
            <w:noWrap/>
            <w:vAlign w:val="bottom"/>
            <w:hideMark/>
          </w:tcPr>
          <w:p w:rsidR="00291E20" w:rsidRPr="00FF3F11" w:rsidRDefault="00291E20" w:rsidP="005E09F4">
            <w:pPr>
              <w:pStyle w:val="BCSTabletext"/>
            </w:pPr>
            <w:r w:rsidRPr="00FF3F11">
              <w:t>46.85%</w:t>
            </w:r>
          </w:p>
        </w:tc>
        <w:tc>
          <w:tcPr>
            <w:tcW w:w="1320" w:type="dxa"/>
            <w:shd w:val="clear" w:color="auto" w:fill="C2D69B"/>
            <w:noWrap/>
            <w:vAlign w:val="bottom"/>
            <w:hideMark/>
          </w:tcPr>
          <w:p w:rsidR="00291E20" w:rsidRPr="00FF3F11" w:rsidRDefault="00291E20" w:rsidP="005E09F4">
            <w:pPr>
              <w:pStyle w:val="BCSTabletext"/>
            </w:pPr>
            <w:r w:rsidRPr="00FF3F11">
              <w:t>11.71%</w:t>
            </w:r>
          </w:p>
        </w:tc>
      </w:tr>
      <w:tr w:rsidR="00291E20" w:rsidRPr="007436F0" w:rsidTr="00291E20">
        <w:trPr>
          <w:trHeight w:val="285"/>
        </w:trPr>
        <w:tc>
          <w:tcPr>
            <w:tcW w:w="3774" w:type="dxa"/>
            <w:shd w:val="clear" w:color="auto" w:fill="auto"/>
            <w:noWrap/>
            <w:vAlign w:val="bottom"/>
            <w:hideMark/>
          </w:tcPr>
          <w:p w:rsidR="00291E20" w:rsidRPr="00FF3F11" w:rsidRDefault="00291E20" w:rsidP="005E09F4">
            <w:pPr>
              <w:pStyle w:val="BCSTabletext"/>
            </w:pPr>
            <w:r w:rsidRPr="00FF3F11">
              <w:t>General security</w:t>
            </w:r>
          </w:p>
        </w:tc>
        <w:tc>
          <w:tcPr>
            <w:tcW w:w="1320" w:type="dxa"/>
            <w:shd w:val="clear" w:color="auto" w:fill="auto"/>
            <w:noWrap/>
            <w:vAlign w:val="bottom"/>
            <w:hideMark/>
          </w:tcPr>
          <w:p w:rsidR="00291E20" w:rsidRPr="00FF3F11" w:rsidRDefault="00291E20" w:rsidP="005E09F4">
            <w:pPr>
              <w:pStyle w:val="BCSTabletext"/>
            </w:pPr>
            <w:r w:rsidRPr="00FF3F11">
              <w:t>1.80%</w:t>
            </w:r>
          </w:p>
        </w:tc>
        <w:tc>
          <w:tcPr>
            <w:tcW w:w="1320" w:type="dxa"/>
            <w:shd w:val="clear" w:color="auto" w:fill="auto"/>
            <w:noWrap/>
            <w:vAlign w:val="bottom"/>
            <w:hideMark/>
          </w:tcPr>
          <w:p w:rsidR="00291E20" w:rsidRPr="00FF3F11" w:rsidRDefault="00291E20" w:rsidP="005E09F4">
            <w:pPr>
              <w:pStyle w:val="BCSTabletext"/>
            </w:pPr>
            <w:r w:rsidRPr="00FF3F11">
              <w:t>18.92%</w:t>
            </w:r>
          </w:p>
        </w:tc>
        <w:tc>
          <w:tcPr>
            <w:tcW w:w="1320" w:type="dxa"/>
            <w:shd w:val="clear" w:color="auto" w:fill="auto"/>
            <w:noWrap/>
            <w:vAlign w:val="bottom"/>
            <w:hideMark/>
          </w:tcPr>
          <w:p w:rsidR="00291E20" w:rsidRPr="00FF3F11" w:rsidRDefault="00291E20" w:rsidP="005E09F4">
            <w:pPr>
              <w:pStyle w:val="BCSTabletext"/>
            </w:pPr>
            <w:r w:rsidRPr="00FF3F11">
              <w:t>15.32%</w:t>
            </w:r>
          </w:p>
        </w:tc>
        <w:tc>
          <w:tcPr>
            <w:tcW w:w="1320" w:type="dxa"/>
            <w:shd w:val="clear" w:color="auto" w:fill="auto"/>
            <w:noWrap/>
            <w:vAlign w:val="bottom"/>
            <w:hideMark/>
          </w:tcPr>
          <w:p w:rsidR="00291E20" w:rsidRPr="00FF3F11" w:rsidRDefault="00291E20" w:rsidP="005E09F4">
            <w:pPr>
              <w:pStyle w:val="BCSTabletext"/>
            </w:pPr>
            <w:r w:rsidRPr="00FF3F11">
              <w:t>51.35%</w:t>
            </w:r>
          </w:p>
        </w:tc>
        <w:tc>
          <w:tcPr>
            <w:tcW w:w="1320" w:type="dxa"/>
            <w:shd w:val="clear" w:color="auto" w:fill="auto"/>
            <w:noWrap/>
            <w:vAlign w:val="bottom"/>
            <w:hideMark/>
          </w:tcPr>
          <w:p w:rsidR="00291E20" w:rsidRPr="00FF3F11" w:rsidRDefault="00291E20" w:rsidP="005E09F4">
            <w:pPr>
              <w:pStyle w:val="BCSTabletext"/>
            </w:pPr>
            <w:r w:rsidRPr="00FF3F11">
              <w:t>10.81%</w:t>
            </w:r>
          </w:p>
        </w:tc>
      </w:tr>
    </w:tbl>
    <w:p w:rsidR="00291E20" w:rsidRPr="0077753A" w:rsidRDefault="00291E20" w:rsidP="005E09F4">
      <w:pPr>
        <w:pStyle w:val="BCSTabletextafter"/>
      </w:pPr>
      <w:r w:rsidRPr="0077753A">
        <w:t>(</w:t>
      </w:r>
      <w:r>
        <w:t xml:space="preserve">NB: </w:t>
      </w:r>
      <w:r w:rsidRPr="0077753A">
        <w:t>Table excludes figures for ‘not applicable’ and ‘no reply’)</w:t>
      </w:r>
    </w:p>
    <w:p w:rsidR="00291E20" w:rsidRDefault="00291E20" w:rsidP="00291E20">
      <w:pPr>
        <w:contextualSpacing/>
      </w:pPr>
    </w:p>
    <w:p w:rsidR="00291E20" w:rsidRDefault="00291E20" w:rsidP="005E09F4">
      <w:pPr>
        <w:pStyle w:val="BCSParagraph"/>
      </w:pPr>
      <w:r>
        <w:t>When looking at the frequency of responses across all 9 listed limiting factors</w:t>
      </w:r>
      <w:r>
        <w:rPr>
          <w:rStyle w:val="FootnoteReference"/>
        </w:rPr>
        <w:footnoteReference w:id="14"/>
      </w:r>
      <w:r>
        <w:t>, the greater proportion of VCS/ WEAs expressed some level of agreement that factors limited their ACL staff’s effective use of ILT and e-learning (45.19%); 29.34% agree, and 15.86% strongly agree.  Of all possible responses, 37.45% expressed some level of disagreement that the listed factors prevented their ACL staff effectively using ILT and e-learning; 30.84% disagreed and 6.62% disagree strongly.  Overall, 13.36% of all possible responses were ‘not sure’.</w:t>
      </w:r>
    </w:p>
    <w:p w:rsidR="00291E20" w:rsidRDefault="00291E20" w:rsidP="005E09F4">
      <w:pPr>
        <w:pStyle w:val="BCSParagraph"/>
      </w:pPr>
    </w:p>
    <w:p w:rsidR="00291E20" w:rsidRDefault="00291E20" w:rsidP="005E09F4">
      <w:pPr>
        <w:pStyle w:val="BCSParagraph"/>
      </w:pPr>
      <w:r>
        <w:t>When looking at responses at the case-level, the following can be said of VCS/ WEAs (</w:t>
      </w:r>
      <w:hyperlink w:anchor="_Table_10:_Factors" w:history="1">
        <w:r w:rsidRPr="00CC1978">
          <w:rPr>
            <w:rStyle w:val="Hyperlink"/>
          </w:rPr>
          <w:t>table 10</w:t>
        </w:r>
      </w:hyperlink>
      <w:r>
        <w:t>):</w:t>
      </w:r>
    </w:p>
    <w:p w:rsidR="00291E20" w:rsidRDefault="00291E20" w:rsidP="005E09F4">
      <w:pPr>
        <w:pStyle w:val="BCSParagraph"/>
      </w:pPr>
    </w:p>
    <w:p w:rsidR="00291E20" w:rsidRDefault="00291E20" w:rsidP="005E09F4">
      <w:pPr>
        <w:pStyle w:val="BCSBulletparagraph"/>
      </w:pPr>
      <w:r>
        <w:t>The four areas across which there was the highest level of agreement were those of ‘insufficient time for training’ (55.06% agree and 29.21%), ‘lack of awareness of training opportunities’ (42.70% agree and 22.47% strongly agree), ‘inadequate infrastructure’ (39.33% agree and 24.27% strongly agree), and ‘insufficient training opportunities’ (35.96% agree and 28.09% strongly agree).</w:t>
      </w:r>
    </w:p>
    <w:p w:rsidR="00291E20" w:rsidRDefault="00291E20" w:rsidP="005E09F4">
      <w:pPr>
        <w:pStyle w:val="BCSBulletparagraph"/>
      </w:pPr>
      <w:r>
        <w:t>The two areas within which attracted the greatest levels of strong agreement were ‘insufficient time for training’ (29.21%), and ‘insufficient training opportunities’ (28.09%).</w:t>
      </w:r>
    </w:p>
    <w:p w:rsidR="00291E20" w:rsidRDefault="00291E20" w:rsidP="005E09F4">
      <w:pPr>
        <w:pStyle w:val="BCSBulletparagraph"/>
      </w:pPr>
      <w:r>
        <w:t>The largest proportion of those who indicated that they were ‘not sure’ fell within ‘cautious approach of providers’ category (28.09%).</w:t>
      </w:r>
    </w:p>
    <w:p w:rsidR="00291E20" w:rsidRDefault="00291E20" w:rsidP="005E09F4">
      <w:pPr>
        <w:pStyle w:val="BCSBulletparagraph"/>
      </w:pPr>
      <w:r>
        <w:t>The largest proportion of those indicating that they disagreed (or strongly disagreed) fell within the categories, ‘virtual security’ (47.19% agreed and 11.24% strongly disagreed) and ‘physical security’ (47.19% agreed and 8.99% strongly disagreed), ‘general security’ (43.82% agreed and 8.99% strongly disagreed).</w:t>
      </w:r>
    </w:p>
    <w:p w:rsidR="00291E20" w:rsidRDefault="00291E20" w:rsidP="005E09F4">
      <w:pPr>
        <w:pStyle w:val="BCSBulletparagraph"/>
      </w:pPr>
      <w:r>
        <w:t>Of those that indicated they strongly disagreed, the categories attracting the greatest proportion of response were ‘lack of manager commitment’ (15.73%) and ‘virtual security’ (11.24%)</w:t>
      </w:r>
    </w:p>
    <w:p w:rsidR="005E09F4" w:rsidRDefault="005E09F4" w:rsidP="005E09F4">
      <w:pPr>
        <w:pStyle w:val="BCSBulletparagraph"/>
        <w:numPr>
          <w:ilvl w:val="0"/>
          <w:numId w:val="0"/>
        </w:numPr>
        <w:ind w:left="1077"/>
      </w:pPr>
    </w:p>
    <w:p w:rsidR="005E09F4" w:rsidRDefault="005E09F4" w:rsidP="005E09F4">
      <w:pPr>
        <w:pStyle w:val="BCSBulletparagraph"/>
        <w:numPr>
          <w:ilvl w:val="0"/>
          <w:numId w:val="0"/>
        </w:numPr>
        <w:ind w:left="1077"/>
      </w:pPr>
    </w:p>
    <w:p w:rsidR="005E09F4" w:rsidRDefault="005E09F4" w:rsidP="005E09F4">
      <w:pPr>
        <w:pStyle w:val="BCSBulletparagraph"/>
        <w:numPr>
          <w:ilvl w:val="0"/>
          <w:numId w:val="0"/>
        </w:numPr>
        <w:ind w:left="1077"/>
      </w:pPr>
    </w:p>
    <w:p w:rsidR="00291E20" w:rsidRDefault="00291E20" w:rsidP="00291E20">
      <w:pPr>
        <w:contextualSpacing/>
      </w:pPr>
    </w:p>
    <w:p w:rsidR="00291E20" w:rsidRDefault="00291E20" w:rsidP="005E09F4">
      <w:pPr>
        <w:pStyle w:val="BCSTableheadings"/>
      </w:pPr>
      <w:bookmarkStart w:id="64" w:name="_Table_9:_Factors"/>
      <w:bookmarkStart w:id="65" w:name="_Table_10:_Factors"/>
      <w:bookmarkStart w:id="66" w:name="_Toc256332147"/>
      <w:bookmarkEnd w:id="64"/>
      <w:bookmarkEnd w:id="65"/>
      <w:r w:rsidRPr="007436F0">
        <w:t xml:space="preserve">Table </w:t>
      </w:r>
      <w:r>
        <w:t>10</w:t>
      </w:r>
      <w:r w:rsidRPr="007436F0">
        <w:t xml:space="preserve">: Factors preventing effective use of ILT and e-learning amongst </w:t>
      </w:r>
      <w:r>
        <w:t>ACL staff (VCS/ WEA organisations</w:t>
      </w:r>
      <w:r w:rsidRPr="007436F0">
        <w:t>)</w:t>
      </w:r>
      <w:bookmarkEnd w:id="66"/>
    </w:p>
    <w:tbl>
      <w:tblPr>
        <w:tblW w:w="11045" w:type="dxa"/>
        <w:tblInd w:w="-833"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tblPr>
      <w:tblGrid>
        <w:gridCol w:w="3828"/>
        <w:gridCol w:w="1264"/>
        <w:gridCol w:w="1134"/>
        <w:gridCol w:w="1134"/>
        <w:gridCol w:w="1307"/>
        <w:gridCol w:w="1386"/>
        <w:gridCol w:w="992"/>
      </w:tblGrid>
      <w:tr w:rsidR="00291E20" w:rsidRPr="00645BA2" w:rsidTr="00291E20">
        <w:trPr>
          <w:trHeight w:val="285"/>
        </w:trPr>
        <w:tc>
          <w:tcPr>
            <w:tcW w:w="3828" w:type="dxa"/>
            <w:shd w:val="clear" w:color="auto" w:fill="76923C"/>
            <w:noWrap/>
            <w:vAlign w:val="bottom"/>
            <w:hideMark/>
          </w:tcPr>
          <w:p w:rsidR="00291E20" w:rsidRPr="00FF3F11" w:rsidRDefault="00291E20" w:rsidP="00291E20">
            <w:pPr>
              <w:rPr>
                <w:b/>
                <w:bCs/>
              </w:rPr>
            </w:pPr>
          </w:p>
        </w:tc>
        <w:tc>
          <w:tcPr>
            <w:tcW w:w="1264" w:type="dxa"/>
            <w:shd w:val="clear" w:color="auto" w:fill="76923C"/>
            <w:noWrap/>
            <w:vAlign w:val="bottom"/>
            <w:hideMark/>
          </w:tcPr>
          <w:p w:rsidR="00291E20" w:rsidRPr="00FF3F11" w:rsidRDefault="00291E20" w:rsidP="00291E20">
            <w:pPr>
              <w:jc w:val="right"/>
              <w:rPr>
                <w:b/>
                <w:bCs/>
              </w:rPr>
            </w:pPr>
            <w:r w:rsidRPr="00FF3F11">
              <w:rPr>
                <w:b/>
                <w:bCs/>
              </w:rPr>
              <w:t>Strongly agree</w:t>
            </w:r>
          </w:p>
        </w:tc>
        <w:tc>
          <w:tcPr>
            <w:tcW w:w="1134" w:type="dxa"/>
            <w:shd w:val="clear" w:color="auto" w:fill="76923C"/>
            <w:noWrap/>
            <w:vAlign w:val="bottom"/>
            <w:hideMark/>
          </w:tcPr>
          <w:p w:rsidR="00291E20" w:rsidRPr="00FF3F11" w:rsidRDefault="00291E20" w:rsidP="00291E20">
            <w:pPr>
              <w:jc w:val="right"/>
              <w:rPr>
                <w:b/>
                <w:bCs/>
              </w:rPr>
            </w:pPr>
            <w:r w:rsidRPr="00FF3F11">
              <w:rPr>
                <w:b/>
                <w:bCs/>
              </w:rPr>
              <w:t>Agree</w:t>
            </w:r>
          </w:p>
        </w:tc>
        <w:tc>
          <w:tcPr>
            <w:tcW w:w="1134" w:type="dxa"/>
            <w:shd w:val="clear" w:color="auto" w:fill="76923C"/>
            <w:noWrap/>
            <w:vAlign w:val="bottom"/>
            <w:hideMark/>
          </w:tcPr>
          <w:p w:rsidR="00291E20" w:rsidRPr="00FF3F11" w:rsidRDefault="00291E20" w:rsidP="00291E20">
            <w:pPr>
              <w:jc w:val="right"/>
              <w:rPr>
                <w:b/>
                <w:bCs/>
              </w:rPr>
            </w:pPr>
            <w:r w:rsidRPr="00FF3F11">
              <w:rPr>
                <w:b/>
                <w:bCs/>
              </w:rPr>
              <w:t>Not sure</w:t>
            </w:r>
          </w:p>
        </w:tc>
        <w:tc>
          <w:tcPr>
            <w:tcW w:w="1307" w:type="dxa"/>
            <w:shd w:val="clear" w:color="auto" w:fill="76923C"/>
            <w:noWrap/>
            <w:vAlign w:val="bottom"/>
            <w:hideMark/>
          </w:tcPr>
          <w:p w:rsidR="00291E20" w:rsidRPr="00FF3F11" w:rsidRDefault="00291E20" w:rsidP="00291E20">
            <w:pPr>
              <w:jc w:val="right"/>
              <w:rPr>
                <w:b/>
                <w:bCs/>
              </w:rPr>
            </w:pPr>
            <w:r w:rsidRPr="00FF3F11">
              <w:rPr>
                <w:b/>
                <w:bCs/>
              </w:rPr>
              <w:t>Disagree</w:t>
            </w:r>
          </w:p>
        </w:tc>
        <w:tc>
          <w:tcPr>
            <w:tcW w:w="1386" w:type="dxa"/>
            <w:shd w:val="clear" w:color="auto" w:fill="76923C"/>
            <w:noWrap/>
            <w:vAlign w:val="bottom"/>
            <w:hideMark/>
          </w:tcPr>
          <w:p w:rsidR="00291E20" w:rsidRPr="00FF3F11" w:rsidRDefault="00291E20" w:rsidP="00291E20">
            <w:pPr>
              <w:jc w:val="right"/>
              <w:rPr>
                <w:b/>
                <w:bCs/>
              </w:rPr>
            </w:pPr>
            <w:r w:rsidRPr="00FF3F11">
              <w:rPr>
                <w:b/>
                <w:bCs/>
              </w:rPr>
              <w:t>Strongly disagree</w:t>
            </w:r>
          </w:p>
        </w:tc>
        <w:tc>
          <w:tcPr>
            <w:tcW w:w="992" w:type="dxa"/>
            <w:shd w:val="clear" w:color="auto" w:fill="76923C"/>
            <w:noWrap/>
            <w:vAlign w:val="bottom"/>
            <w:hideMark/>
          </w:tcPr>
          <w:p w:rsidR="00291E20" w:rsidRPr="00FF3F11" w:rsidRDefault="00291E20" w:rsidP="00291E20">
            <w:pPr>
              <w:jc w:val="right"/>
              <w:rPr>
                <w:b/>
                <w:bCs/>
              </w:rPr>
            </w:pPr>
            <w:r w:rsidRPr="00FF3F11">
              <w:rPr>
                <w:b/>
                <w:bCs/>
              </w:rPr>
              <w:t>N/A</w:t>
            </w:r>
          </w:p>
        </w:tc>
      </w:tr>
      <w:tr w:rsidR="00291E20" w:rsidRPr="00645BA2" w:rsidTr="00291E20">
        <w:trPr>
          <w:trHeight w:val="285"/>
        </w:trPr>
        <w:tc>
          <w:tcPr>
            <w:tcW w:w="3828"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Insufficient training opp</w:t>
            </w:r>
            <w:r w:rsidRPr="00645BA2">
              <w:t>ortunities</w:t>
            </w:r>
          </w:p>
        </w:tc>
        <w:tc>
          <w:tcPr>
            <w:tcW w:w="1264"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28.09%</w:t>
            </w:r>
          </w:p>
        </w:tc>
        <w:tc>
          <w:tcPr>
            <w:tcW w:w="1134"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35.96%</w:t>
            </w:r>
          </w:p>
        </w:tc>
        <w:tc>
          <w:tcPr>
            <w:tcW w:w="1134"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13.48%</w:t>
            </w:r>
          </w:p>
        </w:tc>
        <w:tc>
          <w:tcPr>
            <w:tcW w:w="1307"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17.98%</w:t>
            </w:r>
          </w:p>
        </w:tc>
        <w:tc>
          <w:tcPr>
            <w:tcW w:w="1386"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1.12%</w:t>
            </w:r>
          </w:p>
        </w:tc>
        <w:tc>
          <w:tcPr>
            <w:tcW w:w="992"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1.12%</w:t>
            </w:r>
          </w:p>
        </w:tc>
      </w:tr>
      <w:tr w:rsidR="00291E20" w:rsidRPr="00645BA2" w:rsidTr="00291E20">
        <w:trPr>
          <w:trHeight w:val="285"/>
        </w:trPr>
        <w:tc>
          <w:tcPr>
            <w:tcW w:w="3828" w:type="dxa"/>
            <w:shd w:val="clear" w:color="auto" w:fill="C2D69B"/>
            <w:noWrap/>
            <w:vAlign w:val="bottom"/>
            <w:hideMark/>
          </w:tcPr>
          <w:p w:rsidR="00291E20" w:rsidRPr="00FF3F11" w:rsidRDefault="00291E20" w:rsidP="005E09F4">
            <w:pPr>
              <w:pStyle w:val="BCSTabletext"/>
            </w:pPr>
            <w:r w:rsidRPr="00FF3F11">
              <w:t>Lack of awareness of training</w:t>
            </w:r>
          </w:p>
        </w:tc>
        <w:tc>
          <w:tcPr>
            <w:tcW w:w="1264" w:type="dxa"/>
            <w:shd w:val="clear" w:color="auto" w:fill="C2D69B"/>
            <w:noWrap/>
            <w:vAlign w:val="bottom"/>
            <w:hideMark/>
          </w:tcPr>
          <w:p w:rsidR="00291E20" w:rsidRPr="00FF3F11" w:rsidRDefault="00291E20" w:rsidP="005E09F4">
            <w:pPr>
              <w:pStyle w:val="BCSTabletext"/>
            </w:pPr>
            <w:r w:rsidRPr="00FF3F11">
              <w:t>22.47%</w:t>
            </w:r>
          </w:p>
        </w:tc>
        <w:tc>
          <w:tcPr>
            <w:tcW w:w="1134" w:type="dxa"/>
            <w:shd w:val="clear" w:color="auto" w:fill="C2D69B"/>
            <w:noWrap/>
            <w:vAlign w:val="bottom"/>
            <w:hideMark/>
          </w:tcPr>
          <w:p w:rsidR="00291E20" w:rsidRPr="00FF3F11" w:rsidRDefault="00291E20" w:rsidP="005E09F4">
            <w:pPr>
              <w:pStyle w:val="BCSTabletext"/>
            </w:pPr>
            <w:r w:rsidRPr="00FF3F11">
              <w:t>42.70%</w:t>
            </w:r>
          </w:p>
        </w:tc>
        <w:tc>
          <w:tcPr>
            <w:tcW w:w="1134" w:type="dxa"/>
            <w:shd w:val="clear" w:color="auto" w:fill="C2D69B"/>
            <w:noWrap/>
            <w:vAlign w:val="bottom"/>
            <w:hideMark/>
          </w:tcPr>
          <w:p w:rsidR="00291E20" w:rsidRPr="00FF3F11" w:rsidRDefault="00291E20" w:rsidP="005E09F4">
            <w:pPr>
              <w:pStyle w:val="BCSTabletext"/>
            </w:pPr>
            <w:r w:rsidRPr="00FF3F11">
              <w:t>4.49%</w:t>
            </w:r>
          </w:p>
        </w:tc>
        <w:tc>
          <w:tcPr>
            <w:tcW w:w="1307" w:type="dxa"/>
            <w:shd w:val="clear" w:color="auto" w:fill="C2D69B"/>
            <w:noWrap/>
            <w:vAlign w:val="bottom"/>
            <w:hideMark/>
          </w:tcPr>
          <w:p w:rsidR="00291E20" w:rsidRPr="00FF3F11" w:rsidRDefault="00291E20" w:rsidP="005E09F4">
            <w:pPr>
              <w:pStyle w:val="BCSTabletext"/>
            </w:pPr>
            <w:r w:rsidRPr="00FF3F11">
              <w:t>28.09%</w:t>
            </w:r>
          </w:p>
        </w:tc>
        <w:tc>
          <w:tcPr>
            <w:tcW w:w="1386" w:type="dxa"/>
            <w:shd w:val="clear" w:color="auto" w:fill="C2D69B"/>
            <w:noWrap/>
            <w:vAlign w:val="bottom"/>
            <w:hideMark/>
          </w:tcPr>
          <w:p w:rsidR="00291E20" w:rsidRPr="00FF3F11" w:rsidRDefault="00291E20" w:rsidP="005E09F4">
            <w:pPr>
              <w:pStyle w:val="BCSTabletext"/>
            </w:pPr>
            <w:r w:rsidRPr="00FF3F11">
              <w:t>1.12%</w:t>
            </w:r>
          </w:p>
        </w:tc>
        <w:tc>
          <w:tcPr>
            <w:tcW w:w="992" w:type="dxa"/>
            <w:shd w:val="clear" w:color="auto" w:fill="C2D69B"/>
            <w:noWrap/>
            <w:vAlign w:val="bottom"/>
            <w:hideMark/>
          </w:tcPr>
          <w:p w:rsidR="00291E20" w:rsidRPr="00FF3F11" w:rsidRDefault="00291E20" w:rsidP="005E09F4">
            <w:pPr>
              <w:pStyle w:val="BCSTabletext"/>
            </w:pPr>
            <w:r w:rsidRPr="00FF3F11">
              <w:t>1.12%</w:t>
            </w:r>
          </w:p>
        </w:tc>
      </w:tr>
      <w:tr w:rsidR="00291E20" w:rsidRPr="00645BA2" w:rsidTr="00291E20">
        <w:trPr>
          <w:trHeight w:val="285"/>
        </w:trPr>
        <w:tc>
          <w:tcPr>
            <w:tcW w:w="3828"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Insufficient time for training</w:t>
            </w:r>
          </w:p>
        </w:tc>
        <w:tc>
          <w:tcPr>
            <w:tcW w:w="1264"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29.21%</w:t>
            </w:r>
          </w:p>
        </w:tc>
        <w:tc>
          <w:tcPr>
            <w:tcW w:w="1134"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55.06%</w:t>
            </w:r>
          </w:p>
        </w:tc>
        <w:tc>
          <w:tcPr>
            <w:tcW w:w="1134"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7.87%</w:t>
            </w:r>
          </w:p>
        </w:tc>
        <w:tc>
          <w:tcPr>
            <w:tcW w:w="1307"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6.74%</w:t>
            </w:r>
          </w:p>
        </w:tc>
        <w:tc>
          <w:tcPr>
            <w:tcW w:w="1386"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0.00%</w:t>
            </w:r>
          </w:p>
        </w:tc>
        <w:tc>
          <w:tcPr>
            <w:tcW w:w="992"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1.12%</w:t>
            </w:r>
          </w:p>
        </w:tc>
      </w:tr>
      <w:tr w:rsidR="00291E20" w:rsidRPr="00645BA2" w:rsidTr="00291E20">
        <w:trPr>
          <w:trHeight w:val="285"/>
        </w:trPr>
        <w:tc>
          <w:tcPr>
            <w:tcW w:w="3828" w:type="dxa"/>
            <w:shd w:val="clear" w:color="auto" w:fill="C2D69B"/>
            <w:noWrap/>
            <w:vAlign w:val="bottom"/>
            <w:hideMark/>
          </w:tcPr>
          <w:p w:rsidR="00291E20" w:rsidRPr="00FF3F11" w:rsidRDefault="00291E20" w:rsidP="005E09F4">
            <w:pPr>
              <w:pStyle w:val="BCSTabletext"/>
            </w:pPr>
            <w:r>
              <w:t>Inadequate infra</w:t>
            </w:r>
            <w:r w:rsidRPr="00FF3F11">
              <w:t>structure</w:t>
            </w:r>
          </w:p>
        </w:tc>
        <w:tc>
          <w:tcPr>
            <w:tcW w:w="1264" w:type="dxa"/>
            <w:shd w:val="clear" w:color="auto" w:fill="C2D69B"/>
            <w:noWrap/>
            <w:vAlign w:val="bottom"/>
            <w:hideMark/>
          </w:tcPr>
          <w:p w:rsidR="00291E20" w:rsidRPr="00FF3F11" w:rsidRDefault="00291E20" w:rsidP="005E09F4">
            <w:pPr>
              <w:pStyle w:val="BCSTabletext"/>
            </w:pPr>
            <w:r w:rsidRPr="00FF3F11">
              <w:t>24.72%</w:t>
            </w:r>
          </w:p>
        </w:tc>
        <w:tc>
          <w:tcPr>
            <w:tcW w:w="1134" w:type="dxa"/>
            <w:shd w:val="clear" w:color="auto" w:fill="C2D69B"/>
            <w:noWrap/>
            <w:vAlign w:val="bottom"/>
            <w:hideMark/>
          </w:tcPr>
          <w:p w:rsidR="00291E20" w:rsidRPr="00FF3F11" w:rsidRDefault="00291E20" w:rsidP="005E09F4">
            <w:pPr>
              <w:pStyle w:val="BCSTabletext"/>
            </w:pPr>
            <w:r w:rsidRPr="00FF3F11">
              <w:t>39.33%</w:t>
            </w:r>
          </w:p>
        </w:tc>
        <w:tc>
          <w:tcPr>
            <w:tcW w:w="1134" w:type="dxa"/>
            <w:shd w:val="clear" w:color="auto" w:fill="C2D69B"/>
            <w:noWrap/>
            <w:vAlign w:val="bottom"/>
            <w:hideMark/>
          </w:tcPr>
          <w:p w:rsidR="00291E20" w:rsidRPr="00FF3F11" w:rsidRDefault="00291E20" w:rsidP="005E09F4">
            <w:pPr>
              <w:pStyle w:val="BCSTabletext"/>
            </w:pPr>
            <w:r w:rsidRPr="00FF3F11">
              <w:t>10.11%</w:t>
            </w:r>
          </w:p>
        </w:tc>
        <w:tc>
          <w:tcPr>
            <w:tcW w:w="1307" w:type="dxa"/>
            <w:shd w:val="clear" w:color="auto" w:fill="C2D69B"/>
            <w:noWrap/>
            <w:vAlign w:val="bottom"/>
            <w:hideMark/>
          </w:tcPr>
          <w:p w:rsidR="00291E20" w:rsidRPr="00FF3F11" w:rsidRDefault="00291E20" w:rsidP="005E09F4">
            <w:pPr>
              <w:pStyle w:val="BCSTabletext"/>
            </w:pPr>
            <w:r w:rsidRPr="00FF3F11">
              <w:t>17.98%</w:t>
            </w:r>
          </w:p>
        </w:tc>
        <w:tc>
          <w:tcPr>
            <w:tcW w:w="1386" w:type="dxa"/>
            <w:shd w:val="clear" w:color="auto" w:fill="C2D69B"/>
            <w:noWrap/>
            <w:vAlign w:val="bottom"/>
            <w:hideMark/>
          </w:tcPr>
          <w:p w:rsidR="00291E20" w:rsidRPr="00FF3F11" w:rsidRDefault="00291E20" w:rsidP="005E09F4">
            <w:pPr>
              <w:pStyle w:val="BCSTabletext"/>
            </w:pPr>
            <w:r w:rsidRPr="00FF3F11">
              <w:t>3.37%</w:t>
            </w:r>
          </w:p>
        </w:tc>
        <w:tc>
          <w:tcPr>
            <w:tcW w:w="992" w:type="dxa"/>
            <w:shd w:val="clear" w:color="auto" w:fill="C2D69B"/>
            <w:noWrap/>
            <w:vAlign w:val="bottom"/>
            <w:hideMark/>
          </w:tcPr>
          <w:p w:rsidR="00291E20" w:rsidRPr="00FF3F11" w:rsidRDefault="00291E20" w:rsidP="005E09F4">
            <w:pPr>
              <w:pStyle w:val="BCSTabletext"/>
            </w:pPr>
            <w:r w:rsidRPr="00FF3F11">
              <w:t>3.37%</w:t>
            </w:r>
          </w:p>
        </w:tc>
      </w:tr>
      <w:tr w:rsidR="00291E20" w:rsidRPr="00645BA2" w:rsidTr="00291E20">
        <w:trPr>
          <w:trHeight w:val="285"/>
        </w:trPr>
        <w:tc>
          <w:tcPr>
            <w:tcW w:w="3828"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Lack of manager commitment</w:t>
            </w:r>
          </w:p>
        </w:tc>
        <w:tc>
          <w:tcPr>
            <w:tcW w:w="1264"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12.36%</w:t>
            </w:r>
          </w:p>
        </w:tc>
        <w:tc>
          <w:tcPr>
            <w:tcW w:w="1134"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21.35%</w:t>
            </w:r>
          </w:p>
        </w:tc>
        <w:tc>
          <w:tcPr>
            <w:tcW w:w="1134"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13.48%</w:t>
            </w:r>
          </w:p>
        </w:tc>
        <w:tc>
          <w:tcPr>
            <w:tcW w:w="1307"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33.71%</w:t>
            </w:r>
          </w:p>
        </w:tc>
        <w:tc>
          <w:tcPr>
            <w:tcW w:w="1386"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15.73%</w:t>
            </w:r>
          </w:p>
        </w:tc>
        <w:tc>
          <w:tcPr>
            <w:tcW w:w="992"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2.25%</w:t>
            </w:r>
          </w:p>
        </w:tc>
      </w:tr>
      <w:tr w:rsidR="00291E20" w:rsidRPr="00645BA2" w:rsidTr="00291E20">
        <w:trPr>
          <w:trHeight w:val="285"/>
        </w:trPr>
        <w:tc>
          <w:tcPr>
            <w:tcW w:w="3828" w:type="dxa"/>
            <w:shd w:val="clear" w:color="auto" w:fill="C2D69B"/>
            <w:noWrap/>
            <w:vAlign w:val="bottom"/>
            <w:hideMark/>
          </w:tcPr>
          <w:p w:rsidR="00291E20" w:rsidRPr="00FF3F11" w:rsidRDefault="00291E20" w:rsidP="005E09F4">
            <w:pPr>
              <w:pStyle w:val="BCSTabletext"/>
            </w:pPr>
            <w:r w:rsidRPr="00FF3F11">
              <w:t>Cautious approach of provider</w:t>
            </w:r>
          </w:p>
        </w:tc>
        <w:tc>
          <w:tcPr>
            <w:tcW w:w="1264" w:type="dxa"/>
            <w:shd w:val="clear" w:color="auto" w:fill="C2D69B"/>
            <w:noWrap/>
            <w:vAlign w:val="bottom"/>
            <w:hideMark/>
          </w:tcPr>
          <w:p w:rsidR="00291E20" w:rsidRPr="00FF3F11" w:rsidRDefault="00291E20" w:rsidP="005E09F4">
            <w:pPr>
              <w:pStyle w:val="BCSTabletext"/>
            </w:pPr>
            <w:r w:rsidRPr="00FF3F11">
              <w:t>4.49%</w:t>
            </w:r>
          </w:p>
        </w:tc>
        <w:tc>
          <w:tcPr>
            <w:tcW w:w="1134" w:type="dxa"/>
            <w:shd w:val="clear" w:color="auto" w:fill="C2D69B"/>
            <w:noWrap/>
            <w:vAlign w:val="bottom"/>
            <w:hideMark/>
          </w:tcPr>
          <w:p w:rsidR="00291E20" w:rsidRPr="00FF3F11" w:rsidRDefault="00291E20" w:rsidP="005E09F4">
            <w:pPr>
              <w:pStyle w:val="BCSTabletext"/>
            </w:pPr>
            <w:r w:rsidRPr="00FF3F11">
              <w:t>19.10%</w:t>
            </w:r>
          </w:p>
        </w:tc>
        <w:tc>
          <w:tcPr>
            <w:tcW w:w="1134" w:type="dxa"/>
            <w:shd w:val="clear" w:color="auto" w:fill="C2D69B"/>
            <w:noWrap/>
            <w:vAlign w:val="bottom"/>
            <w:hideMark/>
          </w:tcPr>
          <w:p w:rsidR="00291E20" w:rsidRPr="00FF3F11" w:rsidRDefault="00291E20" w:rsidP="005E09F4">
            <w:pPr>
              <w:pStyle w:val="BCSTabletext"/>
            </w:pPr>
            <w:r w:rsidRPr="00FF3F11">
              <w:t>28.09%</w:t>
            </w:r>
          </w:p>
        </w:tc>
        <w:tc>
          <w:tcPr>
            <w:tcW w:w="1307" w:type="dxa"/>
            <w:shd w:val="clear" w:color="auto" w:fill="C2D69B"/>
            <w:noWrap/>
            <w:vAlign w:val="bottom"/>
            <w:hideMark/>
          </w:tcPr>
          <w:p w:rsidR="00291E20" w:rsidRPr="00FF3F11" w:rsidRDefault="00291E20" w:rsidP="005E09F4">
            <w:pPr>
              <w:pStyle w:val="BCSTabletext"/>
            </w:pPr>
            <w:r w:rsidRPr="00FF3F11">
              <w:t>34.83%</w:t>
            </w:r>
          </w:p>
        </w:tc>
        <w:tc>
          <w:tcPr>
            <w:tcW w:w="1386" w:type="dxa"/>
            <w:shd w:val="clear" w:color="auto" w:fill="C2D69B"/>
            <w:noWrap/>
            <w:vAlign w:val="bottom"/>
            <w:hideMark/>
          </w:tcPr>
          <w:p w:rsidR="00291E20" w:rsidRPr="00FF3F11" w:rsidRDefault="00291E20" w:rsidP="005E09F4">
            <w:pPr>
              <w:pStyle w:val="BCSTabletext"/>
            </w:pPr>
            <w:r w:rsidRPr="00FF3F11">
              <w:t>8.99%</w:t>
            </w:r>
          </w:p>
        </w:tc>
        <w:tc>
          <w:tcPr>
            <w:tcW w:w="992" w:type="dxa"/>
            <w:shd w:val="clear" w:color="auto" w:fill="C2D69B"/>
            <w:noWrap/>
            <w:vAlign w:val="bottom"/>
            <w:hideMark/>
          </w:tcPr>
          <w:p w:rsidR="00291E20" w:rsidRPr="00FF3F11" w:rsidRDefault="00291E20" w:rsidP="005E09F4">
            <w:pPr>
              <w:pStyle w:val="BCSTabletext"/>
            </w:pPr>
            <w:r w:rsidRPr="00FF3F11">
              <w:t>3.37%</w:t>
            </w:r>
          </w:p>
        </w:tc>
      </w:tr>
      <w:tr w:rsidR="00291E20" w:rsidRPr="00645BA2" w:rsidTr="00291E20">
        <w:trPr>
          <w:trHeight w:val="285"/>
        </w:trPr>
        <w:tc>
          <w:tcPr>
            <w:tcW w:w="3828"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Physical security</w:t>
            </w:r>
          </w:p>
        </w:tc>
        <w:tc>
          <w:tcPr>
            <w:tcW w:w="1264"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7.87%</w:t>
            </w:r>
          </w:p>
        </w:tc>
        <w:tc>
          <w:tcPr>
            <w:tcW w:w="1134"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16.85%</w:t>
            </w:r>
          </w:p>
        </w:tc>
        <w:tc>
          <w:tcPr>
            <w:tcW w:w="1134"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13.48%</w:t>
            </w:r>
          </w:p>
        </w:tc>
        <w:tc>
          <w:tcPr>
            <w:tcW w:w="1307"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47.19%</w:t>
            </w:r>
          </w:p>
        </w:tc>
        <w:tc>
          <w:tcPr>
            <w:tcW w:w="1386"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8.99%</w:t>
            </w:r>
          </w:p>
        </w:tc>
        <w:tc>
          <w:tcPr>
            <w:tcW w:w="992" w:type="dxa"/>
            <w:tcBorders>
              <w:bottom w:val="single" w:sz="4" w:space="0" w:color="4F6228"/>
            </w:tcBorders>
            <w:shd w:val="clear" w:color="auto" w:fill="auto"/>
            <w:noWrap/>
            <w:vAlign w:val="bottom"/>
            <w:hideMark/>
          </w:tcPr>
          <w:p w:rsidR="00291E20" w:rsidRPr="00FF3F11" w:rsidRDefault="00291E20" w:rsidP="005E09F4">
            <w:pPr>
              <w:pStyle w:val="BCSTabletext"/>
            </w:pPr>
            <w:r w:rsidRPr="00FF3F11">
              <w:t>4.49%</w:t>
            </w:r>
          </w:p>
        </w:tc>
      </w:tr>
      <w:tr w:rsidR="00291E20" w:rsidRPr="00645BA2" w:rsidTr="00291E20">
        <w:trPr>
          <w:trHeight w:val="285"/>
        </w:trPr>
        <w:tc>
          <w:tcPr>
            <w:tcW w:w="3828" w:type="dxa"/>
            <w:shd w:val="clear" w:color="auto" w:fill="C2D69B"/>
            <w:noWrap/>
            <w:vAlign w:val="bottom"/>
            <w:hideMark/>
          </w:tcPr>
          <w:p w:rsidR="00291E20" w:rsidRPr="00FF3F11" w:rsidRDefault="00291E20" w:rsidP="005E09F4">
            <w:pPr>
              <w:pStyle w:val="BCSTabletext"/>
            </w:pPr>
            <w:r w:rsidRPr="00FF3F11">
              <w:t>Virtual security</w:t>
            </w:r>
          </w:p>
        </w:tc>
        <w:tc>
          <w:tcPr>
            <w:tcW w:w="1264" w:type="dxa"/>
            <w:shd w:val="clear" w:color="auto" w:fill="C2D69B"/>
            <w:noWrap/>
            <w:vAlign w:val="bottom"/>
            <w:hideMark/>
          </w:tcPr>
          <w:p w:rsidR="00291E20" w:rsidRPr="00FF3F11" w:rsidRDefault="00291E20" w:rsidP="005E09F4">
            <w:pPr>
              <w:pStyle w:val="BCSTabletext"/>
            </w:pPr>
            <w:r w:rsidRPr="00FF3F11">
              <w:t>7.87%</w:t>
            </w:r>
          </w:p>
        </w:tc>
        <w:tc>
          <w:tcPr>
            <w:tcW w:w="1134" w:type="dxa"/>
            <w:shd w:val="clear" w:color="auto" w:fill="C2D69B"/>
            <w:noWrap/>
            <w:vAlign w:val="bottom"/>
            <w:hideMark/>
          </w:tcPr>
          <w:p w:rsidR="00291E20" w:rsidRPr="00FF3F11" w:rsidRDefault="00291E20" w:rsidP="005E09F4">
            <w:pPr>
              <w:pStyle w:val="BCSTabletext"/>
            </w:pPr>
            <w:r w:rsidRPr="00FF3F11">
              <w:t>16.85%</w:t>
            </w:r>
          </w:p>
        </w:tc>
        <w:tc>
          <w:tcPr>
            <w:tcW w:w="1134" w:type="dxa"/>
            <w:shd w:val="clear" w:color="auto" w:fill="C2D69B"/>
            <w:noWrap/>
            <w:vAlign w:val="bottom"/>
            <w:hideMark/>
          </w:tcPr>
          <w:p w:rsidR="00291E20" w:rsidRPr="00FF3F11" w:rsidRDefault="00291E20" w:rsidP="005E09F4">
            <w:pPr>
              <w:pStyle w:val="BCSTabletext"/>
            </w:pPr>
            <w:r w:rsidRPr="00FF3F11">
              <w:t>11.24%</w:t>
            </w:r>
          </w:p>
        </w:tc>
        <w:tc>
          <w:tcPr>
            <w:tcW w:w="1307" w:type="dxa"/>
            <w:shd w:val="clear" w:color="auto" w:fill="C2D69B"/>
            <w:noWrap/>
            <w:vAlign w:val="bottom"/>
            <w:hideMark/>
          </w:tcPr>
          <w:p w:rsidR="00291E20" w:rsidRPr="00FF3F11" w:rsidRDefault="00291E20" w:rsidP="005E09F4">
            <w:pPr>
              <w:pStyle w:val="BCSTabletext"/>
            </w:pPr>
            <w:r w:rsidRPr="00FF3F11">
              <w:t>47.19%</w:t>
            </w:r>
          </w:p>
        </w:tc>
        <w:tc>
          <w:tcPr>
            <w:tcW w:w="1386" w:type="dxa"/>
            <w:shd w:val="clear" w:color="auto" w:fill="C2D69B"/>
            <w:noWrap/>
            <w:vAlign w:val="bottom"/>
            <w:hideMark/>
          </w:tcPr>
          <w:p w:rsidR="00291E20" w:rsidRPr="00FF3F11" w:rsidRDefault="00291E20" w:rsidP="005E09F4">
            <w:pPr>
              <w:pStyle w:val="BCSTabletext"/>
            </w:pPr>
            <w:r w:rsidRPr="00FF3F11">
              <w:t>11.24%</w:t>
            </w:r>
          </w:p>
        </w:tc>
        <w:tc>
          <w:tcPr>
            <w:tcW w:w="992" w:type="dxa"/>
            <w:shd w:val="clear" w:color="auto" w:fill="C2D69B"/>
            <w:noWrap/>
            <w:vAlign w:val="bottom"/>
            <w:hideMark/>
          </w:tcPr>
          <w:p w:rsidR="00291E20" w:rsidRPr="00FF3F11" w:rsidRDefault="00291E20" w:rsidP="005E09F4">
            <w:pPr>
              <w:pStyle w:val="BCSTabletext"/>
            </w:pPr>
            <w:r w:rsidRPr="00FF3F11">
              <w:t>4.49%</w:t>
            </w:r>
          </w:p>
        </w:tc>
      </w:tr>
      <w:tr w:rsidR="00291E20" w:rsidRPr="00645BA2" w:rsidTr="00291E20">
        <w:trPr>
          <w:trHeight w:val="285"/>
        </w:trPr>
        <w:tc>
          <w:tcPr>
            <w:tcW w:w="3828" w:type="dxa"/>
            <w:shd w:val="clear" w:color="auto" w:fill="auto"/>
            <w:noWrap/>
            <w:vAlign w:val="bottom"/>
            <w:hideMark/>
          </w:tcPr>
          <w:p w:rsidR="00291E20" w:rsidRPr="00FF3F11" w:rsidRDefault="00291E20" w:rsidP="005E09F4">
            <w:pPr>
              <w:pStyle w:val="BCSTabletext"/>
            </w:pPr>
            <w:r w:rsidRPr="00FF3F11">
              <w:t>General security</w:t>
            </w:r>
          </w:p>
        </w:tc>
        <w:tc>
          <w:tcPr>
            <w:tcW w:w="1264" w:type="dxa"/>
            <w:shd w:val="clear" w:color="auto" w:fill="auto"/>
            <w:noWrap/>
            <w:vAlign w:val="bottom"/>
            <w:hideMark/>
          </w:tcPr>
          <w:p w:rsidR="00291E20" w:rsidRPr="00FF3F11" w:rsidRDefault="00291E20" w:rsidP="005E09F4">
            <w:pPr>
              <w:pStyle w:val="BCSTabletext"/>
            </w:pPr>
            <w:r w:rsidRPr="00FF3F11">
              <w:t>5.62%</w:t>
            </w:r>
          </w:p>
        </w:tc>
        <w:tc>
          <w:tcPr>
            <w:tcW w:w="1134" w:type="dxa"/>
            <w:shd w:val="clear" w:color="auto" w:fill="auto"/>
            <w:noWrap/>
            <w:vAlign w:val="bottom"/>
            <w:hideMark/>
          </w:tcPr>
          <w:p w:rsidR="00291E20" w:rsidRPr="00FF3F11" w:rsidRDefault="00291E20" w:rsidP="005E09F4">
            <w:pPr>
              <w:pStyle w:val="BCSTabletext"/>
            </w:pPr>
            <w:r w:rsidRPr="00FF3F11">
              <w:t>16.85%</w:t>
            </w:r>
          </w:p>
        </w:tc>
        <w:tc>
          <w:tcPr>
            <w:tcW w:w="1134" w:type="dxa"/>
            <w:shd w:val="clear" w:color="auto" w:fill="auto"/>
            <w:noWrap/>
            <w:vAlign w:val="bottom"/>
            <w:hideMark/>
          </w:tcPr>
          <w:p w:rsidR="00291E20" w:rsidRPr="00FF3F11" w:rsidRDefault="00291E20" w:rsidP="005E09F4">
            <w:pPr>
              <w:pStyle w:val="BCSTabletext"/>
            </w:pPr>
            <w:r w:rsidRPr="00FF3F11">
              <w:t>17.98%</w:t>
            </w:r>
          </w:p>
        </w:tc>
        <w:tc>
          <w:tcPr>
            <w:tcW w:w="1307" w:type="dxa"/>
            <w:shd w:val="clear" w:color="auto" w:fill="auto"/>
            <w:noWrap/>
            <w:vAlign w:val="bottom"/>
            <w:hideMark/>
          </w:tcPr>
          <w:p w:rsidR="00291E20" w:rsidRPr="00FF3F11" w:rsidRDefault="00291E20" w:rsidP="005E09F4">
            <w:pPr>
              <w:pStyle w:val="BCSTabletext"/>
            </w:pPr>
            <w:r w:rsidRPr="00FF3F11">
              <w:t>43.82%</w:t>
            </w:r>
          </w:p>
        </w:tc>
        <w:tc>
          <w:tcPr>
            <w:tcW w:w="1386" w:type="dxa"/>
            <w:shd w:val="clear" w:color="auto" w:fill="auto"/>
            <w:noWrap/>
            <w:vAlign w:val="bottom"/>
            <w:hideMark/>
          </w:tcPr>
          <w:p w:rsidR="00291E20" w:rsidRPr="00FF3F11" w:rsidRDefault="00291E20" w:rsidP="005E09F4">
            <w:pPr>
              <w:pStyle w:val="BCSTabletext"/>
            </w:pPr>
            <w:r w:rsidRPr="00FF3F11">
              <w:t>8.99%</w:t>
            </w:r>
          </w:p>
        </w:tc>
        <w:tc>
          <w:tcPr>
            <w:tcW w:w="992" w:type="dxa"/>
            <w:shd w:val="clear" w:color="auto" w:fill="auto"/>
            <w:noWrap/>
            <w:vAlign w:val="bottom"/>
            <w:hideMark/>
          </w:tcPr>
          <w:p w:rsidR="00291E20" w:rsidRPr="00FF3F11" w:rsidRDefault="00291E20" w:rsidP="005E09F4">
            <w:pPr>
              <w:pStyle w:val="BCSTabletext"/>
            </w:pPr>
            <w:r w:rsidRPr="00FF3F11">
              <w:t>5.62%</w:t>
            </w:r>
          </w:p>
        </w:tc>
      </w:tr>
    </w:tbl>
    <w:p w:rsidR="00291E20" w:rsidRDefault="00291E20" w:rsidP="005E09F4">
      <w:pPr>
        <w:pStyle w:val="BCSTabletextafter"/>
      </w:pPr>
      <w:r w:rsidRPr="0077753A">
        <w:t>(</w:t>
      </w:r>
      <w:r>
        <w:t xml:space="preserve">NB: </w:t>
      </w:r>
      <w:r w:rsidRPr="0077753A">
        <w:t>Table excludes figures for ‘not applicable’)</w:t>
      </w:r>
    </w:p>
    <w:p w:rsidR="00291E20" w:rsidRDefault="00291E20" w:rsidP="005E09F4">
      <w:pPr>
        <w:pStyle w:val="BCSParagraph"/>
      </w:pPr>
      <w:r>
        <w:t xml:space="preserve">When compared to the 2008/09 survey, insufficient time to take up training opportunities was still the most agreed with barrier for ACL staff.  However, whilst the second most cited factor was insufficient training opportunities in 2008/09, in 2009/10 it was inadequate infrastructure.   </w:t>
      </w:r>
    </w:p>
    <w:p w:rsidR="00291E20" w:rsidRPr="00731EE7" w:rsidRDefault="00291E20" w:rsidP="005E09F4">
      <w:pPr>
        <w:pStyle w:val="BCSParagraph"/>
      </w:pPr>
      <w:r>
        <w:t>Equally, whilst in 2008/09, the least agreed with barriers were lack of manager commitment, virtual security access issues and general security issues, in 2009/10 lack of manager commitment was followed by cautious approach of the providers’ and ‘physical security’ as the least agreed with barriers for staff.</w:t>
      </w:r>
    </w:p>
    <w:p w:rsidR="00291E20" w:rsidRDefault="00291E20" w:rsidP="005E09F4">
      <w:pPr>
        <w:pStyle w:val="BCSParagraph"/>
        <w:rPr>
          <w:u w:val="single"/>
        </w:rPr>
      </w:pPr>
    </w:p>
    <w:p w:rsidR="00291E20" w:rsidRDefault="00291E20" w:rsidP="00291E20">
      <w:pPr>
        <w:contextualSpacing/>
        <w:rPr>
          <w:u w:val="single"/>
        </w:rPr>
      </w:pPr>
    </w:p>
    <w:p w:rsidR="00291E20" w:rsidRPr="00260B31" w:rsidRDefault="00291E20" w:rsidP="005E09F4">
      <w:pPr>
        <w:pStyle w:val="Heading3"/>
        <w:rPr>
          <w:u w:val="single"/>
        </w:rPr>
      </w:pPr>
      <w:r w:rsidRPr="005E09F4">
        <w:t>Support for effective use of ILT and e-learning</w:t>
      </w:r>
      <w:r w:rsidRPr="00260B31">
        <w:rPr>
          <w:u w:val="single"/>
        </w:rPr>
        <w:t>:</w:t>
      </w:r>
    </w:p>
    <w:p w:rsidR="00291E20" w:rsidRDefault="00291E20" w:rsidP="005E09F4">
      <w:pPr>
        <w:pStyle w:val="BCSParagraph"/>
      </w:pPr>
      <w:r>
        <w:t xml:space="preserve">In order to establish whether organisations had received government funded support over the last 12 months, respondents were asked to state whether they had, hadn’t, or didn’t know.    Overall, 74.77% of local authorities had received government funded support, whilst 20.72% had not.  Of VCS/ WEAs, 64.04% had received support of this kind, whilst 33.71% had not.  </w:t>
      </w:r>
    </w:p>
    <w:p w:rsidR="00291E20" w:rsidRDefault="00291E20" w:rsidP="005E09F4">
      <w:pPr>
        <w:pStyle w:val="BCSParagraph"/>
      </w:pPr>
    </w:p>
    <w:p w:rsidR="00291E20" w:rsidRDefault="00291E20" w:rsidP="005E09F4">
      <w:pPr>
        <w:pStyle w:val="BCSParagraph"/>
      </w:pPr>
      <w:r>
        <w:t xml:space="preserve">The survey sought to identify which, if any, policies and external resources had helped to support organisations’ own abilities to use ICT/ e-learning.  Organisations were asked to indicate, on a five-point scale, the extent of their agreement that listed policies/ resources had been of support.  </w:t>
      </w:r>
    </w:p>
    <w:p w:rsidR="00291E20" w:rsidRDefault="00291E20" w:rsidP="005E09F4">
      <w:pPr>
        <w:pStyle w:val="BCSParagraph"/>
      </w:pPr>
    </w:p>
    <w:p w:rsidR="00291E20" w:rsidRDefault="00291E20" w:rsidP="005E09F4">
      <w:pPr>
        <w:pStyle w:val="BCSParagraph"/>
      </w:pPr>
      <w:r>
        <w:t>Overall, the greater proportion of responses across all policy/ external resource types fell within the ‘little of no impact’ category (LA, 29.10% and VCS/ WEA, 26.63%).  However, the next most frequently indicated category was ‘to some extent’ (LA, 24.05% and VCS/ WEA 20.65%).  14.68% of all LA responses fell within the category ‘in isolated instances’, whilst 10.90% of VCS/ WEA responses fell into this category.</w:t>
      </w:r>
    </w:p>
    <w:p w:rsidR="00291E20" w:rsidRDefault="00291E20" w:rsidP="00291E20">
      <w:pPr>
        <w:contextualSpacing/>
      </w:pPr>
    </w:p>
    <w:p w:rsidR="00291E20" w:rsidRDefault="00291E20" w:rsidP="005E09F4">
      <w:pPr>
        <w:pStyle w:val="BCSParagraph"/>
      </w:pPr>
      <w:r>
        <w:t xml:space="preserve">Overall, 8.02% of all LA responses and 4.83% of VCS/ WEAs fell within the ‘very much’ category, whilst 12.25% of LA responses and 13.26% of VCS/ WEA responses were ‘not sure’.  Equally, 7.93% of LA and 19.44% of VCS/ WEA responses indicated that the policy/ resource was ‘not applicable’.  </w:t>
      </w:r>
    </w:p>
    <w:p w:rsidR="00291E20" w:rsidRDefault="00291E20" w:rsidP="005E09F4">
      <w:pPr>
        <w:pStyle w:val="BCSParagraph"/>
      </w:pPr>
    </w:p>
    <w:p w:rsidR="00291E20" w:rsidRDefault="00291E20" w:rsidP="005E09F4">
      <w:pPr>
        <w:pStyle w:val="BCSParagraph"/>
      </w:pPr>
      <w:r>
        <w:t>Those policies/ external resources which were considered to offer the most support to local authorities (</w:t>
      </w:r>
      <w:hyperlink w:anchor="_Table_10:_Levels" w:history="1">
        <w:r w:rsidRPr="00CC1978">
          <w:rPr>
            <w:rStyle w:val="Hyperlink"/>
          </w:rPr>
          <w:t>table 11</w:t>
        </w:r>
      </w:hyperlink>
      <w:r>
        <w:t>) were; the Government Skills Strategy (43.24% ‘to some extent’ and 22.52% ‘very much’), the LSC Quality Improvement Strategy (45.95% ‘to some extent’ and 18.02% ‘very much’),  the Harnessing Technology Strategy (59.46%</w:t>
      </w:r>
      <w:r w:rsidRPr="007F3428">
        <w:t xml:space="preserve"> </w:t>
      </w:r>
      <w:r>
        <w:t xml:space="preserve">‘to some extent’ and 17.12% ‘very much’), and the National Learning Network Programme (34.23% ‘to some extent’ and 9.91% ‘very much’) </w:t>
      </w:r>
    </w:p>
    <w:p w:rsidR="00291E20" w:rsidRDefault="00291E20" w:rsidP="00291E20">
      <w:pPr>
        <w:ind w:left="360"/>
        <w:contextualSpacing/>
      </w:pPr>
    </w:p>
    <w:p w:rsidR="00291E20" w:rsidRPr="004F1166" w:rsidRDefault="00291E20" w:rsidP="005E09F4">
      <w:pPr>
        <w:pStyle w:val="BCSTableheadings"/>
        <w:rPr>
          <w:i/>
        </w:rPr>
      </w:pPr>
      <w:bookmarkStart w:id="67" w:name="_Table_10:_Levels"/>
      <w:bookmarkStart w:id="68" w:name="_Toc256332148"/>
      <w:bookmarkEnd w:id="67"/>
      <w:r>
        <w:t>Table 11</w:t>
      </w:r>
      <w:r w:rsidRPr="004F1166">
        <w:t xml:space="preserve">: Levels of </w:t>
      </w:r>
      <w:r>
        <w:t>policy</w:t>
      </w:r>
      <w:r w:rsidRPr="004F1166">
        <w:t xml:space="preserve">/ external </w:t>
      </w:r>
      <w:r>
        <w:t>resource</w:t>
      </w:r>
      <w:r w:rsidRPr="004F1166">
        <w:t xml:space="preserve"> support experienced</w:t>
      </w:r>
      <w:r>
        <w:t xml:space="preserve"> by local authorities</w:t>
      </w:r>
      <w:bookmarkEnd w:id="68"/>
      <w:r w:rsidRPr="004F1166">
        <w:t xml:space="preserve"> </w:t>
      </w:r>
    </w:p>
    <w:tbl>
      <w:tblPr>
        <w:tblpPr w:leftFromText="180" w:rightFromText="180" w:vertAnchor="text" w:horzAnchor="margin" w:tblpXSpec="center" w:tblpY="87"/>
        <w:tblW w:w="10911"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tblPr>
      <w:tblGrid>
        <w:gridCol w:w="2779"/>
        <w:gridCol w:w="1276"/>
        <w:gridCol w:w="1417"/>
        <w:gridCol w:w="1418"/>
        <w:gridCol w:w="1559"/>
        <w:gridCol w:w="1276"/>
        <w:gridCol w:w="1186"/>
      </w:tblGrid>
      <w:tr w:rsidR="00291E20" w:rsidRPr="004F1166" w:rsidTr="00291E20">
        <w:trPr>
          <w:trHeight w:val="285"/>
        </w:trPr>
        <w:tc>
          <w:tcPr>
            <w:tcW w:w="2779" w:type="dxa"/>
            <w:shd w:val="clear" w:color="auto" w:fill="76923C"/>
            <w:noWrap/>
            <w:vAlign w:val="bottom"/>
            <w:hideMark/>
          </w:tcPr>
          <w:p w:rsidR="00291E20" w:rsidRPr="00B33636" w:rsidRDefault="00291E20" w:rsidP="005E09F4">
            <w:pPr>
              <w:pStyle w:val="BCSTabletext"/>
              <w:rPr>
                <w:lang w:eastAsia="zh-CN"/>
              </w:rPr>
            </w:pPr>
            <w:r w:rsidRPr="004F1166">
              <w:rPr>
                <w:lang w:eastAsia="zh-CN"/>
              </w:rPr>
              <w:t>Policies</w:t>
            </w:r>
          </w:p>
        </w:tc>
        <w:tc>
          <w:tcPr>
            <w:tcW w:w="1276" w:type="dxa"/>
            <w:shd w:val="clear" w:color="auto" w:fill="76923C"/>
            <w:noWrap/>
            <w:vAlign w:val="bottom"/>
            <w:hideMark/>
          </w:tcPr>
          <w:p w:rsidR="00291E20" w:rsidRPr="00B33636" w:rsidRDefault="00291E20" w:rsidP="005E09F4">
            <w:pPr>
              <w:pStyle w:val="BCSTabletext"/>
              <w:rPr>
                <w:lang w:eastAsia="zh-CN"/>
              </w:rPr>
            </w:pPr>
            <w:r w:rsidRPr="00B33636">
              <w:rPr>
                <w:lang w:eastAsia="zh-CN"/>
              </w:rPr>
              <w:t>Very much</w:t>
            </w:r>
          </w:p>
        </w:tc>
        <w:tc>
          <w:tcPr>
            <w:tcW w:w="1417" w:type="dxa"/>
            <w:shd w:val="clear" w:color="auto" w:fill="76923C"/>
            <w:noWrap/>
            <w:vAlign w:val="bottom"/>
            <w:hideMark/>
          </w:tcPr>
          <w:p w:rsidR="00291E20" w:rsidRPr="00B33636" w:rsidRDefault="00291E20" w:rsidP="005E09F4">
            <w:pPr>
              <w:pStyle w:val="BCSTabletext"/>
              <w:rPr>
                <w:lang w:eastAsia="zh-CN"/>
              </w:rPr>
            </w:pPr>
            <w:r w:rsidRPr="00B33636">
              <w:rPr>
                <w:lang w:eastAsia="zh-CN"/>
              </w:rPr>
              <w:t>To some extent</w:t>
            </w:r>
          </w:p>
        </w:tc>
        <w:tc>
          <w:tcPr>
            <w:tcW w:w="1418" w:type="dxa"/>
            <w:shd w:val="clear" w:color="auto" w:fill="76923C"/>
            <w:noWrap/>
            <w:vAlign w:val="bottom"/>
            <w:hideMark/>
          </w:tcPr>
          <w:p w:rsidR="00291E20" w:rsidRPr="00B33636" w:rsidRDefault="00291E20" w:rsidP="005E09F4">
            <w:pPr>
              <w:pStyle w:val="BCSTabletext"/>
              <w:rPr>
                <w:lang w:eastAsia="zh-CN"/>
              </w:rPr>
            </w:pPr>
            <w:r w:rsidRPr="00B33636">
              <w:rPr>
                <w:lang w:eastAsia="zh-CN"/>
              </w:rPr>
              <w:t>In isolated instances</w:t>
            </w:r>
          </w:p>
        </w:tc>
        <w:tc>
          <w:tcPr>
            <w:tcW w:w="1559" w:type="dxa"/>
            <w:shd w:val="clear" w:color="auto" w:fill="76923C"/>
            <w:noWrap/>
            <w:vAlign w:val="bottom"/>
            <w:hideMark/>
          </w:tcPr>
          <w:p w:rsidR="00291E20" w:rsidRPr="00B33636" w:rsidRDefault="00291E20" w:rsidP="005E09F4">
            <w:pPr>
              <w:pStyle w:val="BCSTabletext"/>
              <w:rPr>
                <w:lang w:eastAsia="zh-CN"/>
              </w:rPr>
            </w:pPr>
            <w:r w:rsidRPr="00B33636">
              <w:rPr>
                <w:lang w:eastAsia="zh-CN"/>
              </w:rPr>
              <w:t>Little or no impact</w:t>
            </w:r>
          </w:p>
        </w:tc>
        <w:tc>
          <w:tcPr>
            <w:tcW w:w="1276" w:type="dxa"/>
            <w:shd w:val="clear" w:color="auto" w:fill="76923C"/>
            <w:noWrap/>
            <w:vAlign w:val="bottom"/>
            <w:hideMark/>
          </w:tcPr>
          <w:p w:rsidR="00291E20" w:rsidRPr="00B33636" w:rsidRDefault="00291E20" w:rsidP="005E09F4">
            <w:pPr>
              <w:pStyle w:val="BCSTabletext"/>
              <w:rPr>
                <w:lang w:eastAsia="zh-CN"/>
              </w:rPr>
            </w:pPr>
            <w:r w:rsidRPr="00B33636">
              <w:rPr>
                <w:lang w:eastAsia="zh-CN"/>
              </w:rPr>
              <w:t>Not sure</w:t>
            </w:r>
          </w:p>
        </w:tc>
        <w:tc>
          <w:tcPr>
            <w:tcW w:w="1186" w:type="dxa"/>
            <w:shd w:val="clear" w:color="auto" w:fill="76923C"/>
            <w:noWrap/>
            <w:vAlign w:val="bottom"/>
            <w:hideMark/>
          </w:tcPr>
          <w:p w:rsidR="00291E20" w:rsidRPr="00B33636" w:rsidRDefault="00291E20" w:rsidP="005E09F4">
            <w:pPr>
              <w:pStyle w:val="BCSTabletext"/>
              <w:rPr>
                <w:lang w:eastAsia="zh-CN"/>
              </w:rPr>
            </w:pPr>
            <w:r w:rsidRPr="00B33636">
              <w:rPr>
                <w:lang w:eastAsia="zh-CN"/>
              </w:rPr>
              <w:t>N/A</w:t>
            </w:r>
          </w:p>
        </w:tc>
      </w:tr>
      <w:tr w:rsidR="00291E20" w:rsidRPr="004F1166" w:rsidTr="00291E20">
        <w:trPr>
          <w:trHeight w:val="285"/>
        </w:trPr>
        <w:tc>
          <w:tcPr>
            <w:tcW w:w="2779"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Digital Britain</w:t>
            </w:r>
          </w:p>
        </w:tc>
        <w:tc>
          <w:tcPr>
            <w:tcW w:w="1276"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4.50%</w:t>
            </w:r>
          </w:p>
        </w:tc>
        <w:tc>
          <w:tcPr>
            <w:tcW w:w="1417"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27.93%</w:t>
            </w:r>
          </w:p>
        </w:tc>
        <w:tc>
          <w:tcPr>
            <w:tcW w:w="1418"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11.71%</w:t>
            </w:r>
          </w:p>
        </w:tc>
        <w:tc>
          <w:tcPr>
            <w:tcW w:w="1559"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36.94%</w:t>
            </w:r>
          </w:p>
        </w:tc>
        <w:tc>
          <w:tcPr>
            <w:tcW w:w="1276"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10.81%</w:t>
            </w:r>
          </w:p>
        </w:tc>
        <w:tc>
          <w:tcPr>
            <w:tcW w:w="1186"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4.50%</w:t>
            </w:r>
          </w:p>
        </w:tc>
      </w:tr>
      <w:tr w:rsidR="00291E20" w:rsidRPr="004F1166" w:rsidTr="00291E20">
        <w:trPr>
          <w:trHeight w:val="285"/>
        </w:trPr>
        <w:tc>
          <w:tcPr>
            <w:tcW w:w="2779"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Harnessing Technology</w:t>
            </w:r>
          </w:p>
        </w:tc>
        <w:tc>
          <w:tcPr>
            <w:tcW w:w="1276"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17.12%</w:t>
            </w:r>
          </w:p>
        </w:tc>
        <w:tc>
          <w:tcPr>
            <w:tcW w:w="1417"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42.34%</w:t>
            </w:r>
          </w:p>
        </w:tc>
        <w:tc>
          <w:tcPr>
            <w:tcW w:w="1418"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9.91%</w:t>
            </w:r>
          </w:p>
        </w:tc>
        <w:tc>
          <w:tcPr>
            <w:tcW w:w="1559"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17.12%</w:t>
            </w:r>
          </w:p>
        </w:tc>
        <w:tc>
          <w:tcPr>
            <w:tcW w:w="1276"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9.01%</w:t>
            </w:r>
          </w:p>
        </w:tc>
        <w:tc>
          <w:tcPr>
            <w:tcW w:w="1186"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1.80%</w:t>
            </w:r>
          </w:p>
        </w:tc>
      </w:tr>
      <w:tr w:rsidR="00291E20" w:rsidRPr="004F1166" w:rsidTr="00291E20">
        <w:trPr>
          <w:trHeight w:val="285"/>
        </w:trPr>
        <w:tc>
          <w:tcPr>
            <w:tcW w:w="2779"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National Learning Network</w:t>
            </w:r>
          </w:p>
        </w:tc>
        <w:tc>
          <w:tcPr>
            <w:tcW w:w="1276"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9.91%</w:t>
            </w:r>
          </w:p>
        </w:tc>
        <w:tc>
          <w:tcPr>
            <w:tcW w:w="1417"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34.23%</w:t>
            </w:r>
          </w:p>
        </w:tc>
        <w:tc>
          <w:tcPr>
            <w:tcW w:w="1418"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26.13%</w:t>
            </w:r>
          </w:p>
        </w:tc>
        <w:tc>
          <w:tcPr>
            <w:tcW w:w="1559"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14.41%</w:t>
            </w:r>
          </w:p>
        </w:tc>
        <w:tc>
          <w:tcPr>
            <w:tcW w:w="1276"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8.11%</w:t>
            </w:r>
          </w:p>
        </w:tc>
        <w:tc>
          <w:tcPr>
            <w:tcW w:w="1186"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1.80%</w:t>
            </w:r>
          </w:p>
        </w:tc>
      </w:tr>
      <w:tr w:rsidR="00291E20" w:rsidRPr="004F1166" w:rsidTr="00291E20">
        <w:trPr>
          <w:trHeight w:val="285"/>
        </w:trPr>
        <w:tc>
          <w:tcPr>
            <w:tcW w:w="2779"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National Archive</w:t>
            </w:r>
          </w:p>
        </w:tc>
        <w:tc>
          <w:tcPr>
            <w:tcW w:w="1276"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0.00%</w:t>
            </w:r>
          </w:p>
        </w:tc>
        <w:tc>
          <w:tcPr>
            <w:tcW w:w="1417"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4.50%</w:t>
            </w:r>
          </w:p>
        </w:tc>
        <w:tc>
          <w:tcPr>
            <w:tcW w:w="1418"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13.51%</w:t>
            </w:r>
          </w:p>
        </w:tc>
        <w:tc>
          <w:tcPr>
            <w:tcW w:w="1559"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41.44%</w:t>
            </w:r>
          </w:p>
        </w:tc>
        <w:tc>
          <w:tcPr>
            <w:tcW w:w="1276"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23.42%</w:t>
            </w:r>
          </w:p>
        </w:tc>
        <w:tc>
          <w:tcPr>
            <w:tcW w:w="1186"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11.71%</w:t>
            </w:r>
          </w:p>
        </w:tc>
      </w:tr>
      <w:tr w:rsidR="00291E20" w:rsidRPr="004F1166" w:rsidTr="00291E20">
        <w:trPr>
          <w:trHeight w:val="285"/>
        </w:trPr>
        <w:tc>
          <w:tcPr>
            <w:tcW w:w="2779"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4F1166">
              <w:rPr>
                <w:lang w:eastAsia="zh-CN"/>
              </w:rPr>
              <w:t>LSC Quality Improve</w:t>
            </w:r>
            <w:r w:rsidRPr="00B33636">
              <w:rPr>
                <w:lang w:eastAsia="zh-CN"/>
              </w:rPr>
              <w:t>ment</w:t>
            </w:r>
          </w:p>
        </w:tc>
        <w:tc>
          <w:tcPr>
            <w:tcW w:w="1276"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18.02%</w:t>
            </w:r>
          </w:p>
        </w:tc>
        <w:tc>
          <w:tcPr>
            <w:tcW w:w="1417"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45.95%</w:t>
            </w:r>
          </w:p>
        </w:tc>
        <w:tc>
          <w:tcPr>
            <w:tcW w:w="1418"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17.12%</w:t>
            </w:r>
          </w:p>
        </w:tc>
        <w:tc>
          <w:tcPr>
            <w:tcW w:w="1559"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11.71%</w:t>
            </w:r>
          </w:p>
        </w:tc>
        <w:tc>
          <w:tcPr>
            <w:tcW w:w="1276"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5.41%</w:t>
            </w:r>
          </w:p>
        </w:tc>
        <w:tc>
          <w:tcPr>
            <w:tcW w:w="1186"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0.90%</w:t>
            </w:r>
          </w:p>
        </w:tc>
      </w:tr>
      <w:tr w:rsidR="00291E20" w:rsidRPr="004F1166" w:rsidTr="00291E20">
        <w:trPr>
          <w:trHeight w:val="285"/>
        </w:trPr>
        <w:tc>
          <w:tcPr>
            <w:tcW w:w="2779" w:type="dxa"/>
            <w:shd w:val="clear" w:color="auto" w:fill="C2D69B"/>
            <w:noWrap/>
            <w:vAlign w:val="bottom"/>
            <w:hideMark/>
          </w:tcPr>
          <w:p w:rsidR="00291E20" w:rsidRPr="00B33636" w:rsidRDefault="00291E20" w:rsidP="005E09F4">
            <w:pPr>
              <w:pStyle w:val="BCSTabletext"/>
              <w:rPr>
                <w:lang w:eastAsia="zh-CN"/>
              </w:rPr>
            </w:pPr>
            <w:r w:rsidRPr="004F1166">
              <w:rPr>
                <w:lang w:eastAsia="zh-CN"/>
              </w:rPr>
              <w:t>Govern</w:t>
            </w:r>
            <w:r w:rsidRPr="00B33636">
              <w:rPr>
                <w:lang w:eastAsia="zh-CN"/>
              </w:rPr>
              <w:t>ment Skills Strategy</w:t>
            </w:r>
          </w:p>
        </w:tc>
        <w:tc>
          <w:tcPr>
            <w:tcW w:w="1276"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22.52%</w:t>
            </w:r>
          </w:p>
        </w:tc>
        <w:tc>
          <w:tcPr>
            <w:tcW w:w="1417"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43.24%</w:t>
            </w:r>
          </w:p>
        </w:tc>
        <w:tc>
          <w:tcPr>
            <w:tcW w:w="1418"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9.91%</w:t>
            </w:r>
          </w:p>
        </w:tc>
        <w:tc>
          <w:tcPr>
            <w:tcW w:w="1559"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14.41%</w:t>
            </w:r>
          </w:p>
        </w:tc>
        <w:tc>
          <w:tcPr>
            <w:tcW w:w="1276"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6.31%</w:t>
            </w:r>
          </w:p>
        </w:tc>
        <w:tc>
          <w:tcPr>
            <w:tcW w:w="1186"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1.80%</w:t>
            </w:r>
          </w:p>
        </w:tc>
      </w:tr>
      <w:tr w:rsidR="00291E20" w:rsidRPr="004F1166" w:rsidTr="00291E20">
        <w:trPr>
          <w:trHeight w:val="285"/>
        </w:trPr>
        <w:tc>
          <w:tcPr>
            <w:tcW w:w="2779"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Extended Schools</w:t>
            </w:r>
          </w:p>
        </w:tc>
        <w:tc>
          <w:tcPr>
            <w:tcW w:w="1276"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7.21%</w:t>
            </w:r>
          </w:p>
        </w:tc>
        <w:tc>
          <w:tcPr>
            <w:tcW w:w="1417"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25.23%</w:t>
            </w:r>
          </w:p>
        </w:tc>
        <w:tc>
          <w:tcPr>
            <w:tcW w:w="1418"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17.12%</w:t>
            </w:r>
          </w:p>
        </w:tc>
        <w:tc>
          <w:tcPr>
            <w:tcW w:w="1559"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27.93%</w:t>
            </w:r>
          </w:p>
        </w:tc>
        <w:tc>
          <w:tcPr>
            <w:tcW w:w="1276"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8.11%</w:t>
            </w:r>
          </w:p>
        </w:tc>
        <w:tc>
          <w:tcPr>
            <w:tcW w:w="1186"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10.81%</w:t>
            </w:r>
          </w:p>
        </w:tc>
      </w:tr>
      <w:tr w:rsidR="00291E20" w:rsidRPr="004F1166" w:rsidTr="00291E20">
        <w:trPr>
          <w:trHeight w:val="285"/>
        </w:trPr>
        <w:tc>
          <w:tcPr>
            <w:tcW w:w="2779"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British Library</w:t>
            </w:r>
          </w:p>
        </w:tc>
        <w:tc>
          <w:tcPr>
            <w:tcW w:w="1276"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0.90%</w:t>
            </w:r>
          </w:p>
        </w:tc>
        <w:tc>
          <w:tcPr>
            <w:tcW w:w="1417"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7.21%</w:t>
            </w:r>
          </w:p>
        </w:tc>
        <w:tc>
          <w:tcPr>
            <w:tcW w:w="1418"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16.22%</w:t>
            </w:r>
          </w:p>
        </w:tc>
        <w:tc>
          <w:tcPr>
            <w:tcW w:w="1559"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42.34%</w:t>
            </w:r>
          </w:p>
        </w:tc>
        <w:tc>
          <w:tcPr>
            <w:tcW w:w="1276"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13.51%</w:t>
            </w:r>
          </w:p>
        </w:tc>
        <w:tc>
          <w:tcPr>
            <w:tcW w:w="1186"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15.32%</w:t>
            </w:r>
          </w:p>
        </w:tc>
      </w:tr>
      <w:tr w:rsidR="00291E20" w:rsidRPr="004F1166" w:rsidTr="00291E20">
        <w:trPr>
          <w:trHeight w:val="285"/>
        </w:trPr>
        <w:tc>
          <w:tcPr>
            <w:tcW w:w="2779"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Culture Online Resource</w:t>
            </w:r>
          </w:p>
        </w:tc>
        <w:tc>
          <w:tcPr>
            <w:tcW w:w="1276"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0.00%</w:t>
            </w:r>
          </w:p>
        </w:tc>
        <w:tc>
          <w:tcPr>
            <w:tcW w:w="1417"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4.50%</w:t>
            </w:r>
          </w:p>
        </w:tc>
        <w:tc>
          <w:tcPr>
            <w:tcW w:w="1418"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17.12%</w:t>
            </w:r>
          </w:p>
        </w:tc>
        <w:tc>
          <w:tcPr>
            <w:tcW w:w="1559"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42.34%</w:t>
            </w:r>
          </w:p>
        </w:tc>
        <w:tc>
          <w:tcPr>
            <w:tcW w:w="1276"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17.12%</w:t>
            </w:r>
          </w:p>
        </w:tc>
        <w:tc>
          <w:tcPr>
            <w:tcW w:w="1186" w:type="dxa"/>
            <w:tcBorders>
              <w:bottom w:val="single" w:sz="4" w:space="0" w:color="4F6228"/>
            </w:tcBorders>
            <w:shd w:val="clear" w:color="auto" w:fill="auto"/>
            <w:noWrap/>
            <w:vAlign w:val="bottom"/>
            <w:hideMark/>
          </w:tcPr>
          <w:p w:rsidR="00291E20" w:rsidRPr="00B33636" w:rsidRDefault="00291E20" w:rsidP="005E09F4">
            <w:pPr>
              <w:pStyle w:val="BCSTabletext"/>
              <w:rPr>
                <w:lang w:eastAsia="zh-CN"/>
              </w:rPr>
            </w:pPr>
            <w:r w:rsidRPr="00B33636">
              <w:rPr>
                <w:lang w:eastAsia="zh-CN"/>
              </w:rPr>
              <w:t>14.41%</w:t>
            </w:r>
          </w:p>
        </w:tc>
      </w:tr>
      <w:tr w:rsidR="00291E20" w:rsidRPr="004F1166" w:rsidTr="00291E20">
        <w:trPr>
          <w:trHeight w:val="285"/>
        </w:trPr>
        <w:tc>
          <w:tcPr>
            <w:tcW w:w="2779"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Regional MLA</w:t>
            </w:r>
          </w:p>
        </w:tc>
        <w:tc>
          <w:tcPr>
            <w:tcW w:w="1276"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0.00%</w:t>
            </w:r>
          </w:p>
        </w:tc>
        <w:tc>
          <w:tcPr>
            <w:tcW w:w="1417"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5.41%</w:t>
            </w:r>
          </w:p>
        </w:tc>
        <w:tc>
          <w:tcPr>
            <w:tcW w:w="1418"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8.11%</w:t>
            </w:r>
          </w:p>
        </w:tc>
        <w:tc>
          <w:tcPr>
            <w:tcW w:w="1559"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42.34%</w:t>
            </w:r>
          </w:p>
        </w:tc>
        <w:tc>
          <w:tcPr>
            <w:tcW w:w="1276"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20.72%</w:t>
            </w:r>
          </w:p>
        </w:tc>
        <w:tc>
          <w:tcPr>
            <w:tcW w:w="1186" w:type="dxa"/>
            <w:shd w:val="clear" w:color="auto" w:fill="C2D69B"/>
            <w:noWrap/>
            <w:vAlign w:val="bottom"/>
            <w:hideMark/>
          </w:tcPr>
          <w:p w:rsidR="00291E20" w:rsidRPr="00B33636" w:rsidRDefault="00291E20" w:rsidP="005E09F4">
            <w:pPr>
              <w:pStyle w:val="BCSTabletext"/>
              <w:rPr>
                <w:lang w:eastAsia="zh-CN"/>
              </w:rPr>
            </w:pPr>
            <w:r w:rsidRPr="00B33636">
              <w:rPr>
                <w:lang w:eastAsia="zh-CN"/>
              </w:rPr>
              <w:t>16.22%</w:t>
            </w:r>
          </w:p>
        </w:tc>
      </w:tr>
    </w:tbl>
    <w:p w:rsidR="00291E20" w:rsidRDefault="00291E20" w:rsidP="005E09F4">
      <w:pPr>
        <w:pStyle w:val="BCSTabletextafter"/>
      </w:pPr>
      <w:r w:rsidRPr="0077753A">
        <w:t>(</w:t>
      </w:r>
      <w:r>
        <w:t xml:space="preserve">NB: </w:t>
      </w:r>
      <w:r w:rsidRPr="0077753A">
        <w:t>Table excl</w:t>
      </w:r>
      <w:r>
        <w:t>udes figures for ‘missing values/ no reply</w:t>
      </w:r>
      <w:r w:rsidRPr="0077753A">
        <w:t>’)</w:t>
      </w:r>
    </w:p>
    <w:p w:rsidR="00291E20" w:rsidRDefault="00291E20" w:rsidP="00291E20">
      <w:pPr>
        <w:contextualSpacing/>
      </w:pPr>
    </w:p>
    <w:p w:rsidR="00291E20" w:rsidRDefault="00291E20" w:rsidP="00291E20">
      <w:pPr>
        <w:contextualSpacing/>
      </w:pPr>
    </w:p>
    <w:p w:rsidR="00291E20" w:rsidRDefault="00291E20" w:rsidP="005E09F4">
      <w:pPr>
        <w:pStyle w:val="BCSParagraph"/>
      </w:pPr>
      <w:r>
        <w:t>Those policies/ external resources which were considered to offer the most support to VCS/ WEA organisations (</w:t>
      </w:r>
      <w:hyperlink w:anchor="_Table_12:_Levels" w:history="1">
        <w:r w:rsidRPr="00CC1978">
          <w:rPr>
            <w:rStyle w:val="Hyperlink"/>
          </w:rPr>
          <w:t>table 12</w:t>
        </w:r>
      </w:hyperlink>
      <w:r>
        <w:t>) were; the LSC Quality Improvement Strategy (55.06% ‘to some extent’ and 12.36% ‘very much’), the Government Skills Strategy (46.07% ‘to some extent’ and 12.36% ‘very much’), the Harnessing Technology Strategy (31.46% ‘to some extent’ and 11.24% ‘very much’), and Digital Britain (24.72% ‘to some extent’ and 4.49% ‘very much’).</w:t>
      </w:r>
    </w:p>
    <w:p w:rsidR="00291E20" w:rsidRDefault="00291E20" w:rsidP="005E09F4">
      <w:pPr>
        <w:pStyle w:val="BCSParagraph"/>
      </w:pPr>
    </w:p>
    <w:p w:rsidR="00291E20" w:rsidRDefault="00291E20" w:rsidP="005E09F4">
      <w:pPr>
        <w:pStyle w:val="BCSParagraph"/>
      </w:pPr>
      <w:r>
        <w:t>The resource/ policy of use to the greater proportion of organisations ‘in isolated instances’ was The National Learning Network Programme (26.13% of LAs and 21.35% of VCS/ WEAs).</w:t>
      </w:r>
    </w:p>
    <w:p w:rsidR="00291E20" w:rsidRDefault="00291E20" w:rsidP="005E09F4">
      <w:pPr>
        <w:pStyle w:val="BCSParagraph"/>
      </w:pPr>
    </w:p>
    <w:p w:rsidR="00291E20" w:rsidRDefault="00291E20" w:rsidP="005E09F4">
      <w:pPr>
        <w:pStyle w:val="BCSParagraph"/>
      </w:pPr>
      <w:r>
        <w:t>The resources/ policies which were cited as having ‘little or no impact’ for LAs with most frequency were the British Library, the Culture Online Resource, and the Regional MLA (42.34% in each case).</w:t>
      </w:r>
    </w:p>
    <w:p w:rsidR="00291E20" w:rsidRDefault="00291E20" w:rsidP="005E09F4">
      <w:pPr>
        <w:pStyle w:val="BCSParagraph"/>
      </w:pPr>
    </w:p>
    <w:p w:rsidR="00291E20" w:rsidRDefault="00291E20" w:rsidP="005E09F4">
      <w:pPr>
        <w:pStyle w:val="BCSParagraph"/>
      </w:pPr>
      <w:r>
        <w:t>The resources/ policies which were cited as having ‘little or no impact’ for VCS/ WEA organisations with most frequency were the British Library (35.96%), the National Archive, and the Culture Online Resources (34.83% in both cases).</w:t>
      </w:r>
    </w:p>
    <w:p w:rsidR="00291E20" w:rsidRDefault="00291E20" w:rsidP="005E09F4">
      <w:pPr>
        <w:pStyle w:val="BCSParagraph"/>
      </w:pPr>
    </w:p>
    <w:p w:rsidR="00291E20" w:rsidRPr="00346433" w:rsidRDefault="00291E20" w:rsidP="005E09F4">
      <w:pPr>
        <w:pStyle w:val="BCSTableheadings"/>
        <w:rPr>
          <w:i/>
        </w:rPr>
      </w:pPr>
      <w:bookmarkStart w:id="69" w:name="_Table_11:_Levels"/>
      <w:bookmarkStart w:id="70" w:name="_Table_12:_Levels"/>
      <w:bookmarkStart w:id="71" w:name="_Toc256332149"/>
      <w:bookmarkEnd w:id="69"/>
      <w:bookmarkEnd w:id="70"/>
      <w:r>
        <w:t>Table 12</w:t>
      </w:r>
      <w:r w:rsidRPr="004F1166">
        <w:t xml:space="preserve">: Levels of </w:t>
      </w:r>
      <w:r>
        <w:t>policy</w:t>
      </w:r>
      <w:r w:rsidRPr="004F1166">
        <w:t xml:space="preserve">/ external </w:t>
      </w:r>
      <w:r>
        <w:t>resource</w:t>
      </w:r>
      <w:r w:rsidRPr="004F1166">
        <w:t xml:space="preserve"> support experienced</w:t>
      </w:r>
      <w:r>
        <w:t xml:space="preserve"> by VCS/ WEA organisations</w:t>
      </w:r>
      <w:bookmarkEnd w:id="71"/>
      <w:r w:rsidRPr="004F1166">
        <w:t xml:space="preserve"> </w:t>
      </w:r>
    </w:p>
    <w:tbl>
      <w:tblPr>
        <w:tblW w:w="10844" w:type="dxa"/>
        <w:tblInd w:w="-601"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tblPr>
      <w:tblGrid>
        <w:gridCol w:w="2764"/>
        <w:gridCol w:w="1417"/>
        <w:gridCol w:w="1418"/>
        <w:gridCol w:w="1417"/>
        <w:gridCol w:w="1276"/>
        <w:gridCol w:w="1276"/>
        <w:gridCol w:w="1276"/>
      </w:tblGrid>
      <w:tr w:rsidR="00291E20" w:rsidRPr="00346433" w:rsidTr="00291E20">
        <w:trPr>
          <w:trHeight w:val="285"/>
        </w:trPr>
        <w:tc>
          <w:tcPr>
            <w:tcW w:w="2764" w:type="dxa"/>
            <w:shd w:val="clear" w:color="auto" w:fill="76923C"/>
            <w:noWrap/>
            <w:vAlign w:val="bottom"/>
            <w:hideMark/>
          </w:tcPr>
          <w:p w:rsidR="00291E20" w:rsidRPr="003A09AF" w:rsidRDefault="00291E20" w:rsidP="005E09F4">
            <w:pPr>
              <w:pStyle w:val="BCSTabletext"/>
              <w:rPr>
                <w:lang w:eastAsia="zh-CN"/>
              </w:rPr>
            </w:pPr>
            <w:r w:rsidRPr="00346433">
              <w:rPr>
                <w:lang w:eastAsia="zh-CN"/>
              </w:rPr>
              <w:t>Policies</w:t>
            </w:r>
          </w:p>
        </w:tc>
        <w:tc>
          <w:tcPr>
            <w:tcW w:w="1417" w:type="dxa"/>
            <w:shd w:val="clear" w:color="auto" w:fill="76923C"/>
            <w:noWrap/>
            <w:vAlign w:val="bottom"/>
            <w:hideMark/>
          </w:tcPr>
          <w:p w:rsidR="00291E20" w:rsidRPr="003A09AF" w:rsidRDefault="00291E20" w:rsidP="005E09F4">
            <w:pPr>
              <w:pStyle w:val="BCSTabletext"/>
              <w:rPr>
                <w:lang w:eastAsia="zh-CN"/>
              </w:rPr>
            </w:pPr>
            <w:r w:rsidRPr="003A09AF">
              <w:rPr>
                <w:lang w:eastAsia="zh-CN"/>
              </w:rPr>
              <w:t>Very much</w:t>
            </w:r>
          </w:p>
        </w:tc>
        <w:tc>
          <w:tcPr>
            <w:tcW w:w="1418" w:type="dxa"/>
            <w:shd w:val="clear" w:color="auto" w:fill="76923C"/>
            <w:noWrap/>
            <w:vAlign w:val="bottom"/>
            <w:hideMark/>
          </w:tcPr>
          <w:p w:rsidR="00291E20" w:rsidRPr="003A09AF" w:rsidRDefault="00291E20" w:rsidP="005E09F4">
            <w:pPr>
              <w:pStyle w:val="BCSTabletext"/>
              <w:rPr>
                <w:lang w:eastAsia="zh-CN"/>
              </w:rPr>
            </w:pPr>
            <w:r w:rsidRPr="003A09AF">
              <w:rPr>
                <w:lang w:eastAsia="zh-CN"/>
              </w:rPr>
              <w:t>To some extent</w:t>
            </w:r>
          </w:p>
        </w:tc>
        <w:tc>
          <w:tcPr>
            <w:tcW w:w="1417" w:type="dxa"/>
            <w:shd w:val="clear" w:color="auto" w:fill="76923C"/>
            <w:noWrap/>
            <w:vAlign w:val="bottom"/>
            <w:hideMark/>
          </w:tcPr>
          <w:p w:rsidR="00291E20" w:rsidRPr="003A09AF" w:rsidRDefault="00291E20" w:rsidP="005E09F4">
            <w:pPr>
              <w:pStyle w:val="BCSTabletext"/>
              <w:rPr>
                <w:lang w:eastAsia="zh-CN"/>
              </w:rPr>
            </w:pPr>
            <w:r w:rsidRPr="003A09AF">
              <w:rPr>
                <w:lang w:eastAsia="zh-CN"/>
              </w:rPr>
              <w:t>In isolated instances</w:t>
            </w:r>
          </w:p>
        </w:tc>
        <w:tc>
          <w:tcPr>
            <w:tcW w:w="1276" w:type="dxa"/>
            <w:shd w:val="clear" w:color="auto" w:fill="76923C"/>
            <w:noWrap/>
            <w:vAlign w:val="bottom"/>
            <w:hideMark/>
          </w:tcPr>
          <w:p w:rsidR="00291E20" w:rsidRPr="003A09AF" w:rsidRDefault="00291E20" w:rsidP="005E09F4">
            <w:pPr>
              <w:pStyle w:val="BCSTabletext"/>
              <w:rPr>
                <w:lang w:eastAsia="zh-CN"/>
              </w:rPr>
            </w:pPr>
            <w:r w:rsidRPr="003A09AF">
              <w:rPr>
                <w:lang w:eastAsia="zh-CN"/>
              </w:rPr>
              <w:t>Little or no impact</w:t>
            </w:r>
          </w:p>
        </w:tc>
        <w:tc>
          <w:tcPr>
            <w:tcW w:w="1276" w:type="dxa"/>
            <w:shd w:val="clear" w:color="auto" w:fill="76923C"/>
            <w:noWrap/>
            <w:vAlign w:val="bottom"/>
            <w:hideMark/>
          </w:tcPr>
          <w:p w:rsidR="00291E20" w:rsidRPr="003A09AF" w:rsidRDefault="00291E20" w:rsidP="005E09F4">
            <w:pPr>
              <w:pStyle w:val="BCSTabletext"/>
              <w:rPr>
                <w:lang w:eastAsia="zh-CN"/>
              </w:rPr>
            </w:pPr>
            <w:r w:rsidRPr="003A09AF">
              <w:rPr>
                <w:lang w:eastAsia="zh-CN"/>
              </w:rPr>
              <w:t>Not sure</w:t>
            </w:r>
          </w:p>
        </w:tc>
        <w:tc>
          <w:tcPr>
            <w:tcW w:w="1276" w:type="dxa"/>
            <w:shd w:val="clear" w:color="auto" w:fill="76923C"/>
            <w:noWrap/>
            <w:vAlign w:val="bottom"/>
            <w:hideMark/>
          </w:tcPr>
          <w:p w:rsidR="00291E20" w:rsidRPr="003A09AF" w:rsidRDefault="00291E20" w:rsidP="005E09F4">
            <w:pPr>
              <w:pStyle w:val="BCSTabletext"/>
              <w:rPr>
                <w:lang w:eastAsia="zh-CN"/>
              </w:rPr>
            </w:pPr>
            <w:r w:rsidRPr="003A09AF">
              <w:rPr>
                <w:lang w:eastAsia="zh-CN"/>
              </w:rPr>
              <w:t>N/A</w:t>
            </w:r>
          </w:p>
        </w:tc>
      </w:tr>
      <w:tr w:rsidR="00291E20" w:rsidRPr="00346433" w:rsidTr="00291E20">
        <w:trPr>
          <w:trHeight w:val="285"/>
        </w:trPr>
        <w:tc>
          <w:tcPr>
            <w:tcW w:w="2764"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Digital Britain</w:t>
            </w:r>
          </w:p>
        </w:tc>
        <w:tc>
          <w:tcPr>
            <w:tcW w:w="1417"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4.49%</w:t>
            </w:r>
          </w:p>
        </w:tc>
        <w:tc>
          <w:tcPr>
            <w:tcW w:w="1418"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24.72%</w:t>
            </w:r>
          </w:p>
        </w:tc>
        <w:tc>
          <w:tcPr>
            <w:tcW w:w="1417"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11.24%</w:t>
            </w:r>
          </w:p>
        </w:tc>
        <w:tc>
          <w:tcPr>
            <w:tcW w:w="1276"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24.72%</w:t>
            </w:r>
          </w:p>
        </w:tc>
        <w:tc>
          <w:tcPr>
            <w:tcW w:w="1276"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14.61%</w:t>
            </w:r>
          </w:p>
        </w:tc>
        <w:tc>
          <w:tcPr>
            <w:tcW w:w="1276"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14.61%</w:t>
            </w:r>
          </w:p>
        </w:tc>
      </w:tr>
      <w:tr w:rsidR="00291E20" w:rsidRPr="00346433" w:rsidTr="00291E20">
        <w:trPr>
          <w:trHeight w:val="285"/>
        </w:trPr>
        <w:tc>
          <w:tcPr>
            <w:tcW w:w="2764"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Harnessing Technology</w:t>
            </w:r>
          </w:p>
        </w:tc>
        <w:tc>
          <w:tcPr>
            <w:tcW w:w="1417"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11.24%</w:t>
            </w:r>
          </w:p>
        </w:tc>
        <w:tc>
          <w:tcPr>
            <w:tcW w:w="1418"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31.46%</w:t>
            </w:r>
          </w:p>
        </w:tc>
        <w:tc>
          <w:tcPr>
            <w:tcW w:w="1417"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10.11%</w:t>
            </w:r>
          </w:p>
        </w:tc>
        <w:tc>
          <w:tcPr>
            <w:tcW w:w="1276"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26.97%</w:t>
            </w:r>
          </w:p>
        </w:tc>
        <w:tc>
          <w:tcPr>
            <w:tcW w:w="1276"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11.24%</w:t>
            </w:r>
          </w:p>
        </w:tc>
        <w:tc>
          <w:tcPr>
            <w:tcW w:w="1276"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6.74%</w:t>
            </w:r>
          </w:p>
        </w:tc>
      </w:tr>
      <w:tr w:rsidR="00291E20" w:rsidRPr="00346433" w:rsidTr="00291E20">
        <w:trPr>
          <w:trHeight w:val="285"/>
        </w:trPr>
        <w:tc>
          <w:tcPr>
            <w:tcW w:w="2764"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National Learning Network</w:t>
            </w:r>
          </w:p>
        </w:tc>
        <w:tc>
          <w:tcPr>
            <w:tcW w:w="1417"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3.37%</w:t>
            </w:r>
          </w:p>
        </w:tc>
        <w:tc>
          <w:tcPr>
            <w:tcW w:w="1418"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19.10%</w:t>
            </w:r>
          </w:p>
        </w:tc>
        <w:tc>
          <w:tcPr>
            <w:tcW w:w="1417"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21.35%</w:t>
            </w:r>
          </w:p>
        </w:tc>
        <w:tc>
          <w:tcPr>
            <w:tcW w:w="1276"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23.60%</w:t>
            </w:r>
          </w:p>
        </w:tc>
        <w:tc>
          <w:tcPr>
            <w:tcW w:w="1276"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16.85%</w:t>
            </w:r>
          </w:p>
        </w:tc>
        <w:tc>
          <w:tcPr>
            <w:tcW w:w="1276"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12.36%</w:t>
            </w:r>
          </w:p>
        </w:tc>
      </w:tr>
      <w:tr w:rsidR="00291E20" w:rsidRPr="00346433" w:rsidTr="00291E20">
        <w:trPr>
          <w:trHeight w:val="285"/>
        </w:trPr>
        <w:tc>
          <w:tcPr>
            <w:tcW w:w="2764"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National Archive</w:t>
            </w:r>
          </w:p>
        </w:tc>
        <w:tc>
          <w:tcPr>
            <w:tcW w:w="1417"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0.00%</w:t>
            </w:r>
          </w:p>
        </w:tc>
        <w:tc>
          <w:tcPr>
            <w:tcW w:w="1418"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5.62%</w:t>
            </w:r>
          </w:p>
        </w:tc>
        <w:tc>
          <w:tcPr>
            <w:tcW w:w="1417"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11.24%</w:t>
            </w:r>
          </w:p>
        </w:tc>
        <w:tc>
          <w:tcPr>
            <w:tcW w:w="1276"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34.83%</w:t>
            </w:r>
          </w:p>
        </w:tc>
        <w:tc>
          <w:tcPr>
            <w:tcW w:w="1276"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21.35%</w:t>
            </w:r>
          </w:p>
        </w:tc>
        <w:tc>
          <w:tcPr>
            <w:tcW w:w="1276"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20.22%</w:t>
            </w:r>
          </w:p>
        </w:tc>
      </w:tr>
      <w:tr w:rsidR="00291E20" w:rsidRPr="00346433" w:rsidTr="00291E20">
        <w:trPr>
          <w:trHeight w:val="285"/>
        </w:trPr>
        <w:tc>
          <w:tcPr>
            <w:tcW w:w="2764"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Pr>
                <w:lang w:eastAsia="zh-CN"/>
              </w:rPr>
              <w:t>LSC Quality Improve</w:t>
            </w:r>
            <w:r w:rsidRPr="003A09AF">
              <w:rPr>
                <w:lang w:eastAsia="zh-CN"/>
              </w:rPr>
              <w:t>ment</w:t>
            </w:r>
          </w:p>
        </w:tc>
        <w:tc>
          <w:tcPr>
            <w:tcW w:w="1417"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12.36%</w:t>
            </w:r>
          </w:p>
        </w:tc>
        <w:tc>
          <w:tcPr>
            <w:tcW w:w="1418"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55.06%</w:t>
            </w:r>
          </w:p>
        </w:tc>
        <w:tc>
          <w:tcPr>
            <w:tcW w:w="1417"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11.24%</w:t>
            </w:r>
          </w:p>
        </w:tc>
        <w:tc>
          <w:tcPr>
            <w:tcW w:w="1276"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11.24%</w:t>
            </w:r>
          </w:p>
        </w:tc>
        <w:tc>
          <w:tcPr>
            <w:tcW w:w="1276"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4.49%</w:t>
            </w:r>
          </w:p>
        </w:tc>
        <w:tc>
          <w:tcPr>
            <w:tcW w:w="1276"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2.25%</w:t>
            </w:r>
          </w:p>
        </w:tc>
      </w:tr>
      <w:tr w:rsidR="00291E20" w:rsidRPr="00346433" w:rsidTr="00291E20">
        <w:trPr>
          <w:trHeight w:val="285"/>
        </w:trPr>
        <w:tc>
          <w:tcPr>
            <w:tcW w:w="2764" w:type="dxa"/>
            <w:shd w:val="clear" w:color="auto" w:fill="C2D69B"/>
            <w:noWrap/>
            <w:vAlign w:val="bottom"/>
            <w:hideMark/>
          </w:tcPr>
          <w:p w:rsidR="00291E20" w:rsidRPr="003A09AF" w:rsidRDefault="00291E20" w:rsidP="005E09F4">
            <w:pPr>
              <w:pStyle w:val="BCSTabletext"/>
              <w:rPr>
                <w:lang w:eastAsia="zh-CN"/>
              </w:rPr>
            </w:pPr>
            <w:r>
              <w:rPr>
                <w:lang w:eastAsia="zh-CN"/>
              </w:rPr>
              <w:t>Govern</w:t>
            </w:r>
            <w:r w:rsidRPr="003A09AF">
              <w:rPr>
                <w:lang w:eastAsia="zh-CN"/>
              </w:rPr>
              <w:t>ment Skills Strategy</w:t>
            </w:r>
          </w:p>
        </w:tc>
        <w:tc>
          <w:tcPr>
            <w:tcW w:w="1417"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12.36%</w:t>
            </w:r>
          </w:p>
        </w:tc>
        <w:tc>
          <w:tcPr>
            <w:tcW w:w="1418"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46.07%</w:t>
            </w:r>
          </w:p>
        </w:tc>
        <w:tc>
          <w:tcPr>
            <w:tcW w:w="1417"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8.99%</w:t>
            </w:r>
          </w:p>
        </w:tc>
        <w:tc>
          <w:tcPr>
            <w:tcW w:w="1276"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15.73%</w:t>
            </w:r>
          </w:p>
        </w:tc>
        <w:tc>
          <w:tcPr>
            <w:tcW w:w="1276"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7.87%</w:t>
            </w:r>
          </w:p>
        </w:tc>
        <w:tc>
          <w:tcPr>
            <w:tcW w:w="1276"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2.25%</w:t>
            </w:r>
          </w:p>
        </w:tc>
      </w:tr>
      <w:tr w:rsidR="00291E20" w:rsidRPr="00346433" w:rsidTr="00291E20">
        <w:trPr>
          <w:trHeight w:val="285"/>
        </w:trPr>
        <w:tc>
          <w:tcPr>
            <w:tcW w:w="2764"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Extended Schools</w:t>
            </w:r>
          </w:p>
        </w:tc>
        <w:tc>
          <w:tcPr>
            <w:tcW w:w="1417"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1.12%</w:t>
            </w:r>
          </w:p>
        </w:tc>
        <w:tc>
          <w:tcPr>
            <w:tcW w:w="1418"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14.61%</w:t>
            </w:r>
          </w:p>
        </w:tc>
        <w:tc>
          <w:tcPr>
            <w:tcW w:w="1417"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7.87%</w:t>
            </w:r>
          </w:p>
        </w:tc>
        <w:tc>
          <w:tcPr>
            <w:tcW w:w="1276"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26.97%</w:t>
            </w:r>
          </w:p>
        </w:tc>
        <w:tc>
          <w:tcPr>
            <w:tcW w:w="1276"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7.87%</w:t>
            </w:r>
          </w:p>
        </w:tc>
        <w:tc>
          <w:tcPr>
            <w:tcW w:w="1276"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38.20%</w:t>
            </w:r>
          </w:p>
        </w:tc>
      </w:tr>
      <w:tr w:rsidR="00291E20" w:rsidRPr="00346433" w:rsidTr="00291E20">
        <w:trPr>
          <w:trHeight w:val="285"/>
        </w:trPr>
        <w:tc>
          <w:tcPr>
            <w:tcW w:w="2764"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British Library</w:t>
            </w:r>
          </w:p>
        </w:tc>
        <w:tc>
          <w:tcPr>
            <w:tcW w:w="1417"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0.00%</w:t>
            </w:r>
          </w:p>
        </w:tc>
        <w:tc>
          <w:tcPr>
            <w:tcW w:w="1418"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3.37%</w:t>
            </w:r>
          </w:p>
        </w:tc>
        <w:tc>
          <w:tcPr>
            <w:tcW w:w="1417"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8.99%</w:t>
            </w:r>
          </w:p>
        </w:tc>
        <w:tc>
          <w:tcPr>
            <w:tcW w:w="1276"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35.96%</w:t>
            </w:r>
          </w:p>
        </w:tc>
        <w:tc>
          <w:tcPr>
            <w:tcW w:w="1276"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14.61%</w:t>
            </w:r>
          </w:p>
        </w:tc>
        <w:tc>
          <w:tcPr>
            <w:tcW w:w="1276"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33.71%</w:t>
            </w:r>
          </w:p>
        </w:tc>
      </w:tr>
      <w:tr w:rsidR="00291E20" w:rsidRPr="00346433" w:rsidTr="00291E20">
        <w:trPr>
          <w:trHeight w:val="285"/>
        </w:trPr>
        <w:tc>
          <w:tcPr>
            <w:tcW w:w="2764"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Culture Online Resource</w:t>
            </w:r>
          </w:p>
        </w:tc>
        <w:tc>
          <w:tcPr>
            <w:tcW w:w="1417"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2.25%</w:t>
            </w:r>
          </w:p>
        </w:tc>
        <w:tc>
          <w:tcPr>
            <w:tcW w:w="1418"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4.49%</w:t>
            </w:r>
          </w:p>
        </w:tc>
        <w:tc>
          <w:tcPr>
            <w:tcW w:w="1417"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10.11%</w:t>
            </w:r>
          </w:p>
        </w:tc>
        <w:tc>
          <w:tcPr>
            <w:tcW w:w="1276"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34.83%</w:t>
            </w:r>
          </w:p>
        </w:tc>
        <w:tc>
          <w:tcPr>
            <w:tcW w:w="1276"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14.61%</w:t>
            </w:r>
          </w:p>
        </w:tc>
        <w:tc>
          <w:tcPr>
            <w:tcW w:w="1276" w:type="dxa"/>
            <w:tcBorders>
              <w:bottom w:val="single" w:sz="4" w:space="0" w:color="4F6228"/>
            </w:tcBorders>
            <w:shd w:val="clear" w:color="auto" w:fill="auto"/>
            <w:noWrap/>
            <w:vAlign w:val="bottom"/>
            <w:hideMark/>
          </w:tcPr>
          <w:p w:rsidR="00291E20" w:rsidRPr="003A09AF" w:rsidRDefault="00291E20" w:rsidP="005E09F4">
            <w:pPr>
              <w:pStyle w:val="BCSTabletext"/>
              <w:rPr>
                <w:lang w:eastAsia="zh-CN"/>
              </w:rPr>
            </w:pPr>
            <w:r w:rsidRPr="003A09AF">
              <w:rPr>
                <w:lang w:eastAsia="zh-CN"/>
              </w:rPr>
              <w:t>30.34%</w:t>
            </w:r>
          </w:p>
        </w:tc>
      </w:tr>
      <w:tr w:rsidR="00291E20" w:rsidRPr="00346433" w:rsidTr="00291E20">
        <w:trPr>
          <w:trHeight w:val="285"/>
        </w:trPr>
        <w:tc>
          <w:tcPr>
            <w:tcW w:w="2764"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Regional MLA</w:t>
            </w:r>
          </w:p>
        </w:tc>
        <w:tc>
          <w:tcPr>
            <w:tcW w:w="1417"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1.12%</w:t>
            </w:r>
          </w:p>
        </w:tc>
        <w:tc>
          <w:tcPr>
            <w:tcW w:w="1418"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2.25%</w:t>
            </w:r>
          </w:p>
        </w:tc>
        <w:tc>
          <w:tcPr>
            <w:tcW w:w="1417"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7.87%</w:t>
            </w:r>
          </w:p>
        </w:tc>
        <w:tc>
          <w:tcPr>
            <w:tcW w:w="1276"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31.46%</w:t>
            </w:r>
          </w:p>
        </w:tc>
        <w:tc>
          <w:tcPr>
            <w:tcW w:w="1276"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19.10%</w:t>
            </w:r>
          </w:p>
        </w:tc>
        <w:tc>
          <w:tcPr>
            <w:tcW w:w="1276" w:type="dxa"/>
            <w:shd w:val="clear" w:color="auto" w:fill="C2D69B"/>
            <w:noWrap/>
            <w:vAlign w:val="bottom"/>
            <w:hideMark/>
          </w:tcPr>
          <w:p w:rsidR="00291E20" w:rsidRPr="003A09AF" w:rsidRDefault="00291E20" w:rsidP="005E09F4">
            <w:pPr>
              <w:pStyle w:val="BCSTabletext"/>
              <w:rPr>
                <w:lang w:eastAsia="zh-CN"/>
              </w:rPr>
            </w:pPr>
            <w:r w:rsidRPr="003A09AF">
              <w:rPr>
                <w:lang w:eastAsia="zh-CN"/>
              </w:rPr>
              <w:t>33.71%</w:t>
            </w:r>
          </w:p>
        </w:tc>
      </w:tr>
    </w:tbl>
    <w:p w:rsidR="00291E20" w:rsidRDefault="00291E20" w:rsidP="005E09F4">
      <w:pPr>
        <w:pStyle w:val="BCSTabletextafter"/>
      </w:pPr>
      <w:r w:rsidRPr="0077753A">
        <w:t>(</w:t>
      </w:r>
      <w:r>
        <w:t xml:space="preserve">NB: </w:t>
      </w:r>
      <w:r w:rsidRPr="0077753A">
        <w:t>Table excl</w:t>
      </w:r>
      <w:r>
        <w:t>udes figures for ‘missing values/ no reply</w:t>
      </w:r>
      <w:r w:rsidRPr="0077753A">
        <w:t>’)</w:t>
      </w:r>
    </w:p>
    <w:p w:rsidR="00291E20" w:rsidRPr="003455D6" w:rsidRDefault="00291E20" w:rsidP="005E09F4">
      <w:pPr>
        <w:pStyle w:val="BCSParagraph"/>
      </w:pPr>
      <w:r>
        <w:t>When compared to the 2008/09 survey, the most notable difference was the reduced frequency with which the National Learning Network resources were cited.  In 2008/09 this resource was cited in the top 3 resources but by 2009/10 it had fallen to the fourth most cited resources amongst local authorities.</w:t>
      </w:r>
    </w:p>
    <w:p w:rsidR="00291E20" w:rsidRDefault="00291E20" w:rsidP="00291E20">
      <w:pPr>
        <w:contextualSpacing/>
      </w:pPr>
    </w:p>
    <w:p w:rsidR="00291E20" w:rsidRDefault="00291E20" w:rsidP="005E09F4">
      <w:pPr>
        <w:pStyle w:val="BCSParagraph"/>
        <w:rPr>
          <w:u w:val="single"/>
        </w:rPr>
      </w:pPr>
      <w:r w:rsidRPr="005E09F4">
        <w:t>Impact of e-learning and ICT policies</w:t>
      </w:r>
      <w:r w:rsidRPr="00D15A9B">
        <w:rPr>
          <w:u w:val="single"/>
        </w:rPr>
        <w:t>:</w:t>
      </w:r>
    </w:p>
    <w:p w:rsidR="00291E20" w:rsidRDefault="00291E20" w:rsidP="005E09F4">
      <w:pPr>
        <w:pStyle w:val="BCSParagraph"/>
      </w:pPr>
      <w:r>
        <w:t>In order to establish the extent to which organisations believed that central government’s e-learning and ICT policies has positively impacted upon their work, respondents were asked to indicate, on five-point scale, the extent to which this was true.   Organisations could also indicate if they didn’t know or if they felt the policy was not applicable.  Overall, the following can be said:</w:t>
      </w:r>
    </w:p>
    <w:p w:rsidR="00291E20" w:rsidRDefault="00291E20" w:rsidP="005E09F4">
      <w:pPr>
        <w:pStyle w:val="BCSParagraph"/>
      </w:pPr>
    </w:p>
    <w:p w:rsidR="00291E20" w:rsidRPr="005E09F4" w:rsidRDefault="00291E20" w:rsidP="005E09F4">
      <w:pPr>
        <w:pStyle w:val="BCSBulletparagraph"/>
      </w:pPr>
      <w:r w:rsidRPr="005E09F4">
        <w:t>In total, the most frequently occurring response, across both LAs and VCS/ WEAs, was that central government policies had positively impacted ‘to some extent’; 36.82% of LA and 30.48% of VCS/ WEA responses.  The second most frequently occurring response was ‘little or no impact’; 19.82% of LA and 20.22% of VCS/ WEA responses.</w:t>
      </w:r>
    </w:p>
    <w:p w:rsidR="00291E20" w:rsidRPr="005E09F4" w:rsidRDefault="00291E20" w:rsidP="005E09F4">
      <w:pPr>
        <w:pStyle w:val="BCSBulletparagraph"/>
      </w:pPr>
      <w:r w:rsidRPr="005E09F4">
        <w:t>On a case-level, the policy cited by most LAs as having most impact when combining results of ‘very much’ impact and ‘to some extent’) were; Family Cohesion policies and e-safety policies (57.66% in each case).  Of those, Family Cohesion policies were cited most frequently as have ‘very much’ impact (16.22% of all LAs), whilst e-safety was cited by 8.11% of LAs as being of ‘very much’ impact.</w:t>
      </w:r>
    </w:p>
    <w:p w:rsidR="00291E20" w:rsidRPr="005E09F4" w:rsidRDefault="00291E20" w:rsidP="005E09F4">
      <w:pPr>
        <w:pStyle w:val="BCSBulletparagraph"/>
      </w:pPr>
      <w:r w:rsidRPr="005E09F4">
        <w:t>Policies around the reduction of paperwork were the third most cited by LAs as being of either impact ‘very much’ impact and ‘to some extent’; 52.25% (45.95% ‘to some extent’ and 6.31% ‘very much’).</w:t>
      </w:r>
    </w:p>
    <w:p w:rsidR="00291E20" w:rsidRPr="005E09F4" w:rsidRDefault="00291E20" w:rsidP="005E09F4">
      <w:pPr>
        <w:pStyle w:val="BCSBulletparagraph"/>
      </w:pPr>
      <w:r w:rsidRPr="005E09F4">
        <w:t xml:space="preserve">On a case-level, the policy cited by most VCS/ WEAs as having most impact (when combining results of ‘very much’ impact and ‘to some extent’) were also Family Cohesion policies and e-safety policies (62.92% and 55.06%, respectively.  Family Cohesion policies were the policies cited most frequently as having ‘very much’ impact (25.84%), followed by Support for e-Government (21.35%).  </w:t>
      </w:r>
    </w:p>
    <w:p w:rsidR="00291E20" w:rsidRPr="005E09F4" w:rsidRDefault="00291E20" w:rsidP="005E09F4">
      <w:pPr>
        <w:pStyle w:val="BCSBulletparagraph"/>
      </w:pPr>
      <w:r w:rsidRPr="005E09F4">
        <w:t>Community Cohesion policies were the third most cited as having most impact (when combining results of ‘very much’ impact and ‘to some extent’); 53.93%.  These policies were also third most cited as having ‘very much’ impact (20.22%).</w:t>
      </w:r>
    </w:p>
    <w:p w:rsidR="00291E20" w:rsidRPr="005E09F4" w:rsidRDefault="00291E20" w:rsidP="005E09F4">
      <w:pPr>
        <w:pStyle w:val="BCSBulletparagraph"/>
      </w:pPr>
      <w:r w:rsidRPr="005E09F4">
        <w:t>The policies cited most often as having impact in ‘isolated instances’ were Community Cohesion amongst LAs (27.93%) and policies around reduced paperwork for VCS/ WEAs (22.47%).</w:t>
      </w:r>
    </w:p>
    <w:p w:rsidR="00291E20" w:rsidRPr="005E09F4" w:rsidRDefault="00291E20" w:rsidP="005E09F4">
      <w:pPr>
        <w:pStyle w:val="BCSBulletparagraph"/>
      </w:pPr>
      <w:r w:rsidRPr="005E09F4">
        <w:t>The policies most frequently cited as having ‘little or no impact’ were the 14-19 Diplomas across both cohorts; 28.83% of LAs and 26.97% of VCS/ WEAs.  These policies were also the most frequently cited, by far, as not being applicable to organisations; 36.04% of LAs and 48.31% of VCS/ WEAs</w:t>
      </w:r>
    </w:p>
    <w:p w:rsidR="00291E20" w:rsidRDefault="00291E20" w:rsidP="00291E20">
      <w:pPr>
        <w:contextualSpacing/>
      </w:pPr>
    </w:p>
    <w:p w:rsidR="00291E20" w:rsidRDefault="00291E20" w:rsidP="005E09F4">
      <w:pPr>
        <w:pStyle w:val="BCSParagraph"/>
      </w:pPr>
      <w:r>
        <w:t>When compared to the 2008/09 survey, family cohesion and e-safety were still the policies most cited as having had greatest level of impact, though proportionately, e-safety had seen a slight increase and family cohesion had seen a slight decrease.  However, 14-19 Diplomas were a new category for 2009/10 so there are no comparative figures.</w:t>
      </w:r>
    </w:p>
    <w:p w:rsidR="00291E20" w:rsidRPr="005E09F4" w:rsidRDefault="00291E20" w:rsidP="005E09F4">
      <w:pPr>
        <w:pStyle w:val="Heading1"/>
      </w:pPr>
      <w:r>
        <w:br w:type="page"/>
      </w:r>
      <w:bookmarkStart w:id="72" w:name="_Toc257276011"/>
      <w:r w:rsidRPr="005E09F4">
        <w:t>ACL Practitioners</w:t>
      </w:r>
      <w:bookmarkEnd w:id="72"/>
    </w:p>
    <w:p w:rsidR="00291E20" w:rsidRDefault="00291E20" w:rsidP="00942BFD">
      <w:pPr>
        <w:pStyle w:val="BCSParagraph"/>
      </w:pPr>
      <w:r>
        <w:t>Overall, 273 practitioners responded to the survey.  Within the 2008/09 survey, practitioners responded only through local authorities and were therefore easily categorized.  Within the 2009/10 survey, such categorization is problematised as the sessional nature of practitioners means that, often, they will work for more than one provider and/ or provider type; therefore, practitioners have been treated as a single cohort.  However, the 2008/09 survey did see a clear difference between the skills of e-guides and non e-guides; therefore a distinction has been drawn between these sub-cohorts for the 2009/10 survey.</w:t>
      </w:r>
    </w:p>
    <w:p w:rsidR="00291E20" w:rsidRDefault="00291E20" w:rsidP="00942BFD">
      <w:pPr>
        <w:pStyle w:val="BCSParagraph"/>
      </w:pPr>
    </w:p>
    <w:p w:rsidR="00291E20" w:rsidRDefault="00291E20" w:rsidP="00942BFD">
      <w:pPr>
        <w:pStyle w:val="BCSParagraph"/>
      </w:pPr>
      <w:r>
        <w:t>86 respondents were e-guides, whilst 181 were not and 6 respondents did not indicate their status in this case.  For the purposes of this analysis, the 6 missing values have been omitted; therefore the majority of the following analysis is based upon 267 practitioner returns</w:t>
      </w:r>
      <w:r>
        <w:rPr>
          <w:rStyle w:val="FootnoteReference"/>
        </w:rPr>
        <w:footnoteReference w:id="15"/>
      </w:r>
      <w:r>
        <w:t>.  In order to facilitate comparison between cohorts, percentages represent respondents as a proportion of their sub-cohort; i.e. e-guides, n=86 and non e-guides, n=181.</w:t>
      </w:r>
    </w:p>
    <w:p w:rsidR="00291E20" w:rsidRDefault="00291E20" w:rsidP="00291E20">
      <w:pPr>
        <w:contextualSpacing/>
      </w:pPr>
    </w:p>
    <w:p w:rsidR="00291E20" w:rsidRPr="00421C7D" w:rsidRDefault="00291E20" w:rsidP="00942BFD">
      <w:pPr>
        <w:pStyle w:val="Heading2"/>
        <w:rPr>
          <w:i/>
        </w:rPr>
      </w:pPr>
      <w:bookmarkStart w:id="73" w:name="_Toc257276012"/>
      <w:r w:rsidRPr="00421C7D">
        <w:t>You and your Organisation</w:t>
      </w:r>
      <w:bookmarkEnd w:id="73"/>
    </w:p>
    <w:p w:rsidR="00291E20" w:rsidRDefault="00291E20" w:rsidP="00942BFD">
      <w:pPr>
        <w:pStyle w:val="BCSParagraph"/>
      </w:pPr>
      <w:r>
        <w:t>The first section of the survey sought to understand more about the practitioners that responded to the survey – for example, where they were located, their predominate role, their working hours, the type of locations within which they taught and the types of programmes they delivered.  Overall, 31.50% were E-guides, 66.30% were non E-guides, and 2.20% did not specify (n=273).</w:t>
      </w:r>
    </w:p>
    <w:p w:rsidR="00291E20" w:rsidRDefault="00291E20" w:rsidP="00942BFD">
      <w:pPr>
        <w:pStyle w:val="BCSParagraph"/>
      </w:pPr>
    </w:p>
    <w:p w:rsidR="00291E20" w:rsidRDefault="00291E20" w:rsidP="00942BFD">
      <w:pPr>
        <w:pStyle w:val="BCSParagraph"/>
      </w:pPr>
      <w:r>
        <w:t>In terms of regional distribution respondents, the majority of all responses came from London (20.60%), followed by Yorkshire and Humberside (16.85%), the South East (13.86%), and the North West (13.11%).  The least represented regions were the North East (4.49%), the Eastern region (4.49%), and the West Midlands (4.87%).  Overall, 10.49% of responding practitioners came from the East Midlands and 11.24% came from the South West.</w:t>
      </w:r>
    </w:p>
    <w:p w:rsidR="00291E20" w:rsidRDefault="00291E20" w:rsidP="00291E20">
      <w:pPr>
        <w:contextualSpacing/>
      </w:pPr>
    </w:p>
    <w:p w:rsidR="00291E20" w:rsidRDefault="00291E20" w:rsidP="00942BFD">
      <w:pPr>
        <w:pStyle w:val="BCSParagraph"/>
      </w:pPr>
      <w:r>
        <w:t>In terms of regional distribution of respondents, by cohort type (</w:t>
      </w:r>
      <w:hyperlink w:anchor="_Figure_11:_Regional" w:history="1">
        <w:r w:rsidRPr="005B0C22">
          <w:rPr>
            <w:rStyle w:val="Hyperlink"/>
          </w:rPr>
          <w:t>figure 11</w:t>
        </w:r>
      </w:hyperlink>
      <w:r>
        <w:t>):</w:t>
      </w:r>
    </w:p>
    <w:p w:rsidR="00291E20" w:rsidRDefault="00291E20" w:rsidP="00942BFD">
      <w:pPr>
        <w:pStyle w:val="BCSBulletparagraph"/>
      </w:pPr>
      <w:r>
        <w:t>The majority of E-guides were located in London (26.74%), followed by the South East (17.44%), Yorkshire and Humberside (13.95%), and the North West (11.63%).</w:t>
      </w:r>
    </w:p>
    <w:p w:rsidR="00291E20" w:rsidRDefault="00291E20" w:rsidP="00942BFD">
      <w:pPr>
        <w:pStyle w:val="BCSBulletparagraph"/>
      </w:pPr>
      <w:r>
        <w:t>The majority of non E-guides came from Yorkshire and Humberside (18.23%), followed by London (17.68%), the North West (13.81%), and the South West (13.26%).</w:t>
      </w:r>
    </w:p>
    <w:p w:rsidR="00291E20" w:rsidRDefault="00291E20" w:rsidP="00942BFD">
      <w:pPr>
        <w:pStyle w:val="BCSBulletparagraph"/>
      </w:pPr>
      <w:r>
        <w:t>The regions with the lowest representation of E-guides were the Eastern region, the West Midlands, and the North East (4.65% in each case).</w:t>
      </w:r>
    </w:p>
    <w:p w:rsidR="00291E20" w:rsidRDefault="00291E20" w:rsidP="00942BFD">
      <w:pPr>
        <w:pStyle w:val="BCSBulletparagraph"/>
      </w:pPr>
      <w:r>
        <w:t>The regions with the lowest representation of non E-guides were also the Eastern region (4.42%), the North East (4.42%) and the West Midlands (4.97%).</w:t>
      </w:r>
    </w:p>
    <w:p w:rsidR="00291E20" w:rsidRDefault="00291E20" w:rsidP="00942BFD">
      <w:pPr>
        <w:pStyle w:val="BCSBulletparagraph"/>
        <w:numPr>
          <w:ilvl w:val="0"/>
          <w:numId w:val="0"/>
        </w:numPr>
        <w:ind w:left="720"/>
      </w:pPr>
    </w:p>
    <w:p w:rsidR="00291E20" w:rsidRDefault="00291E20" w:rsidP="00291E20">
      <w:pPr>
        <w:contextualSpacing/>
      </w:pPr>
    </w:p>
    <w:p w:rsidR="00291E20" w:rsidRPr="00000330" w:rsidRDefault="00291E20" w:rsidP="00942BFD">
      <w:pPr>
        <w:pStyle w:val="Heading4"/>
        <w:numPr>
          <w:ilvl w:val="0"/>
          <w:numId w:val="0"/>
        </w:numPr>
        <w:ind w:left="993"/>
        <w:rPr>
          <w:sz w:val="22"/>
          <w:szCs w:val="22"/>
        </w:rPr>
      </w:pPr>
      <w:bookmarkStart w:id="74" w:name="_Figure_11:_Regional"/>
      <w:bookmarkStart w:id="75" w:name="_Toc256332132"/>
      <w:bookmarkEnd w:id="74"/>
      <w:r>
        <w:rPr>
          <w:sz w:val="22"/>
          <w:szCs w:val="22"/>
        </w:rPr>
        <w:t>Figure 11</w:t>
      </w:r>
      <w:r w:rsidRPr="00000330">
        <w:rPr>
          <w:sz w:val="22"/>
          <w:szCs w:val="22"/>
        </w:rPr>
        <w:t>: Regional distribution of practitioners (E-guides and non E-guides)</w:t>
      </w:r>
      <w:bookmarkEnd w:id="75"/>
    </w:p>
    <w:p w:rsidR="00291E20" w:rsidRDefault="002102AA" w:rsidP="00291E20">
      <w:pPr>
        <w:ind w:hanging="567"/>
        <w:contextualSpacing/>
      </w:pPr>
      <w:r>
        <w:rPr>
          <w:noProof/>
        </w:rPr>
        <w:drawing>
          <wp:inline distT="0" distB="0" distL="0" distR="0">
            <wp:extent cx="6688455" cy="4762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6688455" cy="4762500"/>
                    </a:xfrm>
                    <a:prstGeom prst="rect">
                      <a:avLst/>
                    </a:prstGeom>
                    <a:noFill/>
                    <a:ln w="9525">
                      <a:noFill/>
                      <a:miter lim="800000"/>
                      <a:headEnd/>
                      <a:tailEnd/>
                    </a:ln>
                  </pic:spPr>
                </pic:pic>
              </a:graphicData>
            </a:graphic>
          </wp:inline>
        </w:drawing>
      </w:r>
    </w:p>
    <w:p w:rsidR="00291E20" w:rsidRDefault="00291E20" w:rsidP="00942BFD">
      <w:pPr>
        <w:pStyle w:val="BCSTabletextafter"/>
      </w:pPr>
      <w:r>
        <w:t>(</w:t>
      </w:r>
      <w:r w:rsidRPr="006B48E0">
        <w:t>NB: E-guides; n=86, non E-guides; n=181</w:t>
      </w:r>
      <w:r>
        <w:t>)</w:t>
      </w:r>
    </w:p>
    <w:p w:rsidR="00291E20" w:rsidRDefault="00291E20" w:rsidP="00291E20">
      <w:pPr>
        <w:contextualSpacing/>
      </w:pPr>
    </w:p>
    <w:p w:rsidR="00291E20" w:rsidRDefault="00291E20" w:rsidP="00942BFD">
      <w:pPr>
        <w:pStyle w:val="BCSParagraph"/>
      </w:pPr>
      <w:r>
        <w:t xml:space="preserve">The role of large majority of respondents to the survey predominately included teaching/ training, rather than learning support or other.  </w:t>
      </w:r>
    </w:p>
    <w:p w:rsidR="00291E20" w:rsidRDefault="00291E20" w:rsidP="00942BFD">
      <w:pPr>
        <w:pStyle w:val="BCSBulletparagraph"/>
      </w:pPr>
      <w:r>
        <w:t>The role of 80.33% of E-guides and 71.27% of non E-guides predominately included</w:t>
      </w:r>
      <w:r w:rsidRPr="00386CBE">
        <w:t xml:space="preserve"> </w:t>
      </w:r>
      <w:r>
        <w:t xml:space="preserve">teaching/ training </w:t>
      </w:r>
    </w:p>
    <w:p w:rsidR="00291E20" w:rsidRDefault="00291E20" w:rsidP="00942BFD">
      <w:pPr>
        <w:pStyle w:val="BCSBulletparagraph"/>
      </w:pPr>
      <w:r>
        <w:t>The role of 5.81% of E-guides and 7.18% of non E-guides predominately included learning support</w:t>
      </w:r>
    </w:p>
    <w:p w:rsidR="00291E20" w:rsidRDefault="00291E20" w:rsidP="00942BFD">
      <w:pPr>
        <w:pStyle w:val="BCSBulletparagraph"/>
      </w:pPr>
      <w:r>
        <w:t>13.95% of E-guides and 21.55% of non E-guides described their role as predominately ‘other’</w:t>
      </w:r>
    </w:p>
    <w:p w:rsidR="00291E20" w:rsidRDefault="00291E20" w:rsidP="00942BFD">
      <w:pPr>
        <w:pStyle w:val="BCSBulletparagraph"/>
      </w:pPr>
    </w:p>
    <w:p w:rsidR="00291E20" w:rsidRDefault="00291E20" w:rsidP="00942BFD">
      <w:pPr>
        <w:pStyle w:val="BCSBulletparagraph"/>
      </w:pPr>
      <w:r>
        <w:t>Practitioners were then asked to indicate, from three categories, the contact hours that they worked per week.  Overall, the following can be said;</w:t>
      </w:r>
    </w:p>
    <w:p w:rsidR="00291E20" w:rsidRDefault="00291E20" w:rsidP="00942BFD">
      <w:pPr>
        <w:pStyle w:val="BCSBulletparagraph"/>
      </w:pPr>
      <w:r>
        <w:t xml:space="preserve">The greater proportion of respondents indicated that they worked 14 or more contact hours per week; 40.70% of E-guides and 38.12% % of non E-guides.  </w:t>
      </w:r>
    </w:p>
    <w:p w:rsidR="00291E20" w:rsidRDefault="00291E20" w:rsidP="00942BFD">
      <w:pPr>
        <w:pStyle w:val="BCSBulletparagraph"/>
      </w:pPr>
      <w:r>
        <w:t xml:space="preserve">Second most cited category was that of contact hours up to 6 hours; 31.40% of E-guides and 32.60% of non E-guides </w:t>
      </w:r>
    </w:p>
    <w:p w:rsidR="00291E20" w:rsidRDefault="00291E20" w:rsidP="00942BFD">
      <w:pPr>
        <w:pStyle w:val="BCSBulletparagraph"/>
      </w:pPr>
      <w:r>
        <w:t>Approximately 1 in 4 respondents 7 to 13 contact hours per week; 26.74% of E-guides and 27.07% of non E-guides.</w:t>
      </w:r>
    </w:p>
    <w:p w:rsidR="00291E20" w:rsidRDefault="00291E20" w:rsidP="00291E20">
      <w:pPr>
        <w:ind w:left="360"/>
        <w:contextualSpacing/>
      </w:pPr>
    </w:p>
    <w:p w:rsidR="00291E20" w:rsidRDefault="00291E20" w:rsidP="00942BFD">
      <w:pPr>
        <w:pStyle w:val="BCSParagraph"/>
      </w:pPr>
      <w:r>
        <w:t>In order to establish the range of locations within which practitioners taught or facilitated learning, respondents were asked to indicate, from a list of seven locations or ‘other’, as many different types of location within which they practiced (</w:t>
      </w:r>
      <w:hyperlink w:anchor="_Figure_13:_Range" w:history="1">
        <w:r w:rsidRPr="00E204C8">
          <w:rPr>
            <w:rStyle w:val="Hyperlink"/>
          </w:rPr>
          <w:t>figure 12</w:t>
        </w:r>
      </w:hyperlink>
      <w:r>
        <w:t>).  Overall, the most cited type of location by far was ‘learning centre’, within which 80.23% of E-guides and 82.32% of non E-guides delivered/ facilitated.</w:t>
      </w:r>
    </w:p>
    <w:p w:rsidR="00291E20" w:rsidRDefault="00291E20" w:rsidP="00942BFD">
      <w:pPr>
        <w:pStyle w:val="BCSParagraph"/>
      </w:pPr>
      <w:r>
        <w:t xml:space="preserve">The second and third most cited locations were ‘community centre’ (45.35% of E-guides and 53.59% of non E-guides), and ‘library’ (22.09% of E-guides and 25.41% of non E-guides).  </w:t>
      </w:r>
    </w:p>
    <w:p w:rsidR="00291E20" w:rsidRDefault="00291E20" w:rsidP="00942BFD">
      <w:pPr>
        <w:pStyle w:val="BCSParagraph"/>
      </w:pPr>
      <w:r>
        <w:t xml:space="preserve">The fourth most cited location was, for non E-guides, ‘village hall’ and ‘other location’ (15.47% in each case).   For E-guides, this was ‘place of worship’ (13.95%).  </w:t>
      </w:r>
    </w:p>
    <w:p w:rsidR="00291E20" w:rsidRDefault="00291E20" w:rsidP="00942BFD">
      <w:pPr>
        <w:pStyle w:val="BCSParagraph"/>
      </w:pPr>
      <w:r>
        <w:t xml:space="preserve">Overall, 11.63% of E-guides and 12.15% of non E-guides taught at a distance and the least cited location type for both E-guides and non E-guides was ‘public house’ (3.49%, and 2.21%, respectively).   </w:t>
      </w:r>
    </w:p>
    <w:p w:rsidR="00291E20" w:rsidRDefault="00291E20" w:rsidP="00291E20"/>
    <w:p w:rsidR="00942BFD" w:rsidRDefault="00942BFD" w:rsidP="00291E20"/>
    <w:p w:rsidR="00942BFD" w:rsidRDefault="00942BFD" w:rsidP="00291E20"/>
    <w:p w:rsidR="00942BFD" w:rsidRPr="00CD349B" w:rsidRDefault="00942BFD" w:rsidP="00291E20"/>
    <w:p w:rsidR="00291E20" w:rsidRPr="00CD349B" w:rsidRDefault="00291E20" w:rsidP="00942BFD">
      <w:pPr>
        <w:pStyle w:val="BCSTableheadings"/>
      </w:pPr>
      <w:bookmarkStart w:id="76" w:name="_Toc256332133"/>
      <w:r w:rsidRPr="00CD349B">
        <w:t>Figure 12: Venues within which practitioners teach or facilitate adult learning</w:t>
      </w:r>
      <w:bookmarkEnd w:id="76"/>
    </w:p>
    <w:p w:rsidR="00291E20" w:rsidRDefault="002102AA" w:rsidP="00291E20">
      <w:pPr>
        <w:ind w:hanging="567"/>
        <w:contextualSpacing/>
      </w:pPr>
      <w:r>
        <w:rPr>
          <w:noProof/>
        </w:rPr>
        <w:drawing>
          <wp:inline distT="0" distB="0" distL="0" distR="0">
            <wp:extent cx="6548755" cy="44367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srcRect/>
                    <a:stretch>
                      <a:fillRect/>
                    </a:stretch>
                  </pic:blipFill>
                  <pic:spPr bwMode="auto">
                    <a:xfrm>
                      <a:off x="0" y="0"/>
                      <a:ext cx="6548755" cy="4436745"/>
                    </a:xfrm>
                    <a:prstGeom prst="rect">
                      <a:avLst/>
                    </a:prstGeom>
                    <a:noFill/>
                    <a:ln w="9525">
                      <a:noFill/>
                      <a:miter lim="800000"/>
                      <a:headEnd/>
                      <a:tailEnd/>
                    </a:ln>
                  </pic:spPr>
                </pic:pic>
              </a:graphicData>
            </a:graphic>
          </wp:inline>
        </w:drawing>
      </w:r>
    </w:p>
    <w:p w:rsidR="00291E20" w:rsidRDefault="00291E20" w:rsidP="00942BFD">
      <w:pPr>
        <w:pStyle w:val="BCSTabletextafter"/>
      </w:pPr>
      <w:r>
        <w:t>(</w:t>
      </w:r>
      <w:r w:rsidRPr="006B48E0">
        <w:t>NB: E-guides; n=86, non E-guides; n=181</w:t>
      </w:r>
      <w:r>
        <w:t>)</w:t>
      </w:r>
    </w:p>
    <w:p w:rsidR="00291E20" w:rsidRDefault="00291E20" w:rsidP="00291E20">
      <w:pPr>
        <w:contextualSpacing/>
      </w:pPr>
    </w:p>
    <w:p w:rsidR="00291E20" w:rsidRDefault="00291E20" w:rsidP="00291E20">
      <w:pPr>
        <w:contextualSpacing/>
      </w:pPr>
    </w:p>
    <w:p w:rsidR="00291E20" w:rsidRDefault="00291E20" w:rsidP="00942BFD">
      <w:pPr>
        <w:pStyle w:val="BCSParagraph"/>
      </w:pPr>
      <w:r>
        <w:t xml:space="preserve">The final part of the first section of the survey sought to identify the range of </w:t>
      </w:r>
      <w:r w:rsidRPr="00C26811">
        <w:t>programmes</w:t>
      </w:r>
      <w:r>
        <w:t xml:space="preserve"> of learning predominately delivered by ACL staff (</w:t>
      </w:r>
      <w:hyperlink w:anchor="_Figure_13:_Range" w:history="1">
        <w:r w:rsidRPr="00E51DB7">
          <w:rPr>
            <w:rStyle w:val="Hyperlink"/>
          </w:rPr>
          <w:t>figure 13</w:t>
        </w:r>
      </w:hyperlink>
      <w:r>
        <w:t>).  Respondents were asked to identify, from a series of 9 course types, the one that they predominately taught.   Overall, the following can be said:</w:t>
      </w:r>
    </w:p>
    <w:p w:rsidR="00291E20" w:rsidRDefault="00291E20" w:rsidP="00291E20">
      <w:pPr>
        <w:contextualSpacing/>
      </w:pPr>
    </w:p>
    <w:p w:rsidR="00291E20" w:rsidRDefault="00291E20" w:rsidP="00942BFD">
      <w:pPr>
        <w:pStyle w:val="BCSParagraph"/>
      </w:pPr>
      <w:r>
        <w:t>The course type predominately taught by the greater proportion of E-guides was ‘other vocational qualifications, including IT’ (56.98%), followed by ‘Skills for Life’ (40.70%).</w:t>
      </w:r>
    </w:p>
    <w:p w:rsidR="00291E20" w:rsidRDefault="00291E20" w:rsidP="00942BFD">
      <w:pPr>
        <w:pStyle w:val="BCSParagraph"/>
      </w:pPr>
    </w:p>
    <w:p w:rsidR="00291E20" w:rsidRDefault="00291E20" w:rsidP="00942BFD">
      <w:pPr>
        <w:pStyle w:val="BCSParagraph"/>
      </w:pPr>
      <w:r>
        <w:t>The course type predominately taught by the greater proportion of non E-guides was ‘Skills for Life’ (58.01%), followed by ‘other vocational qualifications, including IT’ (45.30%).</w:t>
      </w:r>
    </w:p>
    <w:p w:rsidR="00291E20" w:rsidRDefault="00291E20" w:rsidP="00942BFD">
      <w:pPr>
        <w:pStyle w:val="BCSParagraph"/>
      </w:pPr>
    </w:p>
    <w:p w:rsidR="00291E20" w:rsidRDefault="00291E20" w:rsidP="00942BFD">
      <w:pPr>
        <w:pStyle w:val="BCSParagraph"/>
      </w:pPr>
      <w:r>
        <w:t>The third most cited programme delivered was NVQs; 19.77% of E-guides and 17.68% of non E-guides.</w:t>
      </w:r>
    </w:p>
    <w:p w:rsidR="00291E20" w:rsidRDefault="00291E20" w:rsidP="00942BFD">
      <w:pPr>
        <w:pStyle w:val="BCSParagraph"/>
      </w:pPr>
    </w:p>
    <w:p w:rsidR="00291E20" w:rsidRDefault="00291E20" w:rsidP="00942BFD">
      <w:pPr>
        <w:pStyle w:val="BCSParagraph"/>
      </w:pPr>
      <w:r>
        <w:t>College Network Qualifications were taught predominately by 11.63% of E-guides and 12.15% of non E-guides.  All remaining categories were cited by fewer than 10% in each case and the least cited programme was the foundation degree, which was only cited by 1.16% of E-guides.</w:t>
      </w:r>
    </w:p>
    <w:p w:rsidR="00291E20" w:rsidRDefault="00291E20" w:rsidP="00291E20">
      <w:pPr>
        <w:contextualSpacing/>
      </w:pPr>
    </w:p>
    <w:p w:rsidR="00291E20" w:rsidRDefault="00291E20" w:rsidP="00942BFD">
      <w:pPr>
        <w:pStyle w:val="BCSTableheadings"/>
      </w:pPr>
      <w:bookmarkStart w:id="77" w:name="_Figure_13:_Range"/>
      <w:bookmarkStart w:id="78" w:name="_Toc256332134"/>
      <w:bookmarkEnd w:id="77"/>
      <w:r>
        <w:t>Figure 13</w:t>
      </w:r>
      <w:r w:rsidRPr="00000330">
        <w:t xml:space="preserve">: </w:t>
      </w:r>
      <w:r>
        <w:t>Range of progammes of learning delivered by ACL staff</w:t>
      </w:r>
      <w:bookmarkEnd w:id="78"/>
      <w:r>
        <w:t xml:space="preserve"> </w:t>
      </w:r>
    </w:p>
    <w:p w:rsidR="00291E20" w:rsidRDefault="002102AA" w:rsidP="00291E20">
      <w:pPr>
        <w:ind w:left="-567"/>
        <w:contextualSpacing/>
      </w:pPr>
      <w:r>
        <w:rPr>
          <w:noProof/>
        </w:rPr>
        <w:drawing>
          <wp:inline distT="0" distB="0" distL="0" distR="0">
            <wp:extent cx="6494145" cy="46653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srcRect/>
                    <a:stretch>
                      <a:fillRect/>
                    </a:stretch>
                  </pic:blipFill>
                  <pic:spPr bwMode="auto">
                    <a:xfrm>
                      <a:off x="0" y="0"/>
                      <a:ext cx="6494145" cy="4665345"/>
                    </a:xfrm>
                    <a:prstGeom prst="rect">
                      <a:avLst/>
                    </a:prstGeom>
                    <a:noFill/>
                    <a:ln w="9525">
                      <a:noFill/>
                      <a:miter lim="800000"/>
                      <a:headEnd/>
                      <a:tailEnd/>
                    </a:ln>
                  </pic:spPr>
                </pic:pic>
              </a:graphicData>
            </a:graphic>
          </wp:inline>
        </w:drawing>
      </w:r>
      <w:r w:rsidR="00291E20">
        <w:t xml:space="preserve"> </w:t>
      </w:r>
    </w:p>
    <w:p w:rsidR="00291E20" w:rsidRPr="00942BFD" w:rsidRDefault="00291E20" w:rsidP="00942BFD">
      <w:pPr>
        <w:pStyle w:val="Heading2"/>
      </w:pPr>
      <w:r>
        <w:br w:type="page"/>
      </w:r>
      <w:bookmarkStart w:id="79" w:name="_Toc257276013"/>
      <w:r w:rsidRPr="00942BFD">
        <w:t>Technology and Access</w:t>
      </w:r>
      <w:bookmarkEnd w:id="79"/>
    </w:p>
    <w:p w:rsidR="00291E20" w:rsidRDefault="00291E20" w:rsidP="00942BFD">
      <w:pPr>
        <w:pStyle w:val="BCSParagraph"/>
      </w:pPr>
      <w:r>
        <w:t>This section of the survey looked at the levels of access available to ACL practitioners in terms of both ILT equipment and the Internet, in addition to investigating how they used this technology in their teaching and learning practices.</w:t>
      </w:r>
    </w:p>
    <w:p w:rsidR="00291E20" w:rsidRDefault="00291E20" w:rsidP="00942BFD">
      <w:pPr>
        <w:pStyle w:val="BCSParagraph"/>
      </w:pPr>
    </w:p>
    <w:p w:rsidR="00291E20" w:rsidRDefault="00291E20" w:rsidP="00942BFD">
      <w:pPr>
        <w:pStyle w:val="BCSParagraph"/>
      </w:pPr>
      <w:r>
        <w:t xml:space="preserve">Practitioners were asked to indicate, across a list of 13 types of equipment, the extent to which their organisations provided them with access to that equipment. </w:t>
      </w:r>
      <w:hyperlink w:anchor="_Table_12:_Extent" w:history="1">
        <w:r w:rsidRPr="00CC1978">
          <w:rPr>
            <w:rStyle w:val="Hyperlink"/>
          </w:rPr>
          <w:t>Table 13</w:t>
        </w:r>
      </w:hyperlink>
      <w:r>
        <w:t xml:space="preserve"> shows the level of access, cited</w:t>
      </w:r>
      <w:r w:rsidR="00942BFD">
        <w:t xml:space="preserve"> by E-guide practitioners.</w:t>
      </w:r>
    </w:p>
    <w:p w:rsidR="00291E20" w:rsidRDefault="00291E20" w:rsidP="00291E20">
      <w:pPr>
        <w:contextualSpacing/>
      </w:pPr>
    </w:p>
    <w:p w:rsidR="00291E20" w:rsidRDefault="00291E20" w:rsidP="00942BFD">
      <w:pPr>
        <w:pStyle w:val="BCSBulletparagraph"/>
      </w:pPr>
      <w:r>
        <w:t>Where a technology type was available and accessible, it was most often shared with more than 2 people across most technology types, with the exception of those seeing high levels of sole access.</w:t>
      </w:r>
    </w:p>
    <w:p w:rsidR="00291E20" w:rsidRDefault="00291E20" w:rsidP="00942BFD">
      <w:pPr>
        <w:pStyle w:val="BCSBulletparagraph"/>
      </w:pPr>
      <w:r>
        <w:t>When combining all three access types (sole, shared with 1 or 2 and shared with more than 2), the technology to which most E-guides had access were</w:t>
      </w:r>
    </w:p>
    <w:p w:rsidR="00291E20" w:rsidRDefault="00291E20" w:rsidP="00942BFD">
      <w:pPr>
        <w:pStyle w:val="BCSBulletlevel2"/>
      </w:pPr>
      <w:r>
        <w:t>Work-based laptop/ PC (97.67%)</w:t>
      </w:r>
    </w:p>
    <w:p w:rsidR="00291E20" w:rsidRDefault="00291E20" w:rsidP="00942BFD">
      <w:pPr>
        <w:pStyle w:val="BCSBulletlevel2"/>
      </w:pPr>
      <w:r>
        <w:t>Printer (97.67%)</w:t>
      </w:r>
    </w:p>
    <w:p w:rsidR="00291E20" w:rsidRDefault="00291E20" w:rsidP="00942BFD">
      <w:pPr>
        <w:pStyle w:val="BCSBulletlevel2"/>
      </w:pPr>
      <w:r>
        <w:t>Projector (91.86%)</w:t>
      </w:r>
    </w:p>
    <w:p w:rsidR="00291E20" w:rsidRDefault="00291E20" w:rsidP="00942BFD">
      <w:pPr>
        <w:pStyle w:val="BCSBulletlevel2"/>
      </w:pPr>
      <w:r>
        <w:t>Digital Camera (86.05%)</w:t>
      </w:r>
    </w:p>
    <w:p w:rsidR="00291E20" w:rsidRDefault="00291E20" w:rsidP="00942BFD">
      <w:pPr>
        <w:pStyle w:val="BCSBulletlevel2"/>
      </w:pPr>
      <w:r>
        <w:t xml:space="preserve">Scanner (74.42%), and </w:t>
      </w:r>
    </w:p>
    <w:p w:rsidR="00291E20" w:rsidRDefault="00291E20" w:rsidP="00942BFD">
      <w:pPr>
        <w:pStyle w:val="BCSBulletlevel2"/>
      </w:pPr>
      <w:r>
        <w:t>Digital video Camera and Home-based laptop/ PC (72.09% in each case)</w:t>
      </w:r>
    </w:p>
    <w:p w:rsidR="00291E20" w:rsidRDefault="00291E20" w:rsidP="00942BFD">
      <w:pPr>
        <w:pStyle w:val="BCSBulletparagraph"/>
      </w:pPr>
      <w:r>
        <w:t xml:space="preserve">When drilling down into levels of access, the equipment to which most E-guides had sole access was the work-based PC or laptop (74.42%), followed by a home-based PC or laptop (47.67%).  </w:t>
      </w:r>
    </w:p>
    <w:p w:rsidR="00291E20" w:rsidRDefault="00291E20" w:rsidP="00942BFD">
      <w:pPr>
        <w:pStyle w:val="BCSBulletparagraph"/>
      </w:pPr>
      <w:r>
        <w:t xml:space="preserve">The equipment to which the greater proportion had access, but had to share with more than 2 others were projectors (55.81%), printers (61.63%) and scanners (55.81%) </w:t>
      </w:r>
    </w:p>
    <w:p w:rsidR="00291E20" w:rsidRDefault="00291E20" w:rsidP="00942BFD">
      <w:pPr>
        <w:pStyle w:val="BCSBulletparagraph"/>
      </w:pPr>
      <w:r>
        <w:t>3G devices (76.74%), PDAs (67.44%), games consoles (65.12%)</w:t>
      </w:r>
      <w:r w:rsidRPr="00156C42">
        <w:t xml:space="preserve"> </w:t>
      </w:r>
      <w:r>
        <w:t xml:space="preserve">and mobile phones (60.47%) where not available or inaccessible in the majority of cases. </w:t>
      </w:r>
    </w:p>
    <w:p w:rsidR="00291E20" w:rsidRDefault="00291E20" w:rsidP="00942BFD">
      <w:pPr>
        <w:pStyle w:val="BCSBulletparagraph"/>
      </w:pPr>
      <w:r>
        <w:t xml:space="preserve">The equipment types which were most cited as not being ‘available’ were 3G devices and games consoles (63.95% in each case).  </w:t>
      </w:r>
    </w:p>
    <w:p w:rsidR="00291E20" w:rsidRDefault="00291E20" w:rsidP="00942BFD">
      <w:pPr>
        <w:pStyle w:val="BCSBulletparagraph"/>
      </w:pPr>
      <w:r>
        <w:t xml:space="preserve">The greatest proportion of those indicating that a technology type was available but that they had no access cited mobile phone (19.77%), followed by 3G device (12.79%) and PDA (11.63%).  </w:t>
      </w:r>
    </w:p>
    <w:p w:rsidR="00291E20" w:rsidRDefault="00291E20" w:rsidP="00291E20">
      <w:pPr>
        <w:ind w:left="360"/>
        <w:contextualSpacing/>
      </w:pPr>
    </w:p>
    <w:p w:rsidR="00291E20" w:rsidRDefault="00291E20" w:rsidP="00942BFD">
      <w:pPr>
        <w:pStyle w:val="BCSTableheadings"/>
      </w:pPr>
      <w:bookmarkStart w:id="80" w:name="_Table_12:_Extent"/>
      <w:bookmarkStart w:id="81" w:name="_Toc256332150"/>
      <w:bookmarkEnd w:id="80"/>
      <w:r w:rsidRPr="00395D9A">
        <w:t xml:space="preserve">Table </w:t>
      </w:r>
      <w:r>
        <w:t>13</w:t>
      </w:r>
      <w:r w:rsidRPr="00395D9A">
        <w:t xml:space="preserve">: Extent to which organisations provide </w:t>
      </w:r>
      <w:r>
        <w:t xml:space="preserve">E-Guide </w:t>
      </w:r>
      <w:r w:rsidRPr="00395D9A">
        <w:t>practitioners with access to equipment</w:t>
      </w:r>
      <w:bookmarkEnd w:id="81"/>
    </w:p>
    <w:tbl>
      <w:tblPr>
        <w:tblW w:w="10916" w:type="dxa"/>
        <w:tblInd w:w="-743" w:type="dxa"/>
        <w:tblBorders>
          <w:top w:val="single" w:sz="4" w:space="0" w:color="4F6228"/>
          <w:left w:val="single" w:sz="4" w:space="0" w:color="4F6228"/>
          <w:bottom w:val="single" w:sz="4" w:space="0" w:color="4F6228"/>
          <w:right w:val="single" w:sz="4" w:space="0" w:color="4F6228"/>
          <w:insideH w:val="single" w:sz="6" w:space="0" w:color="4F6228"/>
          <w:insideV w:val="single" w:sz="6" w:space="0" w:color="4F6228"/>
        </w:tblBorders>
        <w:tblLook w:val="04A0"/>
      </w:tblPr>
      <w:tblGrid>
        <w:gridCol w:w="2127"/>
        <w:gridCol w:w="1235"/>
        <w:gridCol w:w="1276"/>
        <w:gridCol w:w="1316"/>
        <w:gridCol w:w="1276"/>
        <w:gridCol w:w="1276"/>
        <w:gridCol w:w="1276"/>
        <w:gridCol w:w="1134"/>
      </w:tblGrid>
      <w:tr w:rsidR="00291E20" w:rsidRPr="00395D9A" w:rsidTr="00291E20">
        <w:trPr>
          <w:trHeight w:val="300"/>
        </w:trPr>
        <w:tc>
          <w:tcPr>
            <w:tcW w:w="2127" w:type="dxa"/>
            <w:tcBorders>
              <w:top w:val="single" w:sz="4" w:space="0" w:color="4F6228"/>
              <w:bottom w:val="single" w:sz="6" w:space="0" w:color="4F6228"/>
            </w:tcBorders>
            <w:shd w:val="clear" w:color="auto" w:fill="76923C"/>
            <w:noWrap/>
            <w:hideMark/>
          </w:tcPr>
          <w:p w:rsidR="00291E20" w:rsidRPr="006E0BAE" w:rsidRDefault="00291E20" w:rsidP="00291E20">
            <w:pPr>
              <w:rPr>
                <w:b/>
                <w:color w:val="000000"/>
              </w:rPr>
            </w:pPr>
            <w:r w:rsidRPr="003C7B66">
              <w:rPr>
                <w:b/>
                <w:color w:val="000000"/>
              </w:rPr>
              <w:t>Technology Type</w:t>
            </w:r>
          </w:p>
        </w:tc>
        <w:tc>
          <w:tcPr>
            <w:tcW w:w="1235" w:type="dxa"/>
            <w:tcBorders>
              <w:top w:val="single" w:sz="4" w:space="0" w:color="4F6228"/>
              <w:bottom w:val="single" w:sz="6" w:space="0" w:color="4F6228"/>
            </w:tcBorders>
            <w:shd w:val="clear" w:color="auto" w:fill="76923C"/>
            <w:noWrap/>
            <w:vAlign w:val="bottom"/>
            <w:hideMark/>
          </w:tcPr>
          <w:p w:rsidR="00291E20" w:rsidRPr="006E0BAE" w:rsidRDefault="00291E20" w:rsidP="00291E20">
            <w:pPr>
              <w:jc w:val="center"/>
              <w:rPr>
                <w:b/>
                <w:color w:val="000000"/>
              </w:rPr>
            </w:pPr>
            <w:r w:rsidRPr="006E0BAE">
              <w:rPr>
                <w:b/>
                <w:color w:val="000000"/>
              </w:rPr>
              <w:t>Sole access</w:t>
            </w:r>
          </w:p>
        </w:tc>
        <w:tc>
          <w:tcPr>
            <w:tcW w:w="1276" w:type="dxa"/>
            <w:tcBorders>
              <w:top w:val="single" w:sz="4" w:space="0" w:color="4F6228"/>
              <w:bottom w:val="single" w:sz="6" w:space="0" w:color="4F6228"/>
            </w:tcBorders>
            <w:shd w:val="clear" w:color="auto" w:fill="76923C"/>
            <w:noWrap/>
            <w:vAlign w:val="center"/>
            <w:hideMark/>
          </w:tcPr>
          <w:p w:rsidR="00291E20" w:rsidRPr="006E0BAE" w:rsidRDefault="00291E20" w:rsidP="00291E20">
            <w:pPr>
              <w:jc w:val="center"/>
              <w:rPr>
                <w:b/>
              </w:rPr>
            </w:pPr>
            <w:r w:rsidRPr="006E0BAE">
              <w:rPr>
                <w:b/>
              </w:rPr>
              <w:t>Share with 1 or 2</w:t>
            </w:r>
          </w:p>
        </w:tc>
        <w:tc>
          <w:tcPr>
            <w:tcW w:w="1316" w:type="dxa"/>
            <w:tcBorders>
              <w:top w:val="single" w:sz="4" w:space="0" w:color="4F6228"/>
              <w:bottom w:val="single" w:sz="6" w:space="0" w:color="4F6228"/>
            </w:tcBorders>
            <w:shd w:val="clear" w:color="auto" w:fill="76923C"/>
            <w:noWrap/>
            <w:vAlign w:val="center"/>
            <w:hideMark/>
          </w:tcPr>
          <w:p w:rsidR="00291E20" w:rsidRPr="006E0BAE" w:rsidRDefault="00291E20" w:rsidP="00291E20">
            <w:pPr>
              <w:jc w:val="center"/>
              <w:rPr>
                <w:b/>
              </w:rPr>
            </w:pPr>
            <w:r w:rsidRPr="006E0BAE">
              <w:rPr>
                <w:b/>
              </w:rPr>
              <w:t>Share with more than 2</w:t>
            </w:r>
          </w:p>
        </w:tc>
        <w:tc>
          <w:tcPr>
            <w:tcW w:w="1276" w:type="dxa"/>
            <w:tcBorders>
              <w:top w:val="single" w:sz="4" w:space="0" w:color="4F6228"/>
              <w:bottom w:val="single" w:sz="6" w:space="0" w:color="4F6228"/>
            </w:tcBorders>
            <w:shd w:val="clear" w:color="auto" w:fill="76923C"/>
            <w:noWrap/>
            <w:vAlign w:val="center"/>
            <w:hideMark/>
          </w:tcPr>
          <w:p w:rsidR="00291E20" w:rsidRPr="006E0BAE" w:rsidRDefault="00291E20" w:rsidP="00291E20">
            <w:pPr>
              <w:jc w:val="center"/>
              <w:rPr>
                <w:b/>
              </w:rPr>
            </w:pPr>
            <w:r w:rsidRPr="006E0BAE">
              <w:rPr>
                <w:b/>
              </w:rPr>
              <w:t>Available but no access</w:t>
            </w:r>
          </w:p>
        </w:tc>
        <w:tc>
          <w:tcPr>
            <w:tcW w:w="1276" w:type="dxa"/>
            <w:tcBorders>
              <w:top w:val="single" w:sz="4" w:space="0" w:color="4F6228"/>
              <w:bottom w:val="single" w:sz="6" w:space="0" w:color="4F6228"/>
            </w:tcBorders>
            <w:shd w:val="clear" w:color="auto" w:fill="76923C"/>
            <w:noWrap/>
            <w:vAlign w:val="center"/>
            <w:hideMark/>
          </w:tcPr>
          <w:p w:rsidR="00291E20" w:rsidRPr="006E0BAE" w:rsidRDefault="00291E20" w:rsidP="00291E20">
            <w:pPr>
              <w:jc w:val="center"/>
              <w:rPr>
                <w:b/>
              </w:rPr>
            </w:pPr>
            <w:r w:rsidRPr="006E0BAE">
              <w:rPr>
                <w:b/>
              </w:rPr>
              <w:t>Not available</w:t>
            </w:r>
          </w:p>
        </w:tc>
        <w:tc>
          <w:tcPr>
            <w:tcW w:w="1276" w:type="dxa"/>
            <w:tcBorders>
              <w:top w:val="single" w:sz="4" w:space="0" w:color="4F6228"/>
              <w:bottom w:val="single" w:sz="6" w:space="0" w:color="4F6228"/>
            </w:tcBorders>
            <w:shd w:val="clear" w:color="auto" w:fill="76923C"/>
            <w:noWrap/>
            <w:vAlign w:val="center"/>
            <w:hideMark/>
          </w:tcPr>
          <w:p w:rsidR="00291E20" w:rsidRPr="006E0BAE" w:rsidRDefault="00291E20" w:rsidP="00291E20">
            <w:pPr>
              <w:jc w:val="center"/>
              <w:rPr>
                <w:b/>
              </w:rPr>
            </w:pPr>
            <w:r w:rsidRPr="006E0BAE">
              <w:rPr>
                <w:b/>
              </w:rPr>
              <w:t>Don't know</w:t>
            </w:r>
          </w:p>
        </w:tc>
        <w:tc>
          <w:tcPr>
            <w:tcW w:w="1134" w:type="dxa"/>
            <w:tcBorders>
              <w:top w:val="single" w:sz="4" w:space="0" w:color="4F6228"/>
              <w:bottom w:val="single" w:sz="6" w:space="0" w:color="4F6228"/>
            </w:tcBorders>
            <w:shd w:val="clear" w:color="auto" w:fill="76923C"/>
            <w:noWrap/>
            <w:vAlign w:val="bottom"/>
            <w:hideMark/>
          </w:tcPr>
          <w:p w:rsidR="00291E20" w:rsidRPr="006E0BAE" w:rsidRDefault="00291E20" w:rsidP="00291E20">
            <w:pPr>
              <w:jc w:val="center"/>
              <w:rPr>
                <w:b/>
                <w:color w:val="000000"/>
              </w:rPr>
            </w:pPr>
            <w:r w:rsidRPr="006E0BAE">
              <w:rPr>
                <w:b/>
                <w:color w:val="000000"/>
              </w:rPr>
              <w:t>No reply</w:t>
            </w:r>
          </w:p>
        </w:tc>
      </w:tr>
      <w:tr w:rsidR="00291E20" w:rsidRPr="00395D9A" w:rsidTr="00291E20">
        <w:trPr>
          <w:trHeight w:val="300"/>
        </w:trPr>
        <w:tc>
          <w:tcPr>
            <w:tcW w:w="2127"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Work-based</w:t>
            </w:r>
            <w:r w:rsidRPr="006E0BAE">
              <w:br/>
              <w:t>PC, laptop etc.</w:t>
            </w:r>
          </w:p>
        </w:tc>
        <w:tc>
          <w:tcPr>
            <w:tcW w:w="1235"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74.42%</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4.65%</w:t>
            </w:r>
          </w:p>
        </w:tc>
        <w:tc>
          <w:tcPr>
            <w:tcW w:w="131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18.60%</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0.00%</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0.00%</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1.16%</w:t>
            </w:r>
          </w:p>
        </w:tc>
        <w:tc>
          <w:tcPr>
            <w:tcW w:w="1134"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1.23%</w:t>
            </w:r>
          </w:p>
        </w:tc>
      </w:tr>
      <w:tr w:rsidR="00291E20" w:rsidRPr="00395D9A" w:rsidTr="00291E20">
        <w:trPr>
          <w:trHeight w:val="300"/>
        </w:trPr>
        <w:tc>
          <w:tcPr>
            <w:tcW w:w="2127"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Home-based</w:t>
            </w:r>
            <w:r w:rsidRPr="006E0BAE">
              <w:br/>
              <w:t>PC, laptop etc.</w:t>
            </w:r>
          </w:p>
        </w:tc>
        <w:tc>
          <w:tcPr>
            <w:tcW w:w="1235"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47.67%</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1.16%</w:t>
            </w:r>
          </w:p>
        </w:tc>
        <w:tc>
          <w:tcPr>
            <w:tcW w:w="131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23.26%</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8.14%</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17.44%</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0.00%</w:t>
            </w:r>
          </w:p>
        </w:tc>
        <w:tc>
          <w:tcPr>
            <w:tcW w:w="1134"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2.47%</w:t>
            </w:r>
          </w:p>
        </w:tc>
      </w:tr>
      <w:tr w:rsidR="00291E20" w:rsidRPr="00395D9A" w:rsidTr="00291E20">
        <w:trPr>
          <w:trHeight w:val="300"/>
        </w:trPr>
        <w:tc>
          <w:tcPr>
            <w:tcW w:w="2127"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Printer</w:t>
            </w:r>
          </w:p>
        </w:tc>
        <w:tc>
          <w:tcPr>
            <w:tcW w:w="1235"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31.40%</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4.65%</w:t>
            </w:r>
          </w:p>
        </w:tc>
        <w:tc>
          <w:tcPr>
            <w:tcW w:w="131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61.63%</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0.00%</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1.16%</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0.00%</w:t>
            </w:r>
          </w:p>
        </w:tc>
        <w:tc>
          <w:tcPr>
            <w:tcW w:w="1134"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1.23%</w:t>
            </w:r>
          </w:p>
        </w:tc>
      </w:tr>
      <w:tr w:rsidR="00291E20" w:rsidRPr="00395D9A" w:rsidTr="00291E20">
        <w:trPr>
          <w:trHeight w:val="300"/>
        </w:trPr>
        <w:tc>
          <w:tcPr>
            <w:tcW w:w="2127"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Scanner</w:t>
            </w:r>
          </w:p>
        </w:tc>
        <w:tc>
          <w:tcPr>
            <w:tcW w:w="1235"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16.28%</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2.33%</w:t>
            </w:r>
          </w:p>
        </w:tc>
        <w:tc>
          <w:tcPr>
            <w:tcW w:w="131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55.81%</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5.81%</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15.12%</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3.49%</w:t>
            </w:r>
          </w:p>
        </w:tc>
        <w:tc>
          <w:tcPr>
            <w:tcW w:w="1134"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1.23%</w:t>
            </w:r>
          </w:p>
        </w:tc>
      </w:tr>
      <w:tr w:rsidR="00291E20" w:rsidRPr="00395D9A" w:rsidTr="00291E20">
        <w:trPr>
          <w:trHeight w:val="300"/>
        </w:trPr>
        <w:tc>
          <w:tcPr>
            <w:tcW w:w="2127"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Projector</w:t>
            </w:r>
          </w:p>
        </w:tc>
        <w:tc>
          <w:tcPr>
            <w:tcW w:w="1235"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22.09%</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4.65%</w:t>
            </w:r>
          </w:p>
        </w:tc>
        <w:tc>
          <w:tcPr>
            <w:tcW w:w="131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65.12%</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2.33%</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3.49%</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1.16%</w:t>
            </w:r>
          </w:p>
        </w:tc>
        <w:tc>
          <w:tcPr>
            <w:tcW w:w="1134"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1.23%</w:t>
            </w:r>
          </w:p>
        </w:tc>
      </w:tr>
      <w:tr w:rsidR="00291E20" w:rsidRPr="00395D9A" w:rsidTr="00291E20">
        <w:trPr>
          <w:trHeight w:val="300"/>
        </w:trPr>
        <w:tc>
          <w:tcPr>
            <w:tcW w:w="2127"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Mobile phone</w:t>
            </w:r>
          </w:p>
        </w:tc>
        <w:tc>
          <w:tcPr>
            <w:tcW w:w="1235"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29.07%</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1.16%</w:t>
            </w:r>
          </w:p>
        </w:tc>
        <w:tc>
          <w:tcPr>
            <w:tcW w:w="131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4.65%</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19.77%</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40.70%</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1.16%</w:t>
            </w:r>
          </w:p>
        </w:tc>
        <w:tc>
          <w:tcPr>
            <w:tcW w:w="1134"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3.70%</w:t>
            </w:r>
          </w:p>
        </w:tc>
      </w:tr>
      <w:tr w:rsidR="00291E20" w:rsidRPr="00395D9A" w:rsidTr="00291E20">
        <w:trPr>
          <w:trHeight w:val="300"/>
        </w:trPr>
        <w:tc>
          <w:tcPr>
            <w:tcW w:w="2127"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3G device</w:t>
            </w:r>
          </w:p>
        </w:tc>
        <w:tc>
          <w:tcPr>
            <w:tcW w:w="1235"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6.98%</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0.00%</w:t>
            </w:r>
          </w:p>
        </w:tc>
        <w:tc>
          <w:tcPr>
            <w:tcW w:w="131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0.00%</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12.79%</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63.95%</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8.14%</w:t>
            </w:r>
          </w:p>
        </w:tc>
        <w:tc>
          <w:tcPr>
            <w:tcW w:w="1134"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8.64%</w:t>
            </w:r>
          </w:p>
        </w:tc>
      </w:tr>
      <w:tr w:rsidR="00291E20" w:rsidRPr="00395D9A" w:rsidTr="00291E20">
        <w:trPr>
          <w:trHeight w:val="300"/>
        </w:trPr>
        <w:tc>
          <w:tcPr>
            <w:tcW w:w="2127"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PDA</w:t>
            </w:r>
          </w:p>
        </w:tc>
        <w:tc>
          <w:tcPr>
            <w:tcW w:w="1235"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9.30%</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0.00%</w:t>
            </w:r>
          </w:p>
        </w:tc>
        <w:tc>
          <w:tcPr>
            <w:tcW w:w="131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3.49%</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11.63%</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55.81%</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11.63%</w:t>
            </w:r>
          </w:p>
        </w:tc>
        <w:tc>
          <w:tcPr>
            <w:tcW w:w="1134"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8.64%</w:t>
            </w:r>
          </w:p>
        </w:tc>
      </w:tr>
      <w:tr w:rsidR="00291E20" w:rsidRPr="00395D9A" w:rsidTr="00291E20">
        <w:trPr>
          <w:trHeight w:val="300"/>
        </w:trPr>
        <w:tc>
          <w:tcPr>
            <w:tcW w:w="2127"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Adaptive technology</w:t>
            </w:r>
          </w:p>
        </w:tc>
        <w:tc>
          <w:tcPr>
            <w:tcW w:w="1235"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10.47%</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8.14%</w:t>
            </w:r>
          </w:p>
        </w:tc>
        <w:tc>
          <w:tcPr>
            <w:tcW w:w="131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36.05%</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5.81%</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9.30%</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18.60%</w:t>
            </w:r>
          </w:p>
        </w:tc>
        <w:tc>
          <w:tcPr>
            <w:tcW w:w="1134"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12.35%</w:t>
            </w:r>
          </w:p>
        </w:tc>
      </w:tr>
      <w:tr w:rsidR="00291E20" w:rsidRPr="00395D9A" w:rsidTr="00291E20">
        <w:trPr>
          <w:trHeight w:val="300"/>
        </w:trPr>
        <w:tc>
          <w:tcPr>
            <w:tcW w:w="2127"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Digital camera</w:t>
            </w:r>
          </w:p>
        </w:tc>
        <w:tc>
          <w:tcPr>
            <w:tcW w:w="1235"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24.42%</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8.14%</w:t>
            </w:r>
          </w:p>
        </w:tc>
        <w:tc>
          <w:tcPr>
            <w:tcW w:w="131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53.49%</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4.65%</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5.81%</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2.33%</w:t>
            </w:r>
          </w:p>
        </w:tc>
        <w:tc>
          <w:tcPr>
            <w:tcW w:w="1134"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1.23%</w:t>
            </w:r>
          </w:p>
        </w:tc>
      </w:tr>
      <w:tr w:rsidR="00291E20" w:rsidRPr="00395D9A" w:rsidTr="00291E20">
        <w:trPr>
          <w:trHeight w:val="300"/>
        </w:trPr>
        <w:tc>
          <w:tcPr>
            <w:tcW w:w="2127"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t>Digital v</w:t>
            </w:r>
            <w:r w:rsidRPr="006E0BAE">
              <w:t>ideo camera</w:t>
            </w:r>
          </w:p>
        </w:tc>
        <w:tc>
          <w:tcPr>
            <w:tcW w:w="1235"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13.95%</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8.14%</w:t>
            </w:r>
          </w:p>
        </w:tc>
        <w:tc>
          <w:tcPr>
            <w:tcW w:w="131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50.00%</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5.81%</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12.79%</w:t>
            </w:r>
          </w:p>
        </w:tc>
        <w:tc>
          <w:tcPr>
            <w:tcW w:w="1276"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6.98%</w:t>
            </w:r>
          </w:p>
        </w:tc>
        <w:tc>
          <w:tcPr>
            <w:tcW w:w="1134" w:type="dxa"/>
            <w:tcBorders>
              <w:top w:val="single" w:sz="6" w:space="0" w:color="4F6228"/>
              <w:bottom w:val="single" w:sz="6" w:space="0" w:color="4F6228"/>
            </w:tcBorders>
            <w:shd w:val="clear" w:color="auto" w:fill="auto"/>
            <w:noWrap/>
            <w:hideMark/>
          </w:tcPr>
          <w:p w:rsidR="00291E20" w:rsidRPr="006E0BAE" w:rsidRDefault="00291E20" w:rsidP="00942BFD">
            <w:pPr>
              <w:pStyle w:val="BCSTabletext"/>
            </w:pPr>
            <w:r w:rsidRPr="006E0BAE">
              <w:t>2.47%</w:t>
            </w:r>
          </w:p>
        </w:tc>
      </w:tr>
      <w:tr w:rsidR="00291E20" w:rsidRPr="00395D9A" w:rsidTr="00291E20">
        <w:trPr>
          <w:trHeight w:val="300"/>
        </w:trPr>
        <w:tc>
          <w:tcPr>
            <w:tcW w:w="2127"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Games console</w:t>
            </w:r>
          </w:p>
        </w:tc>
        <w:tc>
          <w:tcPr>
            <w:tcW w:w="1235"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1.16%</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1.16%</w:t>
            </w:r>
          </w:p>
        </w:tc>
        <w:tc>
          <w:tcPr>
            <w:tcW w:w="131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6.98%</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1.16%</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63.95%</w:t>
            </w:r>
          </w:p>
        </w:tc>
        <w:tc>
          <w:tcPr>
            <w:tcW w:w="1276"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16.28%</w:t>
            </w:r>
          </w:p>
        </w:tc>
        <w:tc>
          <w:tcPr>
            <w:tcW w:w="1134" w:type="dxa"/>
            <w:tcBorders>
              <w:top w:val="single" w:sz="6" w:space="0" w:color="4F6228"/>
              <w:bottom w:val="single" w:sz="6" w:space="0" w:color="4F6228"/>
            </w:tcBorders>
            <w:shd w:val="clear" w:color="auto" w:fill="C2D69B"/>
            <w:noWrap/>
            <w:hideMark/>
          </w:tcPr>
          <w:p w:rsidR="00291E20" w:rsidRPr="006E0BAE" w:rsidRDefault="00291E20" w:rsidP="00942BFD">
            <w:pPr>
              <w:pStyle w:val="BCSTabletext"/>
            </w:pPr>
            <w:r w:rsidRPr="006E0BAE">
              <w:t>9.88%</w:t>
            </w:r>
          </w:p>
        </w:tc>
      </w:tr>
      <w:tr w:rsidR="00291E20" w:rsidRPr="00395D9A" w:rsidTr="00291E20">
        <w:trPr>
          <w:trHeight w:val="300"/>
        </w:trPr>
        <w:tc>
          <w:tcPr>
            <w:tcW w:w="2127" w:type="dxa"/>
            <w:tcBorders>
              <w:top w:val="single" w:sz="6" w:space="0" w:color="4F6228"/>
            </w:tcBorders>
            <w:shd w:val="clear" w:color="auto" w:fill="auto"/>
            <w:noWrap/>
            <w:hideMark/>
          </w:tcPr>
          <w:p w:rsidR="00291E20" w:rsidRPr="006E0BAE" w:rsidRDefault="00291E20" w:rsidP="00942BFD">
            <w:pPr>
              <w:pStyle w:val="BCSTabletext"/>
            </w:pPr>
            <w:r w:rsidRPr="006E0BAE">
              <w:t>Voting equipment</w:t>
            </w:r>
          </w:p>
        </w:tc>
        <w:tc>
          <w:tcPr>
            <w:tcW w:w="1235" w:type="dxa"/>
            <w:tcBorders>
              <w:top w:val="single" w:sz="6" w:space="0" w:color="4F6228"/>
            </w:tcBorders>
            <w:shd w:val="clear" w:color="auto" w:fill="auto"/>
            <w:noWrap/>
            <w:hideMark/>
          </w:tcPr>
          <w:p w:rsidR="00291E20" w:rsidRPr="006E0BAE" w:rsidRDefault="00291E20" w:rsidP="00942BFD">
            <w:pPr>
              <w:pStyle w:val="BCSTabletext"/>
            </w:pPr>
            <w:r w:rsidRPr="006E0BAE">
              <w:t>6.98%</w:t>
            </w:r>
          </w:p>
        </w:tc>
        <w:tc>
          <w:tcPr>
            <w:tcW w:w="1276" w:type="dxa"/>
            <w:tcBorders>
              <w:top w:val="single" w:sz="6" w:space="0" w:color="4F6228"/>
            </w:tcBorders>
            <w:shd w:val="clear" w:color="auto" w:fill="auto"/>
            <w:noWrap/>
            <w:hideMark/>
          </w:tcPr>
          <w:p w:rsidR="00291E20" w:rsidRPr="006E0BAE" w:rsidRDefault="00291E20" w:rsidP="00942BFD">
            <w:pPr>
              <w:pStyle w:val="BCSTabletext"/>
            </w:pPr>
            <w:r w:rsidRPr="006E0BAE">
              <w:t>3.49%</w:t>
            </w:r>
          </w:p>
        </w:tc>
        <w:tc>
          <w:tcPr>
            <w:tcW w:w="1316" w:type="dxa"/>
            <w:tcBorders>
              <w:top w:val="single" w:sz="6" w:space="0" w:color="4F6228"/>
            </w:tcBorders>
            <w:shd w:val="clear" w:color="auto" w:fill="auto"/>
            <w:noWrap/>
            <w:hideMark/>
          </w:tcPr>
          <w:p w:rsidR="00291E20" w:rsidRPr="006E0BAE" w:rsidRDefault="00291E20" w:rsidP="00942BFD">
            <w:pPr>
              <w:pStyle w:val="BCSTabletext"/>
            </w:pPr>
            <w:r w:rsidRPr="006E0BAE">
              <w:t>30.23%</w:t>
            </w:r>
          </w:p>
        </w:tc>
        <w:tc>
          <w:tcPr>
            <w:tcW w:w="1276" w:type="dxa"/>
            <w:tcBorders>
              <w:top w:val="single" w:sz="6" w:space="0" w:color="4F6228"/>
            </w:tcBorders>
            <w:shd w:val="clear" w:color="auto" w:fill="auto"/>
            <w:noWrap/>
            <w:hideMark/>
          </w:tcPr>
          <w:p w:rsidR="00291E20" w:rsidRPr="006E0BAE" w:rsidRDefault="00291E20" w:rsidP="00942BFD">
            <w:pPr>
              <w:pStyle w:val="BCSTabletext"/>
            </w:pPr>
            <w:r w:rsidRPr="006E0BAE">
              <w:t>4.65%</w:t>
            </w:r>
          </w:p>
        </w:tc>
        <w:tc>
          <w:tcPr>
            <w:tcW w:w="1276" w:type="dxa"/>
            <w:tcBorders>
              <w:top w:val="single" w:sz="6" w:space="0" w:color="4F6228"/>
            </w:tcBorders>
            <w:shd w:val="clear" w:color="auto" w:fill="auto"/>
            <w:noWrap/>
            <w:hideMark/>
          </w:tcPr>
          <w:p w:rsidR="00291E20" w:rsidRPr="006E0BAE" w:rsidRDefault="00291E20" w:rsidP="00942BFD">
            <w:pPr>
              <w:pStyle w:val="BCSTabletext"/>
            </w:pPr>
            <w:r w:rsidRPr="006E0BAE">
              <w:t>38.37%</w:t>
            </w:r>
          </w:p>
        </w:tc>
        <w:tc>
          <w:tcPr>
            <w:tcW w:w="1276" w:type="dxa"/>
            <w:tcBorders>
              <w:top w:val="single" w:sz="6" w:space="0" w:color="4F6228"/>
            </w:tcBorders>
            <w:shd w:val="clear" w:color="auto" w:fill="auto"/>
            <w:noWrap/>
            <w:hideMark/>
          </w:tcPr>
          <w:p w:rsidR="00291E20" w:rsidRPr="006E0BAE" w:rsidRDefault="00291E20" w:rsidP="00942BFD">
            <w:pPr>
              <w:pStyle w:val="BCSTabletext"/>
            </w:pPr>
            <w:r w:rsidRPr="006E0BAE">
              <w:t>11.63%</w:t>
            </w:r>
          </w:p>
        </w:tc>
        <w:tc>
          <w:tcPr>
            <w:tcW w:w="1134" w:type="dxa"/>
            <w:tcBorders>
              <w:top w:val="single" w:sz="6" w:space="0" w:color="4F6228"/>
            </w:tcBorders>
            <w:shd w:val="clear" w:color="auto" w:fill="auto"/>
            <w:noWrap/>
            <w:hideMark/>
          </w:tcPr>
          <w:p w:rsidR="00291E20" w:rsidRPr="006E0BAE" w:rsidRDefault="00291E20" w:rsidP="00942BFD">
            <w:pPr>
              <w:pStyle w:val="BCSTabletext"/>
            </w:pPr>
            <w:r w:rsidRPr="006E0BAE">
              <w:t>4.94%</w:t>
            </w:r>
          </w:p>
        </w:tc>
      </w:tr>
    </w:tbl>
    <w:p w:rsidR="00291E20" w:rsidRDefault="00291E20" w:rsidP="00291E20">
      <w:pPr>
        <w:contextualSpacing/>
      </w:pPr>
    </w:p>
    <w:p w:rsidR="00291E20" w:rsidRDefault="00F9461D" w:rsidP="00942BFD">
      <w:pPr>
        <w:pStyle w:val="BCSParagraph"/>
      </w:pPr>
      <w:hyperlink w:anchor="_Table_14:_Extent" w:history="1">
        <w:r w:rsidR="00291E20" w:rsidRPr="00CC1978">
          <w:rPr>
            <w:rStyle w:val="Hyperlink"/>
          </w:rPr>
          <w:t>Table 14</w:t>
        </w:r>
      </w:hyperlink>
      <w:r w:rsidR="00291E20">
        <w:t xml:space="preserve"> shows the level of access, cited by non E-guide practitioners.   </w:t>
      </w:r>
    </w:p>
    <w:p w:rsidR="00291E20" w:rsidRDefault="00291E20" w:rsidP="00291E20">
      <w:pPr>
        <w:contextualSpacing/>
      </w:pPr>
    </w:p>
    <w:p w:rsidR="00291E20" w:rsidRDefault="00291E20" w:rsidP="00942BFD">
      <w:pPr>
        <w:pStyle w:val="BCSBulletparagraph"/>
      </w:pPr>
      <w:r>
        <w:t>As with E-guides, where a technology type was available and accessible to non E-guides, it was most often shared with more than 2 people across most technology types, with the exception of those seeing high levels of sole access.</w:t>
      </w:r>
    </w:p>
    <w:p w:rsidR="00291E20" w:rsidRDefault="00291E20" w:rsidP="00942BFD">
      <w:pPr>
        <w:pStyle w:val="BCSBulletparagraph"/>
      </w:pPr>
      <w:r>
        <w:t>When combining all three access types (sole, shared with 1 or 2 and shared with more than 2), the technology to which most non E-guides had access were</w:t>
      </w:r>
    </w:p>
    <w:p w:rsidR="00291E20" w:rsidRDefault="00291E20" w:rsidP="00942BFD">
      <w:pPr>
        <w:pStyle w:val="BCSBulletlevel2"/>
      </w:pPr>
      <w:r>
        <w:t>Printer (96.69%)</w:t>
      </w:r>
    </w:p>
    <w:p w:rsidR="00291E20" w:rsidRDefault="00291E20" w:rsidP="00942BFD">
      <w:pPr>
        <w:pStyle w:val="BCSBulletlevel2"/>
      </w:pPr>
      <w:r>
        <w:t>Work-based laptop/ PC (93.92)</w:t>
      </w:r>
    </w:p>
    <w:p w:rsidR="00291E20" w:rsidRDefault="00291E20" w:rsidP="00942BFD">
      <w:pPr>
        <w:pStyle w:val="BCSBulletlevel2"/>
      </w:pPr>
      <w:r>
        <w:t>Digital Camera (86.74%)</w:t>
      </w:r>
    </w:p>
    <w:p w:rsidR="00291E20" w:rsidRDefault="00291E20" w:rsidP="00942BFD">
      <w:pPr>
        <w:pStyle w:val="BCSBulletlevel2"/>
      </w:pPr>
      <w:r>
        <w:t>Projector (86.19%)</w:t>
      </w:r>
    </w:p>
    <w:p w:rsidR="00291E20" w:rsidRDefault="00291E20" w:rsidP="00942BFD">
      <w:pPr>
        <w:pStyle w:val="BCSBulletlevel2"/>
      </w:pPr>
      <w:r>
        <w:t>Scanner (73.48%)</w:t>
      </w:r>
    </w:p>
    <w:p w:rsidR="00291E20" w:rsidRDefault="00291E20" w:rsidP="00942BFD">
      <w:pPr>
        <w:pStyle w:val="BCSBulletlevel2"/>
      </w:pPr>
      <w:r>
        <w:t>Home- based laptop/ PC (69.61%), and</w:t>
      </w:r>
    </w:p>
    <w:p w:rsidR="00291E20" w:rsidRDefault="00291E20" w:rsidP="00942BFD">
      <w:pPr>
        <w:pStyle w:val="BCSBulletlevel2"/>
      </w:pPr>
      <w:r>
        <w:t>Digital video camera (69.06%)</w:t>
      </w:r>
    </w:p>
    <w:p w:rsidR="00291E20" w:rsidRDefault="00291E20" w:rsidP="00291E20">
      <w:pPr>
        <w:ind w:left="1080"/>
        <w:contextualSpacing/>
      </w:pPr>
    </w:p>
    <w:p w:rsidR="00291E20" w:rsidRDefault="00291E20" w:rsidP="00942BFD">
      <w:pPr>
        <w:pStyle w:val="BCSBulletparagraph"/>
      </w:pPr>
      <w:r>
        <w:t>When drilling down into levels of access, the equipment to which most non E-guides had sole access was the work-based PC or laptop (67.40%), followed by home-based PC/ laptop (52.49%)</w:t>
      </w:r>
    </w:p>
    <w:p w:rsidR="00291E20" w:rsidRDefault="00291E20" w:rsidP="00942BFD">
      <w:pPr>
        <w:pStyle w:val="BCSBulletparagraph"/>
      </w:pPr>
      <w:r>
        <w:t>The equipment to which the greater proportion had access, but had to share with more than 2 others were projectors (65.75%), printers (60.22%) and digital cameras (57.46%)</w:t>
      </w:r>
    </w:p>
    <w:p w:rsidR="00291E20" w:rsidRDefault="00291E20" w:rsidP="00942BFD">
      <w:pPr>
        <w:pStyle w:val="BCSBulletparagraph"/>
      </w:pPr>
      <w:r>
        <w:t>The equipment least available to staff (cited as being not available or inaccessible) in the majority of cases were 3G devices (79.56%), PDAs (72.38%), games consoles (61.88%), and mobile phone (54.14%)</w:t>
      </w:r>
    </w:p>
    <w:p w:rsidR="00291E20" w:rsidRDefault="00291E20" w:rsidP="00942BFD">
      <w:pPr>
        <w:pStyle w:val="BCSBulletparagraph"/>
      </w:pPr>
      <w:r>
        <w:t>The equipment types which were cited most frequently as being ‘not available’, were 3G devices (64.64%), PDAs (61.88%), and games consoles (59.67%).</w:t>
      </w:r>
    </w:p>
    <w:p w:rsidR="00291E20" w:rsidRDefault="00291E20" w:rsidP="00942BFD">
      <w:pPr>
        <w:pStyle w:val="BCSBulletparagraph"/>
      </w:pPr>
      <w:r>
        <w:t>The greatest proportion of those indicating that a technology type was available but that they had no access cited as being mobile phones (16.02%), 3G devices (14.92%), and PDAs (10.50%).</w:t>
      </w:r>
    </w:p>
    <w:p w:rsidR="00291E20" w:rsidRDefault="00291E20" w:rsidP="00942BFD">
      <w:pPr>
        <w:pStyle w:val="BCSBulletparagraph"/>
        <w:numPr>
          <w:ilvl w:val="0"/>
          <w:numId w:val="0"/>
        </w:numPr>
        <w:ind w:left="1077"/>
      </w:pPr>
    </w:p>
    <w:p w:rsidR="00291E20" w:rsidRDefault="00291E20" w:rsidP="00942BFD">
      <w:pPr>
        <w:pStyle w:val="BCSTableheadings"/>
      </w:pPr>
      <w:bookmarkStart w:id="82" w:name="_Table_13:_Extent"/>
      <w:bookmarkStart w:id="83" w:name="_Table_14:_Extent"/>
      <w:bookmarkStart w:id="84" w:name="_Toc256332151"/>
      <w:bookmarkEnd w:id="82"/>
      <w:bookmarkEnd w:id="83"/>
      <w:r w:rsidRPr="00395D9A">
        <w:t xml:space="preserve">Table </w:t>
      </w:r>
      <w:r>
        <w:t>14</w:t>
      </w:r>
      <w:r w:rsidRPr="00395D9A">
        <w:t xml:space="preserve">: Extent to which organisations provide </w:t>
      </w:r>
      <w:r>
        <w:t xml:space="preserve">non E-Guide </w:t>
      </w:r>
      <w:r w:rsidRPr="00395D9A">
        <w:t>practitioners with access to equipment</w:t>
      </w:r>
      <w:bookmarkEnd w:id="84"/>
    </w:p>
    <w:tbl>
      <w:tblPr>
        <w:tblW w:w="10916" w:type="dxa"/>
        <w:tblInd w:w="-743" w:type="dxa"/>
        <w:tblBorders>
          <w:top w:val="single" w:sz="4" w:space="0" w:color="4F6228"/>
          <w:left w:val="single" w:sz="4" w:space="0" w:color="4F6228"/>
          <w:bottom w:val="single" w:sz="4" w:space="0" w:color="4F6228"/>
          <w:right w:val="single" w:sz="4" w:space="0" w:color="4F6228"/>
          <w:insideH w:val="single" w:sz="6" w:space="0" w:color="4F6228"/>
          <w:insideV w:val="single" w:sz="6" w:space="0" w:color="4F6228"/>
        </w:tblBorders>
        <w:tblLook w:val="04A0"/>
      </w:tblPr>
      <w:tblGrid>
        <w:gridCol w:w="2127"/>
        <w:gridCol w:w="1235"/>
        <w:gridCol w:w="1276"/>
        <w:gridCol w:w="1316"/>
        <w:gridCol w:w="1276"/>
        <w:gridCol w:w="1276"/>
        <w:gridCol w:w="1276"/>
        <w:gridCol w:w="1134"/>
      </w:tblGrid>
      <w:tr w:rsidR="00291E20" w:rsidRPr="00395D9A" w:rsidTr="00291E20">
        <w:trPr>
          <w:trHeight w:val="300"/>
        </w:trPr>
        <w:tc>
          <w:tcPr>
            <w:tcW w:w="2127" w:type="dxa"/>
            <w:tcBorders>
              <w:top w:val="single" w:sz="4" w:space="0" w:color="4F6228"/>
              <w:bottom w:val="single" w:sz="6" w:space="0" w:color="4F6228"/>
            </w:tcBorders>
            <w:shd w:val="clear" w:color="auto" w:fill="76923C"/>
            <w:noWrap/>
            <w:hideMark/>
          </w:tcPr>
          <w:p w:rsidR="00291E20" w:rsidRDefault="00291E20" w:rsidP="00942BFD">
            <w:pPr>
              <w:pStyle w:val="BCSTabletext"/>
            </w:pPr>
          </w:p>
          <w:p w:rsidR="00291E20" w:rsidRPr="00C179FB" w:rsidRDefault="00291E20" w:rsidP="00942BFD">
            <w:pPr>
              <w:pStyle w:val="BCSTabletext"/>
            </w:pPr>
            <w:r w:rsidRPr="00395D9A">
              <w:t xml:space="preserve">Technology </w:t>
            </w:r>
            <w:r>
              <w:t xml:space="preserve">by </w:t>
            </w:r>
            <w:r w:rsidRPr="00395D9A">
              <w:t>Type</w:t>
            </w:r>
          </w:p>
        </w:tc>
        <w:tc>
          <w:tcPr>
            <w:tcW w:w="1235" w:type="dxa"/>
            <w:tcBorders>
              <w:top w:val="single" w:sz="4" w:space="0" w:color="4F6228"/>
              <w:bottom w:val="single" w:sz="6" w:space="0" w:color="4F6228"/>
            </w:tcBorders>
            <w:shd w:val="clear" w:color="auto" w:fill="76923C"/>
            <w:noWrap/>
            <w:vAlign w:val="bottom"/>
            <w:hideMark/>
          </w:tcPr>
          <w:p w:rsidR="00291E20" w:rsidRPr="00C179FB" w:rsidRDefault="00291E20" w:rsidP="00942BFD">
            <w:pPr>
              <w:pStyle w:val="BCSTabletext"/>
            </w:pPr>
            <w:r w:rsidRPr="00C179FB">
              <w:t>Sole access</w:t>
            </w:r>
          </w:p>
        </w:tc>
        <w:tc>
          <w:tcPr>
            <w:tcW w:w="1276" w:type="dxa"/>
            <w:tcBorders>
              <w:top w:val="single" w:sz="4" w:space="0" w:color="4F6228"/>
              <w:bottom w:val="single" w:sz="6" w:space="0" w:color="4F6228"/>
            </w:tcBorders>
            <w:shd w:val="clear" w:color="auto" w:fill="76923C"/>
            <w:noWrap/>
            <w:vAlign w:val="center"/>
            <w:hideMark/>
          </w:tcPr>
          <w:p w:rsidR="00291E20" w:rsidRPr="00C179FB" w:rsidRDefault="00291E20" w:rsidP="00942BFD">
            <w:pPr>
              <w:pStyle w:val="BCSTabletext"/>
            </w:pPr>
            <w:r w:rsidRPr="00C179FB">
              <w:t>Share with 1 or 2</w:t>
            </w:r>
          </w:p>
        </w:tc>
        <w:tc>
          <w:tcPr>
            <w:tcW w:w="1316" w:type="dxa"/>
            <w:tcBorders>
              <w:top w:val="single" w:sz="4" w:space="0" w:color="4F6228"/>
              <w:bottom w:val="single" w:sz="6" w:space="0" w:color="4F6228"/>
            </w:tcBorders>
            <w:shd w:val="clear" w:color="auto" w:fill="76923C"/>
            <w:noWrap/>
            <w:vAlign w:val="center"/>
            <w:hideMark/>
          </w:tcPr>
          <w:p w:rsidR="00291E20" w:rsidRPr="00C179FB" w:rsidRDefault="00291E20" w:rsidP="00942BFD">
            <w:pPr>
              <w:pStyle w:val="BCSTabletext"/>
            </w:pPr>
            <w:r w:rsidRPr="00C179FB">
              <w:t>Share with more than 2</w:t>
            </w:r>
          </w:p>
        </w:tc>
        <w:tc>
          <w:tcPr>
            <w:tcW w:w="1276" w:type="dxa"/>
            <w:tcBorders>
              <w:top w:val="single" w:sz="4" w:space="0" w:color="4F6228"/>
              <w:bottom w:val="single" w:sz="6" w:space="0" w:color="4F6228"/>
            </w:tcBorders>
            <w:shd w:val="clear" w:color="auto" w:fill="76923C"/>
            <w:noWrap/>
            <w:vAlign w:val="center"/>
            <w:hideMark/>
          </w:tcPr>
          <w:p w:rsidR="00291E20" w:rsidRPr="00C179FB" w:rsidRDefault="00291E20" w:rsidP="00942BFD">
            <w:pPr>
              <w:pStyle w:val="BCSTabletext"/>
            </w:pPr>
            <w:r w:rsidRPr="00C179FB">
              <w:t>Available but no access</w:t>
            </w:r>
          </w:p>
        </w:tc>
        <w:tc>
          <w:tcPr>
            <w:tcW w:w="1276" w:type="dxa"/>
            <w:tcBorders>
              <w:top w:val="single" w:sz="4" w:space="0" w:color="4F6228"/>
              <w:bottom w:val="single" w:sz="6" w:space="0" w:color="4F6228"/>
            </w:tcBorders>
            <w:shd w:val="clear" w:color="auto" w:fill="76923C"/>
            <w:noWrap/>
            <w:vAlign w:val="center"/>
            <w:hideMark/>
          </w:tcPr>
          <w:p w:rsidR="00291E20" w:rsidRPr="00C179FB" w:rsidRDefault="00291E20" w:rsidP="00942BFD">
            <w:pPr>
              <w:pStyle w:val="BCSTabletext"/>
            </w:pPr>
            <w:r w:rsidRPr="00C179FB">
              <w:t>Not available</w:t>
            </w:r>
          </w:p>
        </w:tc>
        <w:tc>
          <w:tcPr>
            <w:tcW w:w="1276" w:type="dxa"/>
            <w:tcBorders>
              <w:top w:val="single" w:sz="4" w:space="0" w:color="4F6228"/>
              <w:bottom w:val="single" w:sz="6" w:space="0" w:color="4F6228"/>
            </w:tcBorders>
            <w:shd w:val="clear" w:color="auto" w:fill="76923C"/>
            <w:noWrap/>
            <w:vAlign w:val="center"/>
            <w:hideMark/>
          </w:tcPr>
          <w:p w:rsidR="00291E20" w:rsidRPr="00C179FB" w:rsidRDefault="00291E20" w:rsidP="00942BFD">
            <w:pPr>
              <w:pStyle w:val="BCSTabletext"/>
            </w:pPr>
            <w:r w:rsidRPr="00C179FB">
              <w:t>Don't know</w:t>
            </w:r>
          </w:p>
        </w:tc>
        <w:tc>
          <w:tcPr>
            <w:tcW w:w="1134" w:type="dxa"/>
            <w:tcBorders>
              <w:top w:val="single" w:sz="4" w:space="0" w:color="4F6228"/>
              <w:bottom w:val="single" w:sz="6" w:space="0" w:color="4F6228"/>
            </w:tcBorders>
            <w:shd w:val="clear" w:color="auto" w:fill="76923C"/>
            <w:noWrap/>
            <w:vAlign w:val="bottom"/>
            <w:hideMark/>
          </w:tcPr>
          <w:p w:rsidR="00291E20" w:rsidRPr="00C179FB" w:rsidRDefault="00291E20" w:rsidP="00942BFD">
            <w:pPr>
              <w:pStyle w:val="BCSTabletext"/>
            </w:pPr>
            <w:r w:rsidRPr="00C179FB">
              <w:t>No reply</w:t>
            </w:r>
          </w:p>
        </w:tc>
      </w:tr>
      <w:tr w:rsidR="00291E20" w:rsidRPr="00395D9A" w:rsidTr="00291E20">
        <w:trPr>
          <w:trHeight w:val="300"/>
        </w:trPr>
        <w:tc>
          <w:tcPr>
            <w:tcW w:w="2127"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Work-based</w:t>
            </w:r>
            <w:r w:rsidRPr="00C179FB">
              <w:br/>
              <w:t>PC, laptop etc.</w:t>
            </w:r>
          </w:p>
        </w:tc>
        <w:tc>
          <w:tcPr>
            <w:tcW w:w="1235"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67.40%</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11.60%</w:t>
            </w:r>
          </w:p>
        </w:tc>
        <w:tc>
          <w:tcPr>
            <w:tcW w:w="131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14.92%</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3.87%</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1.10%</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1.10%</w:t>
            </w:r>
          </w:p>
        </w:tc>
        <w:tc>
          <w:tcPr>
            <w:tcW w:w="1134"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0.00%</w:t>
            </w:r>
          </w:p>
        </w:tc>
      </w:tr>
      <w:tr w:rsidR="00291E20" w:rsidRPr="00395D9A" w:rsidTr="00291E20">
        <w:trPr>
          <w:trHeight w:val="300"/>
        </w:trPr>
        <w:tc>
          <w:tcPr>
            <w:tcW w:w="2127"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Home-based</w:t>
            </w:r>
            <w:r w:rsidRPr="00C179FB">
              <w:br/>
              <w:t>PC, laptop etc.</w:t>
            </w:r>
          </w:p>
        </w:tc>
        <w:tc>
          <w:tcPr>
            <w:tcW w:w="1235"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52.49%</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5.52%</w:t>
            </w:r>
          </w:p>
        </w:tc>
        <w:tc>
          <w:tcPr>
            <w:tcW w:w="131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11.60%</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6.63%</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17.13%</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1.66%</w:t>
            </w:r>
          </w:p>
        </w:tc>
        <w:tc>
          <w:tcPr>
            <w:tcW w:w="1134"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4.97%</w:t>
            </w:r>
          </w:p>
        </w:tc>
      </w:tr>
      <w:tr w:rsidR="00291E20" w:rsidRPr="00395D9A" w:rsidTr="00291E20">
        <w:trPr>
          <w:trHeight w:val="300"/>
        </w:trPr>
        <w:tc>
          <w:tcPr>
            <w:tcW w:w="2127"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Printer</w:t>
            </w:r>
          </w:p>
        </w:tc>
        <w:tc>
          <w:tcPr>
            <w:tcW w:w="1235"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23.76%</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12.71%</w:t>
            </w:r>
          </w:p>
        </w:tc>
        <w:tc>
          <w:tcPr>
            <w:tcW w:w="131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60.22%</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0.55%</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1.66%</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0.55%</w:t>
            </w:r>
          </w:p>
        </w:tc>
        <w:tc>
          <w:tcPr>
            <w:tcW w:w="1134"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0.55%</w:t>
            </w:r>
          </w:p>
        </w:tc>
      </w:tr>
      <w:tr w:rsidR="00291E20" w:rsidRPr="00395D9A" w:rsidTr="00291E20">
        <w:trPr>
          <w:trHeight w:val="300"/>
        </w:trPr>
        <w:tc>
          <w:tcPr>
            <w:tcW w:w="2127"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Scanner</w:t>
            </w:r>
          </w:p>
        </w:tc>
        <w:tc>
          <w:tcPr>
            <w:tcW w:w="1235"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9.39%</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9.39%</w:t>
            </w:r>
          </w:p>
        </w:tc>
        <w:tc>
          <w:tcPr>
            <w:tcW w:w="131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54.70%</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9.94%</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6.63%</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8.29%</w:t>
            </w:r>
          </w:p>
        </w:tc>
        <w:tc>
          <w:tcPr>
            <w:tcW w:w="1134"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1.66%</w:t>
            </w:r>
          </w:p>
        </w:tc>
      </w:tr>
      <w:tr w:rsidR="00291E20" w:rsidRPr="00395D9A" w:rsidTr="00291E20">
        <w:trPr>
          <w:trHeight w:val="300"/>
        </w:trPr>
        <w:tc>
          <w:tcPr>
            <w:tcW w:w="2127"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Projector</w:t>
            </w:r>
          </w:p>
        </w:tc>
        <w:tc>
          <w:tcPr>
            <w:tcW w:w="1235"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13.26%</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7.18%</w:t>
            </w:r>
          </w:p>
        </w:tc>
        <w:tc>
          <w:tcPr>
            <w:tcW w:w="131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65.75%</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2.21%</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4.97%</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4.42%</w:t>
            </w:r>
          </w:p>
        </w:tc>
        <w:tc>
          <w:tcPr>
            <w:tcW w:w="1134"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2.21%</w:t>
            </w:r>
          </w:p>
        </w:tc>
      </w:tr>
      <w:tr w:rsidR="00291E20" w:rsidRPr="00395D9A" w:rsidTr="00291E20">
        <w:trPr>
          <w:trHeight w:val="300"/>
        </w:trPr>
        <w:tc>
          <w:tcPr>
            <w:tcW w:w="2127"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Mobile phone</w:t>
            </w:r>
          </w:p>
        </w:tc>
        <w:tc>
          <w:tcPr>
            <w:tcW w:w="1235"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31.49%</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0.55%</w:t>
            </w:r>
          </w:p>
        </w:tc>
        <w:tc>
          <w:tcPr>
            <w:tcW w:w="131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4.42%</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16.02%</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38.12%</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6.08%</w:t>
            </w:r>
          </w:p>
        </w:tc>
        <w:tc>
          <w:tcPr>
            <w:tcW w:w="1134"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3.31%</w:t>
            </w:r>
          </w:p>
        </w:tc>
      </w:tr>
      <w:tr w:rsidR="00291E20" w:rsidRPr="00395D9A" w:rsidTr="00291E20">
        <w:trPr>
          <w:trHeight w:val="300"/>
        </w:trPr>
        <w:tc>
          <w:tcPr>
            <w:tcW w:w="2127"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3G device</w:t>
            </w:r>
          </w:p>
        </w:tc>
        <w:tc>
          <w:tcPr>
            <w:tcW w:w="1235"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4.42%</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0.55%</w:t>
            </w:r>
          </w:p>
        </w:tc>
        <w:tc>
          <w:tcPr>
            <w:tcW w:w="131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1.10%</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14.92%</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64.64%</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12.71%</w:t>
            </w:r>
          </w:p>
        </w:tc>
        <w:tc>
          <w:tcPr>
            <w:tcW w:w="1134"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1.66%</w:t>
            </w:r>
          </w:p>
        </w:tc>
      </w:tr>
      <w:tr w:rsidR="00291E20" w:rsidRPr="00395D9A" w:rsidTr="00291E20">
        <w:trPr>
          <w:trHeight w:val="300"/>
        </w:trPr>
        <w:tc>
          <w:tcPr>
            <w:tcW w:w="2127"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PDA</w:t>
            </w:r>
          </w:p>
        </w:tc>
        <w:tc>
          <w:tcPr>
            <w:tcW w:w="1235"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4.97%</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0.00%</w:t>
            </w:r>
          </w:p>
        </w:tc>
        <w:tc>
          <w:tcPr>
            <w:tcW w:w="131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1.10%</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10.50%</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61.88%</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19.34%</w:t>
            </w:r>
          </w:p>
        </w:tc>
        <w:tc>
          <w:tcPr>
            <w:tcW w:w="1134"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2.21%</w:t>
            </w:r>
          </w:p>
        </w:tc>
      </w:tr>
      <w:tr w:rsidR="00291E20" w:rsidRPr="00395D9A" w:rsidTr="00291E20">
        <w:trPr>
          <w:trHeight w:val="300"/>
        </w:trPr>
        <w:tc>
          <w:tcPr>
            <w:tcW w:w="2127"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Adaptive technology</w:t>
            </w:r>
          </w:p>
        </w:tc>
        <w:tc>
          <w:tcPr>
            <w:tcW w:w="1235"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6.08%</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2.76%</w:t>
            </w:r>
          </w:p>
        </w:tc>
        <w:tc>
          <w:tcPr>
            <w:tcW w:w="131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33.15%</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3.87%</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17.13%</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33.70%</w:t>
            </w:r>
          </w:p>
        </w:tc>
        <w:tc>
          <w:tcPr>
            <w:tcW w:w="1134"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3.31%</w:t>
            </w:r>
          </w:p>
        </w:tc>
      </w:tr>
      <w:tr w:rsidR="00291E20" w:rsidRPr="00395D9A" w:rsidTr="00291E20">
        <w:trPr>
          <w:trHeight w:val="300"/>
        </w:trPr>
        <w:tc>
          <w:tcPr>
            <w:tcW w:w="2127"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Digital camera</w:t>
            </w:r>
          </w:p>
        </w:tc>
        <w:tc>
          <w:tcPr>
            <w:tcW w:w="1235"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19.89%</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9.39%</w:t>
            </w:r>
          </w:p>
        </w:tc>
        <w:tc>
          <w:tcPr>
            <w:tcW w:w="131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57.46%</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5.52%</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3.31%</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3.87%</w:t>
            </w:r>
          </w:p>
        </w:tc>
        <w:tc>
          <w:tcPr>
            <w:tcW w:w="1134"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0.55%</w:t>
            </w:r>
          </w:p>
        </w:tc>
      </w:tr>
      <w:tr w:rsidR="00291E20" w:rsidRPr="00395D9A" w:rsidTr="00291E20">
        <w:trPr>
          <w:trHeight w:val="300"/>
        </w:trPr>
        <w:tc>
          <w:tcPr>
            <w:tcW w:w="2127"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t>Digital v</w:t>
            </w:r>
            <w:r w:rsidRPr="00C179FB">
              <w:t>ideo camera</w:t>
            </w:r>
          </w:p>
        </w:tc>
        <w:tc>
          <w:tcPr>
            <w:tcW w:w="1235"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11.60%</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4.97%</w:t>
            </w:r>
          </w:p>
        </w:tc>
        <w:tc>
          <w:tcPr>
            <w:tcW w:w="131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52.49%</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3.87%</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9.39%</w:t>
            </w:r>
          </w:p>
        </w:tc>
        <w:tc>
          <w:tcPr>
            <w:tcW w:w="1276"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16.02%</w:t>
            </w:r>
          </w:p>
        </w:tc>
        <w:tc>
          <w:tcPr>
            <w:tcW w:w="1134" w:type="dxa"/>
            <w:tcBorders>
              <w:top w:val="single" w:sz="6" w:space="0" w:color="4F6228"/>
              <w:bottom w:val="single" w:sz="6" w:space="0" w:color="4F6228"/>
            </w:tcBorders>
            <w:shd w:val="clear" w:color="auto" w:fill="auto"/>
            <w:noWrap/>
            <w:hideMark/>
          </w:tcPr>
          <w:p w:rsidR="00291E20" w:rsidRPr="00C179FB" w:rsidRDefault="00291E20" w:rsidP="00942BFD">
            <w:pPr>
              <w:pStyle w:val="BCSTabletext"/>
            </w:pPr>
            <w:r w:rsidRPr="00C179FB">
              <w:t>1.66%</w:t>
            </w:r>
          </w:p>
        </w:tc>
      </w:tr>
      <w:tr w:rsidR="00291E20" w:rsidRPr="00395D9A" w:rsidTr="00291E20">
        <w:trPr>
          <w:trHeight w:val="300"/>
        </w:trPr>
        <w:tc>
          <w:tcPr>
            <w:tcW w:w="2127"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Games console</w:t>
            </w:r>
          </w:p>
        </w:tc>
        <w:tc>
          <w:tcPr>
            <w:tcW w:w="1235"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1.10%</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0.55%</w:t>
            </w:r>
          </w:p>
        </w:tc>
        <w:tc>
          <w:tcPr>
            <w:tcW w:w="131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8.29%</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2.21%</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59.67%</w:t>
            </w:r>
          </w:p>
        </w:tc>
        <w:tc>
          <w:tcPr>
            <w:tcW w:w="1276"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25.97%</w:t>
            </w:r>
          </w:p>
        </w:tc>
        <w:tc>
          <w:tcPr>
            <w:tcW w:w="1134" w:type="dxa"/>
            <w:tcBorders>
              <w:top w:val="single" w:sz="6" w:space="0" w:color="4F6228"/>
              <w:bottom w:val="single" w:sz="6" w:space="0" w:color="4F6228"/>
            </w:tcBorders>
            <w:shd w:val="clear" w:color="auto" w:fill="C2D69B"/>
            <w:noWrap/>
            <w:hideMark/>
          </w:tcPr>
          <w:p w:rsidR="00291E20" w:rsidRPr="00C179FB" w:rsidRDefault="00291E20" w:rsidP="00942BFD">
            <w:pPr>
              <w:pStyle w:val="BCSTabletext"/>
            </w:pPr>
            <w:r w:rsidRPr="00C179FB">
              <w:t>2.21%</w:t>
            </w:r>
          </w:p>
        </w:tc>
      </w:tr>
      <w:tr w:rsidR="00291E20" w:rsidRPr="00395D9A" w:rsidTr="00291E20">
        <w:trPr>
          <w:trHeight w:val="300"/>
        </w:trPr>
        <w:tc>
          <w:tcPr>
            <w:tcW w:w="2127" w:type="dxa"/>
            <w:tcBorders>
              <w:top w:val="single" w:sz="6" w:space="0" w:color="4F6228"/>
            </w:tcBorders>
            <w:shd w:val="clear" w:color="auto" w:fill="auto"/>
            <w:noWrap/>
            <w:hideMark/>
          </w:tcPr>
          <w:p w:rsidR="00291E20" w:rsidRPr="00C179FB" w:rsidRDefault="00291E20" w:rsidP="00942BFD">
            <w:pPr>
              <w:pStyle w:val="BCSTabletext"/>
            </w:pPr>
            <w:r w:rsidRPr="00C179FB">
              <w:t>Voting equipment</w:t>
            </w:r>
          </w:p>
        </w:tc>
        <w:tc>
          <w:tcPr>
            <w:tcW w:w="1235" w:type="dxa"/>
            <w:tcBorders>
              <w:top w:val="single" w:sz="6" w:space="0" w:color="4F6228"/>
            </w:tcBorders>
            <w:shd w:val="clear" w:color="auto" w:fill="auto"/>
            <w:noWrap/>
            <w:hideMark/>
          </w:tcPr>
          <w:p w:rsidR="00291E20" w:rsidRPr="00C179FB" w:rsidRDefault="00291E20" w:rsidP="00942BFD">
            <w:pPr>
              <w:pStyle w:val="BCSTabletext"/>
            </w:pPr>
            <w:r w:rsidRPr="00C179FB">
              <w:t>3.87%</w:t>
            </w:r>
          </w:p>
        </w:tc>
        <w:tc>
          <w:tcPr>
            <w:tcW w:w="1276" w:type="dxa"/>
            <w:tcBorders>
              <w:top w:val="single" w:sz="6" w:space="0" w:color="4F6228"/>
            </w:tcBorders>
            <w:shd w:val="clear" w:color="auto" w:fill="auto"/>
            <w:noWrap/>
            <w:hideMark/>
          </w:tcPr>
          <w:p w:rsidR="00291E20" w:rsidRPr="00C179FB" w:rsidRDefault="00291E20" w:rsidP="00942BFD">
            <w:pPr>
              <w:pStyle w:val="BCSTabletext"/>
            </w:pPr>
            <w:r w:rsidRPr="00C179FB">
              <w:t>3.31%</w:t>
            </w:r>
          </w:p>
        </w:tc>
        <w:tc>
          <w:tcPr>
            <w:tcW w:w="1316" w:type="dxa"/>
            <w:tcBorders>
              <w:top w:val="single" w:sz="6" w:space="0" w:color="4F6228"/>
            </w:tcBorders>
            <w:shd w:val="clear" w:color="auto" w:fill="auto"/>
            <w:noWrap/>
            <w:hideMark/>
          </w:tcPr>
          <w:p w:rsidR="00291E20" w:rsidRPr="00C179FB" w:rsidRDefault="00291E20" w:rsidP="00942BFD">
            <w:pPr>
              <w:pStyle w:val="BCSTabletext"/>
            </w:pPr>
            <w:r w:rsidRPr="00C179FB">
              <w:t>24.31%</w:t>
            </w:r>
          </w:p>
        </w:tc>
        <w:tc>
          <w:tcPr>
            <w:tcW w:w="1276" w:type="dxa"/>
            <w:tcBorders>
              <w:top w:val="single" w:sz="6" w:space="0" w:color="4F6228"/>
            </w:tcBorders>
            <w:shd w:val="clear" w:color="auto" w:fill="auto"/>
            <w:noWrap/>
            <w:hideMark/>
          </w:tcPr>
          <w:p w:rsidR="00291E20" w:rsidRPr="00C179FB" w:rsidRDefault="00291E20" w:rsidP="00942BFD">
            <w:pPr>
              <w:pStyle w:val="BCSTabletext"/>
            </w:pPr>
            <w:r w:rsidRPr="00C179FB">
              <w:t>3.87%</w:t>
            </w:r>
          </w:p>
        </w:tc>
        <w:tc>
          <w:tcPr>
            <w:tcW w:w="1276" w:type="dxa"/>
            <w:tcBorders>
              <w:top w:val="single" w:sz="6" w:space="0" w:color="4F6228"/>
            </w:tcBorders>
            <w:shd w:val="clear" w:color="auto" w:fill="auto"/>
            <w:noWrap/>
            <w:hideMark/>
          </w:tcPr>
          <w:p w:rsidR="00291E20" w:rsidRPr="00C179FB" w:rsidRDefault="00291E20" w:rsidP="00942BFD">
            <w:pPr>
              <w:pStyle w:val="BCSTabletext"/>
            </w:pPr>
            <w:r w:rsidRPr="00C179FB">
              <w:t>48.04%</w:t>
            </w:r>
          </w:p>
        </w:tc>
        <w:tc>
          <w:tcPr>
            <w:tcW w:w="1276" w:type="dxa"/>
            <w:tcBorders>
              <w:top w:val="single" w:sz="6" w:space="0" w:color="4F6228"/>
            </w:tcBorders>
            <w:shd w:val="clear" w:color="auto" w:fill="auto"/>
            <w:noWrap/>
            <w:hideMark/>
          </w:tcPr>
          <w:p w:rsidR="00291E20" w:rsidRPr="00C179FB" w:rsidRDefault="00291E20" w:rsidP="00942BFD">
            <w:pPr>
              <w:pStyle w:val="BCSTabletext"/>
            </w:pPr>
            <w:r w:rsidRPr="00C179FB">
              <w:t>16.02%</w:t>
            </w:r>
          </w:p>
        </w:tc>
        <w:tc>
          <w:tcPr>
            <w:tcW w:w="1134" w:type="dxa"/>
            <w:tcBorders>
              <w:top w:val="single" w:sz="6" w:space="0" w:color="4F6228"/>
            </w:tcBorders>
            <w:shd w:val="clear" w:color="auto" w:fill="auto"/>
            <w:noWrap/>
            <w:hideMark/>
          </w:tcPr>
          <w:p w:rsidR="00291E20" w:rsidRPr="00C179FB" w:rsidRDefault="00291E20" w:rsidP="00942BFD">
            <w:pPr>
              <w:pStyle w:val="BCSTabletext"/>
            </w:pPr>
            <w:r w:rsidRPr="00C179FB">
              <w:t>1.10%</w:t>
            </w:r>
          </w:p>
        </w:tc>
      </w:tr>
    </w:tbl>
    <w:p w:rsidR="00291E20" w:rsidRDefault="00291E20" w:rsidP="00291E20">
      <w:pPr>
        <w:contextualSpacing/>
      </w:pPr>
    </w:p>
    <w:p w:rsidR="00291E20" w:rsidRDefault="00291E20" w:rsidP="00942BFD">
      <w:pPr>
        <w:pStyle w:val="BCSParagraph"/>
      </w:pPr>
      <w:r>
        <w:t>When compared to the 2008/09 survey, there is a much smaller disparity between the access to computers available to E-guides and non E-guides.  Although E-guides still have higher proportions of access, it is much less pronounced than in the previous year.  For example, in 2008/09 80% of E-guides and 44% of non E-guides had sole/ dedicated access to a computer, whereas in 2009/10 this was the case for 74.42% of E-guides and 67.40% of non E-guides.  This year of the survey also saw a reduction in the proportion of sole access to technology amongst E-guides in terms of laptops and digital cameras.</w:t>
      </w:r>
      <w:r>
        <w:rPr>
          <w:rStyle w:val="FootnoteReference"/>
        </w:rPr>
        <w:footnoteReference w:id="16"/>
      </w:r>
    </w:p>
    <w:p w:rsidR="00291E20" w:rsidRDefault="00291E20" w:rsidP="00291E20">
      <w:pPr>
        <w:contextualSpacing/>
        <w:rPr>
          <w:u w:val="single"/>
        </w:rPr>
      </w:pPr>
    </w:p>
    <w:p w:rsidR="00291E20" w:rsidRPr="006F1A0C" w:rsidRDefault="00291E20" w:rsidP="00942BFD">
      <w:pPr>
        <w:pStyle w:val="Heading3"/>
      </w:pPr>
      <w:r w:rsidRPr="006F1A0C">
        <w:t>Internet Access:</w:t>
      </w:r>
    </w:p>
    <w:p w:rsidR="00291E20" w:rsidRDefault="00291E20" w:rsidP="00942BFD">
      <w:pPr>
        <w:pStyle w:val="BCSParagraph"/>
      </w:pPr>
      <w:r>
        <w:t xml:space="preserve">In order to establish the levels of Internet access practitioners have at work, the survey asked whether respondents were able to access the Internet and the level of restrictions applied.  Overall, 60.47% of E-guides and 64.64% of non E-guides had full unrestricted access at work, whilst 37.21% of E-guides and 32.04% of non E-guides had access; though this was restricted to websites approved by their organisation.  Only 1.66% of non E-guides had no access at all, whilst all E-guides who responded to this question had some level of access (2.33% of E-guides did not respond to this question).  Overall, 1.10% of non E-guides did not know and 0.55% did not reply to this question. </w:t>
      </w:r>
    </w:p>
    <w:p w:rsidR="00291E20" w:rsidRDefault="00291E20" w:rsidP="00942BFD">
      <w:pPr>
        <w:pStyle w:val="BCSParagraph"/>
      </w:pPr>
    </w:p>
    <w:p w:rsidR="00291E20" w:rsidRDefault="00291E20" w:rsidP="00942BFD">
      <w:pPr>
        <w:pStyle w:val="BCSParagraph"/>
      </w:pPr>
      <w:r>
        <w:t>In terms of network capability, the majority of respondents felt that the network met their teaching learning needs; 86.05% of E-guides and 81.22% of non E-guides.  However, whilst 40.70% of E-guides felt that their network met their needs with excess capacity, 45.35% felt that whilst the network met their needs it was functioning at capacity.  By comparison 44.20% of non E-guides felt that their network met their needs with excess capacity, whilst 37.02% felt that whilst the network met their needs it was functioning at capacity.</w:t>
      </w:r>
    </w:p>
    <w:p w:rsidR="00291E20" w:rsidRDefault="00291E20" w:rsidP="00942BFD">
      <w:pPr>
        <w:pStyle w:val="BCSParagraph"/>
      </w:pPr>
    </w:p>
    <w:p w:rsidR="00291E20" w:rsidRDefault="00291E20" w:rsidP="00942BFD">
      <w:pPr>
        <w:pStyle w:val="BCSParagraph"/>
      </w:pPr>
      <w:r>
        <w:t xml:space="preserve">In addition, 8.14% of E-guides and 13.81% of non E-guides felt that their network did not meet current demand, whilst 4.65% of E-guides and 4.97% of non E-guides did not reply to this question.  </w:t>
      </w:r>
    </w:p>
    <w:p w:rsidR="00291E20" w:rsidRDefault="00291E20" w:rsidP="00942BFD">
      <w:pPr>
        <w:pStyle w:val="BCSParagraph"/>
      </w:pPr>
    </w:p>
    <w:p w:rsidR="00291E20" w:rsidRDefault="00291E20" w:rsidP="00942BFD">
      <w:pPr>
        <w:pStyle w:val="BCSParagraph"/>
      </w:pPr>
      <w:r>
        <w:t>When asked whether learners were easily able to work with large files over the network (e.g. multimedia files);</w:t>
      </w:r>
    </w:p>
    <w:p w:rsidR="00291E20" w:rsidRDefault="00291E20" w:rsidP="00942BFD">
      <w:pPr>
        <w:pStyle w:val="BCSBulletparagraph"/>
      </w:pPr>
      <w:r>
        <w:t xml:space="preserve">The greater proportion of respondents felt that whilst their network could cope, it tended to slow down at busy times; 43.02% of E-guides and 43.09% of non E-guides.  </w:t>
      </w:r>
    </w:p>
    <w:p w:rsidR="00291E20" w:rsidRDefault="00291E20" w:rsidP="00942BFD">
      <w:pPr>
        <w:pStyle w:val="BCSBulletparagraph"/>
      </w:pPr>
      <w:r>
        <w:t xml:space="preserve">Overall, 29.07% of E-guides and 30.39% of non E-guides indicated that learners were able to work easily with large files on some parts of the network </w:t>
      </w:r>
    </w:p>
    <w:p w:rsidR="00291E20" w:rsidRDefault="00291E20" w:rsidP="00942BFD">
      <w:pPr>
        <w:pStyle w:val="BCSBulletparagraph"/>
      </w:pPr>
      <w:r>
        <w:t xml:space="preserve">The lowest proportion of respondents in each case felt that their network was both fast and reliable, enabling learners to work confidently with large multimedia files; 13.95% of E-guides and 11.05% of non E-guides.  </w:t>
      </w:r>
    </w:p>
    <w:p w:rsidR="00291E20" w:rsidRDefault="00291E20" w:rsidP="00942BFD">
      <w:pPr>
        <w:pStyle w:val="BCSBulletparagraph"/>
      </w:pPr>
      <w:r>
        <w:t>Overall, 12.79% of E-guides and 14.92% of non E-guides did not respond to this question</w:t>
      </w:r>
    </w:p>
    <w:p w:rsidR="00291E20" w:rsidRDefault="00291E20" w:rsidP="00291E20">
      <w:pPr>
        <w:contextualSpacing/>
      </w:pPr>
    </w:p>
    <w:p w:rsidR="00291E20" w:rsidRDefault="00291E20" w:rsidP="00942BFD">
      <w:pPr>
        <w:pStyle w:val="BCSParagraph"/>
      </w:pPr>
      <w:r>
        <w:t>When compared to the 2008/09 survey, just over half of practitioners (57%) indicated that they had unrestricted access to the Internet, whilst a further 41% had restricted access.  By comparison, in 2009/10, 63%</w:t>
      </w:r>
      <w:r>
        <w:rPr>
          <w:rStyle w:val="FootnoteReference"/>
        </w:rPr>
        <w:footnoteReference w:id="17"/>
      </w:r>
      <w:r>
        <w:t xml:space="preserve"> had unrestricted access, whilst a further 34.07% had restricted access, indicating an improvement in Internet access amongst ACL practitioners.</w:t>
      </w:r>
    </w:p>
    <w:p w:rsidR="00291E20" w:rsidRDefault="00291E20" w:rsidP="00942BFD">
      <w:pPr>
        <w:pStyle w:val="BCSParagraph"/>
      </w:pPr>
    </w:p>
    <w:p w:rsidR="00291E20" w:rsidRPr="00433F31" w:rsidRDefault="00291E20" w:rsidP="00942BFD">
      <w:pPr>
        <w:pStyle w:val="Heading3"/>
        <w:rPr>
          <w:u w:val="single"/>
        </w:rPr>
      </w:pPr>
      <w:r w:rsidRPr="00942BFD">
        <w:t>Practitioner engagement in online activities</w:t>
      </w:r>
      <w:r w:rsidRPr="00433F31">
        <w:rPr>
          <w:u w:val="single"/>
        </w:rPr>
        <w:t>:</w:t>
      </w:r>
    </w:p>
    <w:p w:rsidR="00291E20" w:rsidRDefault="00291E20" w:rsidP="00942BFD">
      <w:pPr>
        <w:pStyle w:val="BCSParagraph"/>
      </w:pPr>
      <w:r>
        <w:t>Having established the level of Internet access, the survey sought to identify the extent to which practitioners were able to undertake online activities.  Overall, practitioners had broadly varying levels of access to online activities, though email was the activity which most practitioners were able to access either at home or at work.</w:t>
      </w:r>
    </w:p>
    <w:p w:rsidR="00291E20" w:rsidRDefault="00291E20" w:rsidP="00942BFD">
      <w:pPr>
        <w:pStyle w:val="BCSParagraph"/>
      </w:pPr>
    </w:p>
    <w:p w:rsidR="00291E20" w:rsidRDefault="00F9461D" w:rsidP="00942BFD">
      <w:pPr>
        <w:pStyle w:val="BCSParagraph"/>
      </w:pPr>
      <w:hyperlink w:anchor="_Table_15:_Practitioners’" w:history="1">
        <w:r w:rsidR="00291E20" w:rsidRPr="00CB3104">
          <w:rPr>
            <w:rStyle w:val="Hyperlink"/>
          </w:rPr>
          <w:t>Table 15</w:t>
        </w:r>
      </w:hyperlink>
      <w:r w:rsidR="00291E20">
        <w:t xml:space="preserve"> shows the range of online activities against which respondents graded their level of access/ ability and represents the entire practitioner cohort.  </w:t>
      </w:r>
    </w:p>
    <w:p w:rsidR="00942BFD" w:rsidRDefault="00942BFD" w:rsidP="00942BFD">
      <w:pPr>
        <w:pStyle w:val="BCSParagraph"/>
      </w:pPr>
    </w:p>
    <w:p w:rsidR="00291E20" w:rsidRDefault="00291E20" w:rsidP="00291E20">
      <w:pPr>
        <w:contextualSpacing/>
      </w:pPr>
    </w:p>
    <w:p w:rsidR="00291E20" w:rsidRDefault="00291E20" w:rsidP="00942BFD">
      <w:pPr>
        <w:pStyle w:val="BCSBulletparagraph"/>
      </w:pPr>
      <w:r>
        <w:t>Based upon all responses across categories, access both at home and at work was cited 26.34% of the time, whilst no access was cited 21.98% of the time.  14.03% of all responses could access cited online activities only at work, and 12.45% only at the main venues.  Overall, 10.66% of all responses fell within the category ‘most places at work’; whilst 10.84% of all responses indicated that the activities could be accessed ‘only at main venues’.  4.51% of all possible responses were not entered (no reply).</w:t>
      </w:r>
    </w:p>
    <w:p w:rsidR="00291E20" w:rsidRDefault="00291E20" w:rsidP="00942BFD">
      <w:pPr>
        <w:pStyle w:val="BCSBulletparagraph"/>
        <w:numPr>
          <w:ilvl w:val="0"/>
          <w:numId w:val="0"/>
        </w:numPr>
        <w:ind w:left="1077"/>
      </w:pPr>
    </w:p>
    <w:p w:rsidR="00291E20" w:rsidRDefault="00291E20" w:rsidP="00942BFD">
      <w:pPr>
        <w:pStyle w:val="BCSBulletparagraph"/>
      </w:pPr>
      <w:r>
        <w:t>When describing access to email, the majority of respondents indicated that they had ‘meaningful access’ (defined as both access at work and at home; 41.35%).  This was followed by 19.92% who had continuous access (defined as access at work; 19.92%), and 12.41% who had access to email at most locations at work.</w:t>
      </w:r>
    </w:p>
    <w:p w:rsidR="00291E20" w:rsidRDefault="00291E20" w:rsidP="00942BFD">
      <w:pPr>
        <w:pStyle w:val="BCSBulletparagraph"/>
        <w:numPr>
          <w:ilvl w:val="0"/>
          <w:numId w:val="0"/>
        </w:numPr>
        <w:ind w:left="1077"/>
      </w:pPr>
    </w:p>
    <w:p w:rsidR="00291E20" w:rsidRDefault="00291E20" w:rsidP="00942BFD">
      <w:pPr>
        <w:pStyle w:val="BCSBulletparagraph"/>
      </w:pPr>
      <w:r>
        <w:t>When describing access to their VLE, majority of respondents indicated that they were able to access this both at home and at work (35%), followed by 28.08% who had no access, whilst 10.38% of all respondents had access to their VLE at most locations at work.</w:t>
      </w:r>
    </w:p>
    <w:p w:rsidR="00291E20" w:rsidRDefault="00291E20" w:rsidP="00942BFD">
      <w:pPr>
        <w:pStyle w:val="BCSBulletparagraph"/>
        <w:numPr>
          <w:ilvl w:val="0"/>
          <w:numId w:val="0"/>
        </w:numPr>
        <w:ind w:left="1077"/>
      </w:pPr>
    </w:p>
    <w:p w:rsidR="00291E20" w:rsidRDefault="00291E20" w:rsidP="00942BFD">
      <w:pPr>
        <w:pStyle w:val="BCSBulletparagraph"/>
      </w:pPr>
      <w:r>
        <w:t>A proportion of respondents described that they had no access to upload course materials onto their VLE (30.23%), which was almost equal to those stating they had access both at home and at work (29.07%), with 12.40% indicating that they had continuous access at work.</w:t>
      </w:r>
    </w:p>
    <w:p w:rsidR="00291E20" w:rsidRDefault="00291E20" w:rsidP="00942BFD">
      <w:pPr>
        <w:pStyle w:val="BCSBulletparagraph"/>
        <w:numPr>
          <w:ilvl w:val="0"/>
          <w:numId w:val="0"/>
        </w:numPr>
        <w:ind w:left="1077"/>
      </w:pPr>
    </w:p>
    <w:p w:rsidR="00291E20" w:rsidRDefault="00291E20" w:rsidP="00942BFD">
      <w:pPr>
        <w:pStyle w:val="BCSBulletparagraph"/>
      </w:pPr>
      <w:r>
        <w:t>In terms of being able to download course materials from the VLE, 33.20% of practitioners indicated they were able to do this at work and at home with 27.80% having no access to this, indicating that slightly more people were able to download than upload content.  11.20% indicated that they could only do this at main venues.</w:t>
      </w:r>
    </w:p>
    <w:p w:rsidR="00291E20" w:rsidRDefault="00291E20" w:rsidP="00942BFD">
      <w:pPr>
        <w:pStyle w:val="BCSBulletparagraph"/>
      </w:pPr>
      <w:r>
        <w:t>When referring to e-assessment tools, 25.49% indicated they had no access to this, whilst 19.22% had access both at work and at home.  16.47% had access only at work and 12.94% could access this resource only at main venues.</w:t>
      </w:r>
    </w:p>
    <w:p w:rsidR="00291E20" w:rsidRDefault="00291E20" w:rsidP="00942BFD">
      <w:pPr>
        <w:pStyle w:val="BCSBulletparagraph"/>
        <w:numPr>
          <w:ilvl w:val="0"/>
          <w:numId w:val="0"/>
        </w:numPr>
        <w:ind w:left="1077"/>
      </w:pPr>
    </w:p>
    <w:p w:rsidR="00291E20" w:rsidRDefault="00291E20" w:rsidP="00942BFD">
      <w:pPr>
        <w:pStyle w:val="BCSBulletparagraph"/>
      </w:pPr>
      <w:r>
        <w:t>In terms of online Information Advice and Guidance (IAG), 31.82% had access both at home and at work, whilst 17.42% had access only at work.  Access at main venues only was experienced by 15.53%.</w:t>
      </w:r>
    </w:p>
    <w:p w:rsidR="00291E20" w:rsidRDefault="00291E20" w:rsidP="00942BFD">
      <w:pPr>
        <w:pStyle w:val="BCSBulletparagraph"/>
        <w:numPr>
          <w:ilvl w:val="0"/>
          <w:numId w:val="0"/>
        </w:numPr>
        <w:ind w:left="720"/>
      </w:pPr>
    </w:p>
    <w:p w:rsidR="00291E20" w:rsidRDefault="00291E20" w:rsidP="00942BFD">
      <w:pPr>
        <w:pStyle w:val="BCSBulletparagraph"/>
      </w:pPr>
      <w:r>
        <w:t>When describing their level of access to online library resources, 24.71% had access both at home and at work, whilst 23.94% had no access at all.  Overall, 14.29% had continuous access at work, whilst 13.90% had access to online library resources only at main venues.</w:t>
      </w:r>
    </w:p>
    <w:p w:rsidR="00291E20" w:rsidRDefault="00291E20" w:rsidP="00942BFD">
      <w:pPr>
        <w:pStyle w:val="BCSBulletparagraph"/>
        <w:numPr>
          <w:ilvl w:val="0"/>
          <w:numId w:val="0"/>
        </w:numPr>
        <w:ind w:left="1077"/>
      </w:pPr>
    </w:p>
    <w:p w:rsidR="00291E20" w:rsidRDefault="00291E20" w:rsidP="00942BFD">
      <w:pPr>
        <w:pStyle w:val="BCSBulletparagraph"/>
      </w:pPr>
      <w:r>
        <w:t xml:space="preserve">In terms of online testing, the greater proportion of respondents had no access to this online activity (28.46%), followed by those who had access only at main venues (17.69%).  </w:t>
      </w:r>
    </w:p>
    <w:p w:rsidR="00291E20" w:rsidRDefault="00291E20" w:rsidP="00942BFD">
      <w:pPr>
        <w:pStyle w:val="BCSBulletparagraph"/>
        <w:numPr>
          <w:ilvl w:val="0"/>
          <w:numId w:val="0"/>
        </w:numPr>
        <w:ind w:left="1077"/>
      </w:pPr>
    </w:p>
    <w:p w:rsidR="00291E20" w:rsidRDefault="00291E20" w:rsidP="00942BFD">
      <w:pPr>
        <w:pStyle w:val="BCSBulletparagraph"/>
      </w:pPr>
      <w:r>
        <w:t>When describing wireless networks, 32.44% had no access, whilst 19.47% had limited access and 15.27% had access both at work and at home.</w:t>
      </w:r>
    </w:p>
    <w:p w:rsidR="00291E20" w:rsidRDefault="00291E20" w:rsidP="00942BFD">
      <w:pPr>
        <w:pStyle w:val="BCSBulletparagraph"/>
        <w:numPr>
          <w:ilvl w:val="0"/>
          <w:numId w:val="0"/>
        </w:numPr>
        <w:ind w:left="1077"/>
      </w:pPr>
    </w:p>
    <w:p w:rsidR="00291E20" w:rsidRDefault="00291E20" w:rsidP="00942BFD">
      <w:pPr>
        <w:pStyle w:val="BCSBulletparagraph"/>
      </w:pPr>
      <w:r>
        <w:t>Finally, high speed Internet access was available to 31.82% both at home and at work, to 19.70% only at work, and 12.88% of practitioners had only limited access.</w:t>
      </w:r>
    </w:p>
    <w:p w:rsidR="00291E20" w:rsidRDefault="00291E20" w:rsidP="00942BFD">
      <w:pPr>
        <w:pStyle w:val="BCSBulletparagraph"/>
        <w:numPr>
          <w:ilvl w:val="0"/>
          <w:numId w:val="0"/>
        </w:numPr>
        <w:ind w:left="1077"/>
      </w:pPr>
    </w:p>
    <w:p w:rsidR="00291E20" w:rsidRDefault="00291E20" w:rsidP="00942BFD">
      <w:pPr>
        <w:pStyle w:val="BCSBulletparagraph"/>
      </w:pPr>
      <w:r>
        <w:t xml:space="preserve">The online activities to which most respondents indicated they had ‘no access’ were wireless networking (32.44%), uploading materials to the VLE (30.23%), online testing (28.46%), access to the VLE (28.08%), and downloading materials to the VLE (27.80%).  </w:t>
      </w:r>
    </w:p>
    <w:p w:rsidR="00291E20" w:rsidRDefault="00291E20" w:rsidP="00291E20">
      <w:pPr>
        <w:contextualSpacing/>
      </w:pPr>
    </w:p>
    <w:p w:rsidR="00291E20" w:rsidRDefault="00291E20" w:rsidP="00942BFD">
      <w:pPr>
        <w:pStyle w:val="BCSTableheadings"/>
      </w:pPr>
      <w:bookmarkStart w:id="85" w:name="_Table_14:_Practitioners’"/>
      <w:bookmarkStart w:id="86" w:name="_Table_15:_Practitioners’"/>
      <w:bookmarkStart w:id="87" w:name="_Toc256332152"/>
      <w:bookmarkEnd w:id="85"/>
      <w:bookmarkEnd w:id="86"/>
      <w:r w:rsidRPr="00395D9A">
        <w:t xml:space="preserve">Table </w:t>
      </w:r>
      <w:r>
        <w:t>15</w:t>
      </w:r>
      <w:r w:rsidRPr="00395D9A">
        <w:t xml:space="preserve">: </w:t>
      </w:r>
      <w:r>
        <w:t>Practitioners’ levels of access/ ability to undertake the online activities</w:t>
      </w:r>
      <w:bookmarkEnd w:id="87"/>
    </w:p>
    <w:tbl>
      <w:tblPr>
        <w:tblW w:w="10318" w:type="dxa"/>
        <w:tblInd w:w="-601"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4A0"/>
      </w:tblPr>
      <w:tblGrid>
        <w:gridCol w:w="1604"/>
        <w:gridCol w:w="1391"/>
        <w:gridCol w:w="1431"/>
        <w:gridCol w:w="1843"/>
        <w:gridCol w:w="1158"/>
        <w:gridCol w:w="1276"/>
        <w:gridCol w:w="1030"/>
        <w:gridCol w:w="1104"/>
      </w:tblGrid>
      <w:tr w:rsidR="00291E20" w:rsidRPr="000C6712" w:rsidTr="00291E20">
        <w:trPr>
          <w:trHeight w:val="300"/>
        </w:trPr>
        <w:tc>
          <w:tcPr>
            <w:tcW w:w="1548" w:type="dxa"/>
            <w:shd w:val="clear" w:color="auto" w:fill="76923C"/>
            <w:hideMark/>
          </w:tcPr>
          <w:p w:rsidR="00291E20" w:rsidRPr="000C6712" w:rsidRDefault="00291E20" w:rsidP="00942BFD">
            <w:pPr>
              <w:pStyle w:val="BCSTabletext"/>
            </w:pPr>
            <w:r w:rsidRPr="000C6712">
              <w:t>Technology Type</w:t>
            </w:r>
          </w:p>
        </w:tc>
        <w:tc>
          <w:tcPr>
            <w:tcW w:w="1264" w:type="dxa"/>
            <w:shd w:val="clear" w:color="auto" w:fill="76923C"/>
            <w:noWrap/>
            <w:vAlign w:val="bottom"/>
            <w:hideMark/>
          </w:tcPr>
          <w:p w:rsidR="00291E20" w:rsidRPr="000C6712" w:rsidRDefault="00291E20" w:rsidP="00942BFD">
            <w:pPr>
              <w:pStyle w:val="BCSTabletext"/>
            </w:pPr>
            <w:r w:rsidRPr="000C6712">
              <w:t>Meaningful access</w:t>
            </w:r>
          </w:p>
        </w:tc>
        <w:tc>
          <w:tcPr>
            <w:tcW w:w="1275" w:type="dxa"/>
            <w:shd w:val="clear" w:color="auto" w:fill="76923C"/>
            <w:noWrap/>
            <w:vAlign w:val="bottom"/>
            <w:hideMark/>
          </w:tcPr>
          <w:p w:rsidR="00291E20" w:rsidRPr="000C6712" w:rsidRDefault="00291E20" w:rsidP="00942BFD">
            <w:pPr>
              <w:pStyle w:val="BCSTabletext"/>
            </w:pPr>
            <w:r w:rsidRPr="000C6712">
              <w:t>Continuous at work</w:t>
            </w:r>
          </w:p>
        </w:tc>
        <w:tc>
          <w:tcPr>
            <w:tcW w:w="1843" w:type="dxa"/>
            <w:shd w:val="clear" w:color="auto" w:fill="76923C"/>
            <w:noWrap/>
            <w:vAlign w:val="bottom"/>
            <w:hideMark/>
          </w:tcPr>
          <w:p w:rsidR="00291E20" w:rsidRPr="000C6712" w:rsidRDefault="00291E20" w:rsidP="00942BFD">
            <w:pPr>
              <w:pStyle w:val="BCSTabletext"/>
            </w:pPr>
            <w:r>
              <w:t>Most locations</w:t>
            </w:r>
            <w:r w:rsidRPr="000C6712">
              <w:t xml:space="preserve"> at work</w:t>
            </w:r>
          </w:p>
        </w:tc>
        <w:tc>
          <w:tcPr>
            <w:tcW w:w="1158" w:type="dxa"/>
            <w:shd w:val="clear" w:color="auto" w:fill="76923C"/>
            <w:noWrap/>
            <w:vAlign w:val="bottom"/>
            <w:hideMark/>
          </w:tcPr>
          <w:p w:rsidR="00291E20" w:rsidRPr="000C6712" w:rsidRDefault="00291E20" w:rsidP="00942BFD">
            <w:pPr>
              <w:pStyle w:val="BCSTabletext"/>
            </w:pPr>
            <w:r w:rsidRPr="000C6712">
              <w:t>Main venues</w:t>
            </w:r>
          </w:p>
        </w:tc>
        <w:tc>
          <w:tcPr>
            <w:tcW w:w="1276" w:type="dxa"/>
            <w:shd w:val="clear" w:color="auto" w:fill="76923C"/>
            <w:noWrap/>
            <w:vAlign w:val="bottom"/>
            <w:hideMark/>
          </w:tcPr>
          <w:p w:rsidR="00291E20" w:rsidRPr="000C6712" w:rsidRDefault="00291E20" w:rsidP="00942BFD">
            <w:pPr>
              <w:pStyle w:val="BCSTabletext"/>
            </w:pPr>
            <w:r w:rsidRPr="000C6712">
              <w:t>Limited access</w:t>
            </w:r>
          </w:p>
        </w:tc>
        <w:tc>
          <w:tcPr>
            <w:tcW w:w="850" w:type="dxa"/>
            <w:shd w:val="clear" w:color="auto" w:fill="76923C"/>
            <w:noWrap/>
            <w:vAlign w:val="bottom"/>
            <w:hideMark/>
          </w:tcPr>
          <w:p w:rsidR="00291E20" w:rsidRPr="000C6712" w:rsidRDefault="00291E20" w:rsidP="00942BFD">
            <w:pPr>
              <w:pStyle w:val="BCSTabletext"/>
            </w:pPr>
            <w:r w:rsidRPr="000C6712">
              <w:t>No access</w:t>
            </w:r>
          </w:p>
        </w:tc>
        <w:tc>
          <w:tcPr>
            <w:tcW w:w="1104" w:type="dxa"/>
            <w:shd w:val="clear" w:color="auto" w:fill="76923C"/>
            <w:noWrap/>
            <w:vAlign w:val="bottom"/>
            <w:hideMark/>
          </w:tcPr>
          <w:p w:rsidR="00291E20" w:rsidRPr="000C6712" w:rsidRDefault="00291E20" w:rsidP="00942BFD">
            <w:pPr>
              <w:pStyle w:val="BCSTabletext"/>
            </w:pPr>
            <w:r w:rsidRPr="000C6712">
              <w:t>No reply</w:t>
            </w:r>
          </w:p>
        </w:tc>
      </w:tr>
      <w:tr w:rsidR="00291E20" w:rsidRPr="000C6712" w:rsidTr="00291E20">
        <w:trPr>
          <w:trHeight w:val="300"/>
        </w:trPr>
        <w:tc>
          <w:tcPr>
            <w:tcW w:w="1548" w:type="dxa"/>
            <w:tcBorders>
              <w:bottom w:val="single" w:sz="4" w:space="0" w:color="4F6228"/>
            </w:tcBorders>
            <w:shd w:val="clear" w:color="auto" w:fill="auto"/>
            <w:hideMark/>
          </w:tcPr>
          <w:p w:rsidR="00291E20" w:rsidRPr="000C6712" w:rsidRDefault="00291E20" w:rsidP="00942BFD">
            <w:pPr>
              <w:pStyle w:val="BCSTabletext"/>
            </w:pPr>
            <w:r w:rsidRPr="000C6712">
              <w:t>Emails</w:t>
            </w:r>
          </w:p>
        </w:tc>
        <w:tc>
          <w:tcPr>
            <w:tcW w:w="1264" w:type="dxa"/>
            <w:tcBorders>
              <w:bottom w:val="single" w:sz="4" w:space="0" w:color="4F6228"/>
            </w:tcBorders>
            <w:shd w:val="clear" w:color="auto" w:fill="auto"/>
            <w:noWrap/>
            <w:hideMark/>
          </w:tcPr>
          <w:p w:rsidR="00291E20" w:rsidRPr="000C6712" w:rsidRDefault="00291E20" w:rsidP="00942BFD">
            <w:pPr>
              <w:pStyle w:val="BCSTabletext"/>
            </w:pPr>
            <w:r w:rsidRPr="000C6712">
              <w:t>41.35%</w:t>
            </w:r>
          </w:p>
        </w:tc>
        <w:tc>
          <w:tcPr>
            <w:tcW w:w="1275" w:type="dxa"/>
            <w:tcBorders>
              <w:bottom w:val="single" w:sz="4" w:space="0" w:color="4F6228"/>
            </w:tcBorders>
            <w:shd w:val="clear" w:color="auto" w:fill="auto"/>
            <w:noWrap/>
            <w:hideMark/>
          </w:tcPr>
          <w:p w:rsidR="00291E20" w:rsidRPr="000C6712" w:rsidRDefault="00291E20" w:rsidP="00942BFD">
            <w:pPr>
              <w:pStyle w:val="BCSTabletext"/>
            </w:pPr>
            <w:r w:rsidRPr="000C6712">
              <w:t>19.92%</w:t>
            </w:r>
          </w:p>
        </w:tc>
        <w:tc>
          <w:tcPr>
            <w:tcW w:w="1843" w:type="dxa"/>
            <w:tcBorders>
              <w:bottom w:val="single" w:sz="4" w:space="0" w:color="4F6228"/>
            </w:tcBorders>
            <w:shd w:val="clear" w:color="auto" w:fill="auto"/>
            <w:noWrap/>
            <w:hideMark/>
          </w:tcPr>
          <w:p w:rsidR="00291E20" w:rsidRPr="000C6712" w:rsidRDefault="00291E20" w:rsidP="00942BFD">
            <w:pPr>
              <w:pStyle w:val="BCSTabletext"/>
            </w:pPr>
            <w:r w:rsidRPr="000C6712">
              <w:t>12.41%</w:t>
            </w:r>
          </w:p>
        </w:tc>
        <w:tc>
          <w:tcPr>
            <w:tcW w:w="1158" w:type="dxa"/>
            <w:tcBorders>
              <w:bottom w:val="single" w:sz="4" w:space="0" w:color="4F6228"/>
            </w:tcBorders>
            <w:shd w:val="clear" w:color="auto" w:fill="auto"/>
            <w:noWrap/>
            <w:hideMark/>
          </w:tcPr>
          <w:p w:rsidR="00291E20" w:rsidRPr="000C6712" w:rsidRDefault="00291E20" w:rsidP="00942BFD">
            <w:pPr>
              <w:pStyle w:val="BCSTabletext"/>
            </w:pPr>
            <w:r w:rsidRPr="000C6712">
              <w:t>11.65%</w:t>
            </w:r>
          </w:p>
        </w:tc>
        <w:tc>
          <w:tcPr>
            <w:tcW w:w="1276" w:type="dxa"/>
            <w:tcBorders>
              <w:bottom w:val="single" w:sz="4" w:space="0" w:color="4F6228"/>
            </w:tcBorders>
            <w:shd w:val="clear" w:color="auto" w:fill="auto"/>
            <w:noWrap/>
            <w:hideMark/>
          </w:tcPr>
          <w:p w:rsidR="00291E20" w:rsidRPr="000C6712" w:rsidRDefault="00291E20" w:rsidP="00942BFD">
            <w:pPr>
              <w:pStyle w:val="BCSTabletext"/>
            </w:pPr>
            <w:r w:rsidRPr="000C6712">
              <w:t>4.89%</w:t>
            </w:r>
          </w:p>
        </w:tc>
        <w:tc>
          <w:tcPr>
            <w:tcW w:w="850" w:type="dxa"/>
            <w:tcBorders>
              <w:bottom w:val="single" w:sz="4" w:space="0" w:color="4F6228"/>
            </w:tcBorders>
            <w:shd w:val="clear" w:color="auto" w:fill="auto"/>
            <w:noWrap/>
            <w:hideMark/>
          </w:tcPr>
          <w:p w:rsidR="00291E20" w:rsidRPr="000C6712" w:rsidRDefault="00291E20" w:rsidP="00942BFD">
            <w:pPr>
              <w:pStyle w:val="BCSTabletext"/>
            </w:pPr>
            <w:r w:rsidRPr="000C6712">
              <w:t>9.77%</w:t>
            </w:r>
          </w:p>
        </w:tc>
        <w:tc>
          <w:tcPr>
            <w:tcW w:w="1104" w:type="dxa"/>
            <w:tcBorders>
              <w:bottom w:val="single" w:sz="4" w:space="0" w:color="4F6228"/>
            </w:tcBorders>
            <w:shd w:val="clear" w:color="auto" w:fill="auto"/>
            <w:noWrap/>
            <w:vAlign w:val="bottom"/>
            <w:hideMark/>
          </w:tcPr>
          <w:p w:rsidR="00291E20" w:rsidRPr="000C6712" w:rsidRDefault="00291E20" w:rsidP="00942BFD">
            <w:pPr>
              <w:pStyle w:val="BCSTabletext"/>
            </w:pPr>
            <w:r w:rsidRPr="000C6712">
              <w:t>2.56%</w:t>
            </w:r>
          </w:p>
        </w:tc>
      </w:tr>
      <w:tr w:rsidR="00291E20" w:rsidRPr="000C6712" w:rsidTr="00291E20">
        <w:trPr>
          <w:trHeight w:val="300"/>
        </w:trPr>
        <w:tc>
          <w:tcPr>
            <w:tcW w:w="1548" w:type="dxa"/>
            <w:shd w:val="clear" w:color="auto" w:fill="C2D69B"/>
            <w:hideMark/>
          </w:tcPr>
          <w:p w:rsidR="00291E20" w:rsidRPr="000C6712" w:rsidRDefault="00291E20" w:rsidP="00942BFD">
            <w:pPr>
              <w:pStyle w:val="BCSTabletext"/>
            </w:pPr>
            <w:r w:rsidRPr="000C6712">
              <w:t>VLE</w:t>
            </w:r>
          </w:p>
        </w:tc>
        <w:tc>
          <w:tcPr>
            <w:tcW w:w="1264" w:type="dxa"/>
            <w:shd w:val="clear" w:color="auto" w:fill="C2D69B"/>
            <w:noWrap/>
            <w:hideMark/>
          </w:tcPr>
          <w:p w:rsidR="00291E20" w:rsidRPr="000C6712" w:rsidRDefault="00291E20" w:rsidP="00942BFD">
            <w:pPr>
              <w:pStyle w:val="BCSTabletext"/>
            </w:pPr>
            <w:r w:rsidRPr="000C6712">
              <w:t>35.00%</w:t>
            </w:r>
          </w:p>
        </w:tc>
        <w:tc>
          <w:tcPr>
            <w:tcW w:w="1275" w:type="dxa"/>
            <w:shd w:val="clear" w:color="auto" w:fill="C2D69B"/>
            <w:noWrap/>
            <w:hideMark/>
          </w:tcPr>
          <w:p w:rsidR="00291E20" w:rsidRPr="000C6712" w:rsidRDefault="00291E20" w:rsidP="00942BFD">
            <w:pPr>
              <w:pStyle w:val="BCSTabletext"/>
            </w:pPr>
            <w:r w:rsidRPr="000C6712">
              <w:t>9.62%</w:t>
            </w:r>
          </w:p>
        </w:tc>
        <w:tc>
          <w:tcPr>
            <w:tcW w:w="1843" w:type="dxa"/>
            <w:shd w:val="clear" w:color="auto" w:fill="C2D69B"/>
            <w:noWrap/>
            <w:hideMark/>
          </w:tcPr>
          <w:p w:rsidR="00291E20" w:rsidRPr="000C6712" w:rsidRDefault="00291E20" w:rsidP="00942BFD">
            <w:pPr>
              <w:pStyle w:val="BCSTabletext"/>
            </w:pPr>
            <w:r w:rsidRPr="000C6712">
              <w:t>10.38%</w:t>
            </w:r>
          </w:p>
        </w:tc>
        <w:tc>
          <w:tcPr>
            <w:tcW w:w="1158" w:type="dxa"/>
            <w:shd w:val="clear" w:color="auto" w:fill="C2D69B"/>
            <w:noWrap/>
            <w:hideMark/>
          </w:tcPr>
          <w:p w:rsidR="00291E20" w:rsidRPr="000C6712" w:rsidRDefault="00291E20" w:rsidP="00942BFD">
            <w:pPr>
              <w:pStyle w:val="BCSTabletext"/>
            </w:pPr>
            <w:r w:rsidRPr="000C6712">
              <w:t>9.62%</w:t>
            </w:r>
          </w:p>
        </w:tc>
        <w:tc>
          <w:tcPr>
            <w:tcW w:w="1276" w:type="dxa"/>
            <w:shd w:val="clear" w:color="auto" w:fill="C2D69B"/>
            <w:noWrap/>
            <w:hideMark/>
          </w:tcPr>
          <w:p w:rsidR="00291E20" w:rsidRPr="000C6712" w:rsidRDefault="00291E20" w:rsidP="00942BFD">
            <w:pPr>
              <w:pStyle w:val="BCSTabletext"/>
            </w:pPr>
            <w:r w:rsidRPr="000C6712">
              <w:t>7.31%</w:t>
            </w:r>
          </w:p>
        </w:tc>
        <w:tc>
          <w:tcPr>
            <w:tcW w:w="850" w:type="dxa"/>
            <w:shd w:val="clear" w:color="auto" w:fill="C2D69B"/>
            <w:noWrap/>
            <w:hideMark/>
          </w:tcPr>
          <w:p w:rsidR="00291E20" w:rsidRPr="000C6712" w:rsidRDefault="00291E20" w:rsidP="00942BFD">
            <w:pPr>
              <w:pStyle w:val="BCSTabletext"/>
            </w:pPr>
            <w:r w:rsidRPr="000C6712">
              <w:t>28.08%</w:t>
            </w:r>
          </w:p>
        </w:tc>
        <w:tc>
          <w:tcPr>
            <w:tcW w:w="1104" w:type="dxa"/>
            <w:shd w:val="clear" w:color="auto" w:fill="C2D69B"/>
            <w:noWrap/>
            <w:vAlign w:val="bottom"/>
            <w:hideMark/>
          </w:tcPr>
          <w:p w:rsidR="00291E20" w:rsidRPr="000C6712" w:rsidRDefault="00291E20" w:rsidP="00942BFD">
            <w:pPr>
              <w:pStyle w:val="BCSTabletext"/>
            </w:pPr>
            <w:r w:rsidRPr="000C6712">
              <w:t>4.76%</w:t>
            </w:r>
          </w:p>
        </w:tc>
      </w:tr>
      <w:tr w:rsidR="00291E20" w:rsidRPr="000C6712" w:rsidTr="00291E20">
        <w:trPr>
          <w:trHeight w:val="300"/>
        </w:trPr>
        <w:tc>
          <w:tcPr>
            <w:tcW w:w="1548" w:type="dxa"/>
            <w:tcBorders>
              <w:bottom w:val="single" w:sz="4" w:space="0" w:color="4F6228"/>
            </w:tcBorders>
            <w:shd w:val="clear" w:color="auto" w:fill="auto"/>
            <w:hideMark/>
          </w:tcPr>
          <w:p w:rsidR="00291E20" w:rsidRPr="000C6712" w:rsidRDefault="00291E20" w:rsidP="00942BFD">
            <w:pPr>
              <w:pStyle w:val="BCSTabletext"/>
            </w:pPr>
            <w:r w:rsidRPr="000C6712">
              <w:t>Uploading materials</w:t>
            </w:r>
          </w:p>
        </w:tc>
        <w:tc>
          <w:tcPr>
            <w:tcW w:w="1264" w:type="dxa"/>
            <w:tcBorders>
              <w:bottom w:val="single" w:sz="4" w:space="0" w:color="4F6228"/>
            </w:tcBorders>
            <w:shd w:val="clear" w:color="auto" w:fill="auto"/>
            <w:noWrap/>
            <w:hideMark/>
          </w:tcPr>
          <w:p w:rsidR="00291E20" w:rsidRPr="000C6712" w:rsidRDefault="00291E20" w:rsidP="00942BFD">
            <w:pPr>
              <w:pStyle w:val="BCSTabletext"/>
            </w:pPr>
            <w:r w:rsidRPr="000C6712">
              <w:t>29.07%</w:t>
            </w:r>
          </w:p>
        </w:tc>
        <w:tc>
          <w:tcPr>
            <w:tcW w:w="1275" w:type="dxa"/>
            <w:tcBorders>
              <w:bottom w:val="single" w:sz="4" w:space="0" w:color="4F6228"/>
            </w:tcBorders>
            <w:shd w:val="clear" w:color="auto" w:fill="auto"/>
            <w:noWrap/>
            <w:hideMark/>
          </w:tcPr>
          <w:p w:rsidR="00291E20" w:rsidRPr="000C6712" w:rsidRDefault="00291E20" w:rsidP="00942BFD">
            <w:pPr>
              <w:pStyle w:val="BCSTabletext"/>
            </w:pPr>
            <w:r w:rsidRPr="000C6712">
              <w:t>12.40%</w:t>
            </w:r>
          </w:p>
        </w:tc>
        <w:tc>
          <w:tcPr>
            <w:tcW w:w="1843" w:type="dxa"/>
            <w:tcBorders>
              <w:bottom w:val="single" w:sz="4" w:space="0" w:color="4F6228"/>
            </w:tcBorders>
            <w:shd w:val="clear" w:color="auto" w:fill="auto"/>
            <w:noWrap/>
            <w:hideMark/>
          </w:tcPr>
          <w:p w:rsidR="00291E20" w:rsidRPr="000C6712" w:rsidRDefault="00291E20" w:rsidP="00942BFD">
            <w:pPr>
              <w:pStyle w:val="BCSTabletext"/>
            </w:pPr>
            <w:r w:rsidRPr="000C6712">
              <w:t>9.30%</w:t>
            </w:r>
          </w:p>
        </w:tc>
        <w:tc>
          <w:tcPr>
            <w:tcW w:w="1158" w:type="dxa"/>
            <w:tcBorders>
              <w:bottom w:val="single" w:sz="4" w:space="0" w:color="4F6228"/>
            </w:tcBorders>
            <w:shd w:val="clear" w:color="auto" w:fill="auto"/>
            <w:noWrap/>
            <w:hideMark/>
          </w:tcPr>
          <w:p w:rsidR="00291E20" w:rsidRPr="000C6712" w:rsidRDefault="00291E20" w:rsidP="00942BFD">
            <w:pPr>
              <w:pStyle w:val="BCSTabletext"/>
            </w:pPr>
            <w:r w:rsidRPr="000C6712">
              <w:t>10.47%</w:t>
            </w:r>
          </w:p>
        </w:tc>
        <w:tc>
          <w:tcPr>
            <w:tcW w:w="1276" w:type="dxa"/>
            <w:tcBorders>
              <w:bottom w:val="single" w:sz="4" w:space="0" w:color="4F6228"/>
            </w:tcBorders>
            <w:shd w:val="clear" w:color="auto" w:fill="auto"/>
            <w:noWrap/>
            <w:hideMark/>
          </w:tcPr>
          <w:p w:rsidR="00291E20" w:rsidRPr="000C6712" w:rsidRDefault="00291E20" w:rsidP="00942BFD">
            <w:pPr>
              <w:pStyle w:val="BCSTabletext"/>
            </w:pPr>
            <w:r w:rsidRPr="000C6712">
              <w:t>8.53%</w:t>
            </w:r>
          </w:p>
        </w:tc>
        <w:tc>
          <w:tcPr>
            <w:tcW w:w="850" w:type="dxa"/>
            <w:tcBorders>
              <w:bottom w:val="single" w:sz="4" w:space="0" w:color="4F6228"/>
            </w:tcBorders>
            <w:shd w:val="clear" w:color="auto" w:fill="auto"/>
            <w:noWrap/>
            <w:hideMark/>
          </w:tcPr>
          <w:p w:rsidR="00291E20" w:rsidRPr="000C6712" w:rsidRDefault="00291E20" w:rsidP="00942BFD">
            <w:pPr>
              <w:pStyle w:val="BCSTabletext"/>
            </w:pPr>
            <w:r w:rsidRPr="000C6712">
              <w:t>30.23%</w:t>
            </w:r>
          </w:p>
        </w:tc>
        <w:tc>
          <w:tcPr>
            <w:tcW w:w="1104" w:type="dxa"/>
            <w:tcBorders>
              <w:bottom w:val="single" w:sz="4" w:space="0" w:color="4F6228"/>
            </w:tcBorders>
            <w:shd w:val="clear" w:color="auto" w:fill="auto"/>
            <w:noWrap/>
            <w:vAlign w:val="bottom"/>
            <w:hideMark/>
          </w:tcPr>
          <w:p w:rsidR="00291E20" w:rsidRPr="000C6712" w:rsidRDefault="00291E20" w:rsidP="00942BFD">
            <w:pPr>
              <w:pStyle w:val="BCSTabletext"/>
            </w:pPr>
            <w:r w:rsidRPr="000C6712">
              <w:t>5.49%</w:t>
            </w:r>
          </w:p>
        </w:tc>
      </w:tr>
      <w:tr w:rsidR="00291E20" w:rsidRPr="000C6712" w:rsidTr="00291E20">
        <w:trPr>
          <w:trHeight w:val="300"/>
        </w:trPr>
        <w:tc>
          <w:tcPr>
            <w:tcW w:w="1548" w:type="dxa"/>
            <w:shd w:val="clear" w:color="auto" w:fill="C2D69B"/>
            <w:hideMark/>
          </w:tcPr>
          <w:p w:rsidR="00291E20" w:rsidRPr="000C6712" w:rsidRDefault="00291E20" w:rsidP="00942BFD">
            <w:pPr>
              <w:pStyle w:val="BCSTabletext"/>
            </w:pPr>
            <w:r w:rsidRPr="000C6712">
              <w:t>Downloading materials</w:t>
            </w:r>
          </w:p>
        </w:tc>
        <w:tc>
          <w:tcPr>
            <w:tcW w:w="1264" w:type="dxa"/>
            <w:shd w:val="clear" w:color="auto" w:fill="C2D69B"/>
            <w:noWrap/>
            <w:hideMark/>
          </w:tcPr>
          <w:p w:rsidR="00291E20" w:rsidRPr="000C6712" w:rsidRDefault="00291E20" w:rsidP="00942BFD">
            <w:pPr>
              <w:pStyle w:val="BCSTabletext"/>
            </w:pPr>
            <w:r w:rsidRPr="000C6712">
              <w:t>33.20%</w:t>
            </w:r>
          </w:p>
        </w:tc>
        <w:tc>
          <w:tcPr>
            <w:tcW w:w="1275" w:type="dxa"/>
            <w:shd w:val="clear" w:color="auto" w:fill="C2D69B"/>
            <w:noWrap/>
            <w:hideMark/>
          </w:tcPr>
          <w:p w:rsidR="00291E20" w:rsidRPr="000C6712" w:rsidRDefault="00291E20" w:rsidP="00942BFD">
            <w:pPr>
              <w:pStyle w:val="BCSTabletext"/>
            </w:pPr>
            <w:r w:rsidRPr="000C6712">
              <w:t>9.65%</w:t>
            </w:r>
          </w:p>
        </w:tc>
        <w:tc>
          <w:tcPr>
            <w:tcW w:w="1843" w:type="dxa"/>
            <w:shd w:val="clear" w:color="auto" w:fill="C2D69B"/>
            <w:noWrap/>
            <w:hideMark/>
          </w:tcPr>
          <w:p w:rsidR="00291E20" w:rsidRPr="000C6712" w:rsidRDefault="00291E20" w:rsidP="00942BFD">
            <w:pPr>
              <w:pStyle w:val="BCSTabletext"/>
            </w:pPr>
            <w:r w:rsidRPr="000C6712">
              <w:t>10.81%</w:t>
            </w:r>
          </w:p>
        </w:tc>
        <w:tc>
          <w:tcPr>
            <w:tcW w:w="1158" w:type="dxa"/>
            <w:shd w:val="clear" w:color="auto" w:fill="C2D69B"/>
            <w:noWrap/>
            <w:hideMark/>
          </w:tcPr>
          <w:p w:rsidR="00291E20" w:rsidRPr="000C6712" w:rsidRDefault="00291E20" w:rsidP="00942BFD">
            <w:pPr>
              <w:pStyle w:val="BCSTabletext"/>
            </w:pPr>
            <w:r w:rsidRPr="000C6712">
              <w:t>11.20%</w:t>
            </w:r>
          </w:p>
        </w:tc>
        <w:tc>
          <w:tcPr>
            <w:tcW w:w="1276" w:type="dxa"/>
            <w:shd w:val="clear" w:color="auto" w:fill="C2D69B"/>
            <w:noWrap/>
            <w:hideMark/>
          </w:tcPr>
          <w:p w:rsidR="00291E20" w:rsidRPr="000C6712" w:rsidRDefault="00291E20" w:rsidP="00942BFD">
            <w:pPr>
              <w:pStyle w:val="BCSTabletext"/>
            </w:pPr>
            <w:r w:rsidRPr="000C6712">
              <w:t>7.34%</w:t>
            </w:r>
          </w:p>
        </w:tc>
        <w:tc>
          <w:tcPr>
            <w:tcW w:w="850" w:type="dxa"/>
            <w:shd w:val="clear" w:color="auto" w:fill="C2D69B"/>
            <w:noWrap/>
            <w:hideMark/>
          </w:tcPr>
          <w:p w:rsidR="00291E20" w:rsidRPr="000C6712" w:rsidRDefault="00291E20" w:rsidP="00942BFD">
            <w:pPr>
              <w:pStyle w:val="BCSTabletext"/>
            </w:pPr>
            <w:r w:rsidRPr="000C6712">
              <w:t>27.80%</w:t>
            </w:r>
          </w:p>
        </w:tc>
        <w:tc>
          <w:tcPr>
            <w:tcW w:w="1104" w:type="dxa"/>
            <w:shd w:val="clear" w:color="auto" w:fill="C2D69B"/>
            <w:noWrap/>
            <w:vAlign w:val="bottom"/>
            <w:hideMark/>
          </w:tcPr>
          <w:p w:rsidR="00291E20" w:rsidRPr="000C6712" w:rsidRDefault="00291E20" w:rsidP="00942BFD">
            <w:pPr>
              <w:pStyle w:val="BCSTabletext"/>
            </w:pPr>
            <w:r w:rsidRPr="000C6712">
              <w:t>5.13%</w:t>
            </w:r>
          </w:p>
        </w:tc>
      </w:tr>
      <w:tr w:rsidR="00291E20" w:rsidRPr="000C6712" w:rsidTr="00291E20">
        <w:trPr>
          <w:trHeight w:val="300"/>
        </w:trPr>
        <w:tc>
          <w:tcPr>
            <w:tcW w:w="1548" w:type="dxa"/>
            <w:tcBorders>
              <w:bottom w:val="single" w:sz="4" w:space="0" w:color="4F6228"/>
            </w:tcBorders>
            <w:shd w:val="clear" w:color="auto" w:fill="auto"/>
            <w:hideMark/>
          </w:tcPr>
          <w:p w:rsidR="00291E20" w:rsidRPr="000C6712" w:rsidRDefault="00291E20" w:rsidP="00942BFD">
            <w:pPr>
              <w:pStyle w:val="BCSTabletext"/>
            </w:pPr>
            <w:r w:rsidRPr="000C6712">
              <w:t>E-assessment tools</w:t>
            </w:r>
          </w:p>
        </w:tc>
        <w:tc>
          <w:tcPr>
            <w:tcW w:w="1264" w:type="dxa"/>
            <w:tcBorders>
              <w:bottom w:val="single" w:sz="4" w:space="0" w:color="4F6228"/>
            </w:tcBorders>
            <w:shd w:val="clear" w:color="auto" w:fill="auto"/>
            <w:noWrap/>
            <w:hideMark/>
          </w:tcPr>
          <w:p w:rsidR="00291E20" w:rsidRPr="000C6712" w:rsidRDefault="00291E20" w:rsidP="00942BFD">
            <w:pPr>
              <w:pStyle w:val="BCSTabletext"/>
            </w:pPr>
            <w:r w:rsidRPr="000C6712">
              <w:t>19.22%</w:t>
            </w:r>
          </w:p>
        </w:tc>
        <w:tc>
          <w:tcPr>
            <w:tcW w:w="1275" w:type="dxa"/>
            <w:tcBorders>
              <w:bottom w:val="single" w:sz="4" w:space="0" w:color="4F6228"/>
            </w:tcBorders>
            <w:shd w:val="clear" w:color="auto" w:fill="auto"/>
            <w:noWrap/>
            <w:hideMark/>
          </w:tcPr>
          <w:p w:rsidR="00291E20" w:rsidRPr="000C6712" w:rsidRDefault="00291E20" w:rsidP="00942BFD">
            <w:pPr>
              <w:pStyle w:val="BCSTabletext"/>
            </w:pPr>
            <w:r w:rsidRPr="000C6712">
              <w:t>16.47%</w:t>
            </w:r>
          </w:p>
        </w:tc>
        <w:tc>
          <w:tcPr>
            <w:tcW w:w="1843" w:type="dxa"/>
            <w:tcBorders>
              <w:bottom w:val="single" w:sz="4" w:space="0" w:color="4F6228"/>
            </w:tcBorders>
            <w:shd w:val="clear" w:color="auto" w:fill="auto"/>
            <w:noWrap/>
            <w:hideMark/>
          </w:tcPr>
          <w:p w:rsidR="00291E20" w:rsidRPr="000C6712" w:rsidRDefault="00291E20" w:rsidP="00942BFD">
            <w:pPr>
              <w:pStyle w:val="BCSTabletext"/>
            </w:pPr>
            <w:r w:rsidRPr="000C6712">
              <w:t>11.76%</w:t>
            </w:r>
          </w:p>
        </w:tc>
        <w:tc>
          <w:tcPr>
            <w:tcW w:w="1158" w:type="dxa"/>
            <w:tcBorders>
              <w:bottom w:val="single" w:sz="4" w:space="0" w:color="4F6228"/>
            </w:tcBorders>
            <w:shd w:val="clear" w:color="auto" w:fill="auto"/>
            <w:noWrap/>
            <w:hideMark/>
          </w:tcPr>
          <w:p w:rsidR="00291E20" w:rsidRPr="000C6712" w:rsidRDefault="00291E20" w:rsidP="00942BFD">
            <w:pPr>
              <w:pStyle w:val="BCSTabletext"/>
            </w:pPr>
            <w:r w:rsidRPr="000C6712">
              <w:t>12.94%</w:t>
            </w:r>
          </w:p>
        </w:tc>
        <w:tc>
          <w:tcPr>
            <w:tcW w:w="1276" w:type="dxa"/>
            <w:tcBorders>
              <w:bottom w:val="single" w:sz="4" w:space="0" w:color="4F6228"/>
            </w:tcBorders>
            <w:shd w:val="clear" w:color="auto" w:fill="auto"/>
            <w:noWrap/>
            <w:hideMark/>
          </w:tcPr>
          <w:p w:rsidR="00291E20" w:rsidRPr="000C6712" w:rsidRDefault="00291E20" w:rsidP="00942BFD">
            <w:pPr>
              <w:pStyle w:val="BCSTabletext"/>
            </w:pPr>
            <w:r w:rsidRPr="000C6712">
              <w:t>14.12%</w:t>
            </w:r>
          </w:p>
        </w:tc>
        <w:tc>
          <w:tcPr>
            <w:tcW w:w="850" w:type="dxa"/>
            <w:tcBorders>
              <w:bottom w:val="single" w:sz="4" w:space="0" w:color="4F6228"/>
            </w:tcBorders>
            <w:shd w:val="clear" w:color="auto" w:fill="auto"/>
            <w:noWrap/>
            <w:hideMark/>
          </w:tcPr>
          <w:p w:rsidR="00291E20" w:rsidRPr="000C6712" w:rsidRDefault="00291E20" w:rsidP="00942BFD">
            <w:pPr>
              <w:pStyle w:val="BCSTabletext"/>
            </w:pPr>
            <w:r w:rsidRPr="000C6712">
              <w:t>25.49%</w:t>
            </w:r>
          </w:p>
        </w:tc>
        <w:tc>
          <w:tcPr>
            <w:tcW w:w="1104" w:type="dxa"/>
            <w:tcBorders>
              <w:bottom w:val="single" w:sz="4" w:space="0" w:color="4F6228"/>
            </w:tcBorders>
            <w:shd w:val="clear" w:color="auto" w:fill="auto"/>
            <w:noWrap/>
            <w:vAlign w:val="bottom"/>
            <w:hideMark/>
          </w:tcPr>
          <w:p w:rsidR="00291E20" w:rsidRPr="000C6712" w:rsidRDefault="00291E20" w:rsidP="00942BFD">
            <w:pPr>
              <w:pStyle w:val="BCSTabletext"/>
            </w:pPr>
            <w:r w:rsidRPr="000C6712">
              <w:t>6.59%</w:t>
            </w:r>
          </w:p>
        </w:tc>
      </w:tr>
      <w:tr w:rsidR="00291E20" w:rsidRPr="000C6712" w:rsidTr="00291E20">
        <w:trPr>
          <w:trHeight w:val="300"/>
        </w:trPr>
        <w:tc>
          <w:tcPr>
            <w:tcW w:w="1548" w:type="dxa"/>
            <w:shd w:val="clear" w:color="auto" w:fill="C2D69B"/>
            <w:hideMark/>
          </w:tcPr>
          <w:p w:rsidR="00291E20" w:rsidRPr="000C6712" w:rsidRDefault="00291E20" w:rsidP="00942BFD">
            <w:pPr>
              <w:pStyle w:val="BCSTabletext"/>
            </w:pPr>
            <w:r w:rsidRPr="000C6712">
              <w:t>Online IAG</w:t>
            </w:r>
          </w:p>
        </w:tc>
        <w:tc>
          <w:tcPr>
            <w:tcW w:w="1264" w:type="dxa"/>
            <w:shd w:val="clear" w:color="auto" w:fill="C2D69B"/>
            <w:noWrap/>
            <w:hideMark/>
          </w:tcPr>
          <w:p w:rsidR="00291E20" w:rsidRPr="000C6712" w:rsidRDefault="00291E20" w:rsidP="00942BFD">
            <w:pPr>
              <w:pStyle w:val="BCSTabletext"/>
            </w:pPr>
            <w:r w:rsidRPr="000C6712">
              <w:t>31.82%</w:t>
            </w:r>
          </w:p>
        </w:tc>
        <w:tc>
          <w:tcPr>
            <w:tcW w:w="1275" w:type="dxa"/>
            <w:shd w:val="clear" w:color="auto" w:fill="C2D69B"/>
            <w:noWrap/>
            <w:hideMark/>
          </w:tcPr>
          <w:p w:rsidR="00291E20" w:rsidRPr="000C6712" w:rsidRDefault="00291E20" w:rsidP="00942BFD">
            <w:pPr>
              <w:pStyle w:val="BCSTabletext"/>
            </w:pPr>
            <w:r w:rsidRPr="000C6712">
              <w:t>17.42%</w:t>
            </w:r>
          </w:p>
        </w:tc>
        <w:tc>
          <w:tcPr>
            <w:tcW w:w="1843" w:type="dxa"/>
            <w:shd w:val="clear" w:color="auto" w:fill="C2D69B"/>
            <w:noWrap/>
            <w:hideMark/>
          </w:tcPr>
          <w:p w:rsidR="00291E20" w:rsidRPr="000C6712" w:rsidRDefault="00291E20" w:rsidP="00942BFD">
            <w:pPr>
              <w:pStyle w:val="BCSTabletext"/>
            </w:pPr>
            <w:r w:rsidRPr="000C6712">
              <w:t>14.02%</w:t>
            </w:r>
          </w:p>
        </w:tc>
        <w:tc>
          <w:tcPr>
            <w:tcW w:w="1158" w:type="dxa"/>
            <w:shd w:val="clear" w:color="auto" w:fill="C2D69B"/>
            <w:noWrap/>
            <w:hideMark/>
          </w:tcPr>
          <w:p w:rsidR="00291E20" w:rsidRPr="000C6712" w:rsidRDefault="00291E20" w:rsidP="00942BFD">
            <w:pPr>
              <w:pStyle w:val="BCSTabletext"/>
            </w:pPr>
            <w:r w:rsidRPr="000C6712">
              <w:t>15.53%</w:t>
            </w:r>
          </w:p>
        </w:tc>
        <w:tc>
          <w:tcPr>
            <w:tcW w:w="1276" w:type="dxa"/>
            <w:shd w:val="clear" w:color="auto" w:fill="C2D69B"/>
            <w:noWrap/>
            <w:hideMark/>
          </w:tcPr>
          <w:p w:rsidR="00291E20" w:rsidRPr="000C6712" w:rsidRDefault="00291E20" w:rsidP="00942BFD">
            <w:pPr>
              <w:pStyle w:val="BCSTabletext"/>
            </w:pPr>
            <w:r w:rsidRPr="000C6712">
              <w:t>6.44%</w:t>
            </w:r>
          </w:p>
        </w:tc>
        <w:tc>
          <w:tcPr>
            <w:tcW w:w="850" w:type="dxa"/>
            <w:shd w:val="clear" w:color="auto" w:fill="C2D69B"/>
            <w:noWrap/>
            <w:hideMark/>
          </w:tcPr>
          <w:p w:rsidR="00291E20" w:rsidRPr="000C6712" w:rsidRDefault="00291E20" w:rsidP="00942BFD">
            <w:pPr>
              <w:pStyle w:val="BCSTabletext"/>
            </w:pPr>
            <w:r w:rsidRPr="000C6712">
              <w:t>14.77%</w:t>
            </w:r>
          </w:p>
        </w:tc>
        <w:tc>
          <w:tcPr>
            <w:tcW w:w="1104" w:type="dxa"/>
            <w:shd w:val="clear" w:color="auto" w:fill="C2D69B"/>
            <w:noWrap/>
            <w:vAlign w:val="bottom"/>
            <w:hideMark/>
          </w:tcPr>
          <w:p w:rsidR="00291E20" w:rsidRPr="000C6712" w:rsidRDefault="00291E20" w:rsidP="00942BFD">
            <w:pPr>
              <w:pStyle w:val="BCSTabletext"/>
            </w:pPr>
            <w:r w:rsidRPr="000C6712">
              <w:t>3.30%</w:t>
            </w:r>
          </w:p>
        </w:tc>
      </w:tr>
      <w:tr w:rsidR="00291E20" w:rsidRPr="000C6712" w:rsidTr="00291E20">
        <w:trPr>
          <w:trHeight w:val="300"/>
        </w:trPr>
        <w:tc>
          <w:tcPr>
            <w:tcW w:w="1548" w:type="dxa"/>
            <w:tcBorders>
              <w:bottom w:val="single" w:sz="4" w:space="0" w:color="4F6228"/>
            </w:tcBorders>
            <w:shd w:val="clear" w:color="auto" w:fill="auto"/>
            <w:hideMark/>
          </w:tcPr>
          <w:p w:rsidR="00291E20" w:rsidRPr="000C6712" w:rsidRDefault="00291E20" w:rsidP="00942BFD">
            <w:pPr>
              <w:pStyle w:val="BCSTabletext"/>
            </w:pPr>
            <w:r w:rsidRPr="000C6712">
              <w:t>Library resources</w:t>
            </w:r>
          </w:p>
        </w:tc>
        <w:tc>
          <w:tcPr>
            <w:tcW w:w="1264" w:type="dxa"/>
            <w:tcBorders>
              <w:bottom w:val="single" w:sz="4" w:space="0" w:color="4F6228"/>
            </w:tcBorders>
            <w:shd w:val="clear" w:color="auto" w:fill="auto"/>
            <w:noWrap/>
            <w:hideMark/>
          </w:tcPr>
          <w:p w:rsidR="00291E20" w:rsidRPr="000C6712" w:rsidRDefault="00291E20" w:rsidP="00942BFD">
            <w:pPr>
              <w:pStyle w:val="BCSTabletext"/>
            </w:pPr>
            <w:r w:rsidRPr="000C6712">
              <w:t>24.71%</w:t>
            </w:r>
          </w:p>
        </w:tc>
        <w:tc>
          <w:tcPr>
            <w:tcW w:w="1275" w:type="dxa"/>
            <w:tcBorders>
              <w:bottom w:val="single" w:sz="4" w:space="0" w:color="4F6228"/>
            </w:tcBorders>
            <w:shd w:val="clear" w:color="auto" w:fill="auto"/>
            <w:noWrap/>
            <w:hideMark/>
          </w:tcPr>
          <w:p w:rsidR="00291E20" w:rsidRPr="000C6712" w:rsidRDefault="00291E20" w:rsidP="00942BFD">
            <w:pPr>
              <w:pStyle w:val="BCSTabletext"/>
            </w:pPr>
            <w:r w:rsidRPr="000C6712">
              <w:t>14.29%</w:t>
            </w:r>
          </w:p>
        </w:tc>
        <w:tc>
          <w:tcPr>
            <w:tcW w:w="1843" w:type="dxa"/>
            <w:tcBorders>
              <w:bottom w:val="single" w:sz="4" w:space="0" w:color="4F6228"/>
            </w:tcBorders>
            <w:shd w:val="clear" w:color="auto" w:fill="auto"/>
            <w:noWrap/>
            <w:hideMark/>
          </w:tcPr>
          <w:p w:rsidR="00291E20" w:rsidRPr="000C6712" w:rsidRDefault="00291E20" w:rsidP="00942BFD">
            <w:pPr>
              <w:pStyle w:val="BCSTabletext"/>
            </w:pPr>
            <w:r w:rsidRPr="000C6712">
              <w:t>11.58%</w:t>
            </w:r>
          </w:p>
        </w:tc>
        <w:tc>
          <w:tcPr>
            <w:tcW w:w="1158" w:type="dxa"/>
            <w:tcBorders>
              <w:bottom w:val="single" w:sz="4" w:space="0" w:color="4F6228"/>
            </w:tcBorders>
            <w:shd w:val="clear" w:color="auto" w:fill="auto"/>
            <w:noWrap/>
            <w:hideMark/>
          </w:tcPr>
          <w:p w:rsidR="00291E20" w:rsidRPr="000C6712" w:rsidRDefault="00291E20" w:rsidP="00942BFD">
            <w:pPr>
              <w:pStyle w:val="BCSTabletext"/>
            </w:pPr>
            <w:r w:rsidRPr="000C6712">
              <w:t>13.90%</w:t>
            </w:r>
          </w:p>
        </w:tc>
        <w:tc>
          <w:tcPr>
            <w:tcW w:w="1276" w:type="dxa"/>
            <w:tcBorders>
              <w:bottom w:val="single" w:sz="4" w:space="0" w:color="4F6228"/>
            </w:tcBorders>
            <w:shd w:val="clear" w:color="auto" w:fill="auto"/>
            <w:noWrap/>
            <w:hideMark/>
          </w:tcPr>
          <w:p w:rsidR="00291E20" w:rsidRPr="000C6712" w:rsidRDefault="00291E20" w:rsidP="00942BFD">
            <w:pPr>
              <w:pStyle w:val="BCSTabletext"/>
            </w:pPr>
            <w:r w:rsidRPr="000C6712">
              <w:t>11.58%</w:t>
            </w:r>
          </w:p>
        </w:tc>
        <w:tc>
          <w:tcPr>
            <w:tcW w:w="850" w:type="dxa"/>
            <w:tcBorders>
              <w:bottom w:val="single" w:sz="4" w:space="0" w:color="4F6228"/>
            </w:tcBorders>
            <w:shd w:val="clear" w:color="auto" w:fill="auto"/>
            <w:noWrap/>
            <w:hideMark/>
          </w:tcPr>
          <w:p w:rsidR="00291E20" w:rsidRPr="000C6712" w:rsidRDefault="00291E20" w:rsidP="00942BFD">
            <w:pPr>
              <w:pStyle w:val="BCSTabletext"/>
            </w:pPr>
            <w:r w:rsidRPr="000C6712">
              <w:t>23.94%</w:t>
            </w:r>
          </w:p>
        </w:tc>
        <w:tc>
          <w:tcPr>
            <w:tcW w:w="1104" w:type="dxa"/>
            <w:tcBorders>
              <w:bottom w:val="single" w:sz="4" w:space="0" w:color="4F6228"/>
            </w:tcBorders>
            <w:shd w:val="clear" w:color="auto" w:fill="auto"/>
            <w:noWrap/>
            <w:vAlign w:val="bottom"/>
            <w:hideMark/>
          </w:tcPr>
          <w:p w:rsidR="00291E20" w:rsidRPr="000C6712" w:rsidRDefault="00291E20" w:rsidP="00942BFD">
            <w:pPr>
              <w:pStyle w:val="BCSTabletext"/>
            </w:pPr>
            <w:r w:rsidRPr="000C6712">
              <w:t>5.13%</w:t>
            </w:r>
          </w:p>
        </w:tc>
      </w:tr>
      <w:tr w:rsidR="00291E20" w:rsidRPr="000C6712" w:rsidTr="00291E20">
        <w:trPr>
          <w:trHeight w:val="300"/>
        </w:trPr>
        <w:tc>
          <w:tcPr>
            <w:tcW w:w="1548" w:type="dxa"/>
            <w:shd w:val="clear" w:color="auto" w:fill="C2D69B"/>
            <w:hideMark/>
          </w:tcPr>
          <w:p w:rsidR="00291E20" w:rsidRPr="000C6712" w:rsidRDefault="00291E20" w:rsidP="00942BFD">
            <w:pPr>
              <w:pStyle w:val="BCSTabletext"/>
            </w:pPr>
            <w:r w:rsidRPr="000C6712">
              <w:t>Online testing</w:t>
            </w:r>
          </w:p>
        </w:tc>
        <w:tc>
          <w:tcPr>
            <w:tcW w:w="1264" w:type="dxa"/>
            <w:shd w:val="clear" w:color="auto" w:fill="C2D69B"/>
            <w:noWrap/>
            <w:hideMark/>
          </w:tcPr>
          <w:p w:rsidR="00291E20" w:rsidRPr="000C6712" w:rsidRDefault="00291E20" w:rsidP="00942BFD">
            <w:pPr>
              <w:pStyle w:val="BCSTabletext"/>
            </w:pPr>
            <w:r w:rsidRPr="000C6712">
              <w:t>13.85%</w:t>
            </w:r>
          </w:p>
        </w:tc>
        <w:tc>
          <w:tcPr>
            <w:tcW w:w="1275" w:type="dxa"/>
            <w:shd w:val="clear" w:color="auto" w:fill="C2D69B"/>
            <w:noWrap/>
            <w:hideMark/>
          </w:tcPr>
          <w:p w:rsidR="00291E20" w:rsidRPr="000C6712" w:rsidRDefault="00291E20" w:rsidP="00942BFD">
            <w:pPr>
              <w:pStyle w:val="BCSTabletext"/>
            </w:pPr>
            <w:r w:rsidRPr="000C6712">
              <w:t>16.15%</w:t>
            </w:r>
          </w:p>
        </w:tc>
        <w:tc>
          <w:tcPr>
            <w:tcW w:w="1843" w:type="dxa"/>
            <w:shd w:val="clear" w:color="auto" w:fill="C2D69B"/>
            <w:noWrap/>
            <w:hideMark/>
          </w:tcPr>
          <w:p w:rsidR="00291E20" w:rsidRPr="000C6712" w:rsidRDefault="00291E20" w:rsidP="00942BFD">
            <w:pPr>
              <w:pStyle w:val="BCSTabletext"/>
            </w:pPr>
            <w:r w:rsidRPr="000C6712">
              <w:t>11.15%</w:t>
            </w:r>
          </w:p>
        </w:tc>
        <w:tc>
          <w:tcPr>
            <w:tcW w:w="1158" w:type="dxa"/>
            <w:shd w:val="clear" w:color="auto" w:fill="C2D69B"/>
            <w:noWrap/>
            <w:hideMark/>
          </w:tcPr>
          <w:p w:rsidR="00291E20" w:rsidRPr="000C6712" w:rsidRDefault="00291E20" w:rsidP="00942BFD">
            <w:pPr>
              <w:pStyle w:val="BCSTabletext"/>
            </w:pPr>
            <w:r w:rsidRPr="000C6712">
              <w:t>17.69%</w:t>
            </w:r>
          </w:p>
        </w:tc>
        <w:tc>
          <w:tcPr>
            <w:tcW w:w="1276" w:type="dxa"/>
            <w:shd w:val="clear" w:color="auto" w:fill="C2D69B"/>
            <w:noWrap/>
            <w:hideMark/>
          </w:tcPr>
          <w:p w:rsidR="00291E20" w:rsidRPr="000C6712" w:rsidRDefault="00291E20" w:rsidP="00942BFD">
            <w:pPr>
              <w:pStyle w:val="BCSTabletext"/>
            </w:pPr>
            <w:r w:rsidRPr="000C6712">
              <w:t>12.69%</w:t>
            </w:r>
          </w:p>
        </w:tc>
        <w:tc>
          <w:tcPr>
            <w:tcW w:w="850" w:type="dxa"/>
            <w:shd w:val="clear" w:color="auto" w:fill="C2D69B"/>
            <w:noWrap/>
            <w:hideMark/>
          </w:tcPr>
          <w:p w:rsidR="00291E20" w:rsidRPr="000C6712" w:rsidRDefault="00291E20" w:rsidP="00942BFD">
            <w:pPr>
              <w:pStyle w:val="BCSTabletext"/>
            </w:pPr>
            <w:r w:rsidRPr="000C6712">
              <w:t>28.46%</w:t>
            </w:r>
          </w:p>
        </w:tc>
        <w:tc>
          <w:tcPr>
            <w:tcW w:w="1104" w:type="dxa"/>
            <w:shd w:val="clear" w:color="auto" w:fill="C2D69B"/>
            <w:noWrap/>
            <w:vAlign w:val="bottom"/>
            <w:hideMark/>
          </w:tcPr>
          <w:p w:rsidR="00291E20" w:rsidRPr="000C6712" w:rsidRDefault="00291E20" w:rsidP="00942BFD">
            <w:pPr>
              <w:pStyle w:val="BCSTabletext"/>
            </w:pPr>
            <w:r w:rsidRPr="000C6712">
              <w:t>4.76%</w:t>
            </w:r>
          </w:p>
        </w:tc>
      </w:tr>
      <w:tr w:rsidR="00291E20" w:rsidRPr="000C6712" w:rsidTr="00291E20">
        <w:trPr>
          <w:trHeight w:val="300"/>
        </w:trPr>
        <w:tc>
          <w:tcPr>
            <w:tcW w:w="1548" w:type="dxa"/>
            <w:tcBorders>
              <w:bottom w:val="single" w:sz="4" w:space="0" w:color="4F6228"/>
            </w:tcBorders>
            <w:shd w:val="clear" w:color="auto" w:fill="auto"/>
            <w:hideMark/>
          </w:tcPr>
          <w:p w:rsidR="00291E20" w:rsidRPr="000C6712" w:rsidRDefault="00291E20" w:rsidP="00942BFD">
            <w:pPr>
              <w:pStyle w:val="BCSTabletext"/>
            </w:pPr>
            <w:r w:rsidRPr="000C6712">
              <w:t>Wireless network</w:t>
            </w:r>
          </w:p>
        </w:tc>
        <w:tc>
          <w:tcPr>
            <w:tcW w:w="1264" w:type="dxa"/>
            <w:tcBorders>
              <w:bottom w:val="single" w:sz="4" w:space="0" w:color="4F6228"/>
            </w:tcBorders>
            <w:shd w:val="clear" w:color="auto" w:fill="auto"/>
            <w:noWrap/>
            <w:hideMark/>
          </w:tcPr>
          <w:p w:rsidR="00291E20" w:rsidRPr="000C6712" w:rsidRDefault="00291E20" w:rsidP="00942BFD">
            <w:pPr>
              <w:pStyle w:val="BCSTabletext"/>
            </w:pPr>
            <w:r w:rsidRPr="000C6712">
              <w:t>15.27%</w:t>
            </w:r>
          </w:p>
        </w:tc>
        <w:tc>
          <w:tcPr>
            <w:tcW w:w="1275" w:type="dxa"/>
            <w:tcBorders>
              <w:bottom w:val="single" w:sz="4" w:space="0" w:color="4F6228"/>
            </w:tcBorders>
            <w:shd w:val="clear" w:color="auto" w:fill="auto"/>
            <w:noWrap/>
            <w:hideMark/>
          </w:tcPr>
          <w:p w:rsidR="00291E20" w:rsidRPr="000C6712" w:rsidRDefault="00291E20" w:rsidP="00942BFD">
            <w:pPr>
              <w:pStyle w:val="BCSTabletext"/>
            </w:pPr>
            <w:r w:rsidRPr="000C6712">
              <w:t>11.07%</w:t>
            </w:r>
          </w:p>
        </w:tc>
        <w:tc>
          <w:tcPr>
            <w:tcW w:w="1843" w:type="dxa"/>
            <w:tcBorders>
              <w:bottom w:val="single" w:sz="4" w:space="0" w:color="4F6228"/>
            </w:tcBorders>
            <w:shd w:val="clear" w:color="auto" w:fill="auto"/>
            <w:noWrap/>
            <w:hideMark/>
          </w:tcPr>
          <w:p w:rsidR="00291E20" w:rsidRPr="000C6712" w:rsidRDefault="00291E20" w:rsidP="00942BFD">
            <w:pPr>
              <w:pStyle w:val="BCSTabletext"/>
            </w:pPr>
            <w:r w:rsidRPr="000C6712">
              <w:t>8.02%</w:t>
            </w:r>
          </w:p>
        </w:tc>
        <w:tc>
          <w:tcPr>
            <w:tcW w:w="1158" w:type="dxa"/>
            <w:tcBorders>
              <w:bottom w:val="single" w:sz="4" w:space="0" w:color="4F6228"/>
            </w:tcBorders>
            <w:shd w:val="clear" w:color="auto" w:fill="auto"/>
            <w:noWrap/>
            <w:hideMark/>
          </w:tcPr>
          <w:p w:rsidR="00291E20" w:rsidRPr="000C6712" w:rsidRDefault="00291E20" w:rsidP="00942BFD">
            <w:pPr>
              <w:pStyle w:val="BCSTabletext"/>
            </w:pPr>
            <w:r w:rsidRPr="000C6712">
              <w:t>13.74%</w:t>
            </w:r>
          </w:p>
        </w:tc>
        <w:tc>
          <w:tcPr>
            <w:tcW w:w="1276" w:type="dxa"/>
            <w:tcBorders>
              <w:bottom w:val="single" w:sz="4" w:space="0" w:color="4F6228"/>
            </w:tcBorders>
            <w:shd w:val="clear" w:color="auto" w:fill="auto"/>
            <w:noWrap/>
            <w:hideMark/>
          </w:tcPr>
          <w:p w:rsidR="00291E20" w:rsidRPr="000C6712" w:rsidRDefault="00291E20" w:rsidP="00942BFD">
            <w:pPr>
              <w:pStyle w:val="BCSTabletext"/>
            </w:pPr>
            <w:r w:rsidRPr="000C6712">
              <w:t>19.47%</w:t>
            </w:r>
          </w:p>
        </w:tc>
        <w:tc>
          <w:tcPr>
            <w:tcW w:w="850" w:type="dxa"/>
            <w:tcBorders>
              <w:bottom w:val="single" w:sz="4" w:space="0" w:color="4F6228"/>
            </w:tcBorders>
            <w:shd w:val="clear" w:color="auto" w:fill="auto"/>
            <w:noWrap/>
            <w:hideMark/>
          </w:tcPr>
          <w:p w:rsidR="00291E20" w:rsidRPr="000C6712" w:rsidRDefault="00291E20" w:rsidP="00942BFD">
            <w:pPr>
              <w:pStyle w:val="BCSTabletext"/>
            </w:pPr>
            <w:r w:rsidRPr="000C6712">
              <w:t>32.44%</w:t>
            </w:r>
          </w:p>
        </w:tc>
        <w:tc>
          <w:tcPr>
            <w:tcW w:w="1104" w:type="dxa"/>
            <w:tcBorders>
              <w:bottom w:val="single" w:sz="4" w:space="0" w:color="4F6228"/>
            </w:tcBorders>
            <w:shd w:val="clear" w:color="auto" w:fill="auto"/>
            <w:noWrap/>
            <w:vAlign w:val="bottom"/>
            <w:hideMark/>
          </w:tcPr>
          <w:p w:rsidR="00291E20" w:rsidRPr="000C6712" w:rsidRDefault="00291E20" w:rsidP="00942BFD">
            <w:pPr>
              <w:pStyle w:val="BCSTabletext"/>
            </w:pPr>
            <w:r w:rsidRPr="000C6712">
              <w:t>4.03%</w:t>
            </w:r>
          </w:p>
        </w:tc>
      </w:tr>
      <w:tr w:rsidR="00291E20" w:rsidRPr="000C6712" w:rsidTr="00291E20">
        <w:trPr>
          <w:trHeight w:val="300"/>
        </w:trPr>
        <w:tc>
          <w:tcPr>
            <w:tcW w:w="1548" w:type="dxa"/>
            <w:shd w:val="clear" w:color="auto" w:fill="C2D69B"/>
            <w:hideMark/>
          </w:tcPr>
          <w:p w:rsidR="00291E20" w:rsidRPr="000C6712" w:rsidRDefault="00291E20" w:rsidP="00942BFD">
            <w:pPr>
              <w:pStyle w:val="BCSTabletext"/>
            </w:pPr>
            <w:r w:rsidRPr="000C6712">
              <w:t>High-speed internet</w:t>
            </w:r>
          </w:p>
        </w:tc>
        <w:tc>
          <w:tcPr>
            <w:tcW w:w="1264" w:type="dxa"/>
            <w:shd w:val="clear" w:color="auto" w:fill="C2D69B"/>
            <w:noWrap/>
            <w:hideMark/>
          </w:tcPr>
          <w:p w:rsidR="00291E20" w:rsidRPr="000C6712" w:rsidRDefault="00291E20" w:rsidP="00942BFD">
            <w:pPr>
              <w:pStyle w:val="BCSTabletext"/>
            </w:pPr>
            <w:r w:rsidRPr="000C6712">
              <w:t>31.82%</w:t>
            </w:r>
          </w:p>
        </w:tc>
        <w:tc>
          <w:tcPr>
            <w:tcW w:w="1275" w:type="dxa"/>
            <w:shd w:val="clear" w:color="auto" w:fill="C2D69B"/>
            <w:noWrap/>
            <w:hideMark/>
          </w:tcPr>
          <w:p w:rsidR="00291E20" w:rsidRPr="000C6712" w:rsidRDefault="00291E20" w:rsidP="00942BFD">
            <w:pPr>
              <w:pStyle w:val="BCSTabletext"/>
            </w:pPr>
            <w:r w:rsidRPr="000C6712">
              <w:t>19.70%</w:t>
            </w:r>
          </w:p>
        </w:tc>
        <w:tc>
          <w:tcPr>
            <w:tcW w:w="1843" w:type="dxa"/>
            <w:shd w:val="clear" w:color="auto" w:fill="C2D69B"/>
            <w:noWrap/>
            <w:hideMark/>
          </w:tcPr>
          <w:p w:rsidR="00291E20" w:rsidRPr="000C6712" w:rsidRDefault="00291E20" w:rsidP="00942BFD">
            <w:pPr>
              <w:pStyle w:val="BCSTabletext"/>
            </w:pPr>
            <w:r w:rsidRPr="000C6712">
              <w:t>12.12%</w:t>
            </w:r>
          </w:p>
        </w:tc>
        <w:tc>
          <w:tcPr>
            <w:tcW w:w="1158" w:type="dxa"/>
            <w:shd w:val="clear" w:color="auto" w:fill="C2D69B"/>
            <w:noWrap/>
            <w:hideMark/>
          </w:tcPr>
          <w:p w:rsidR="00291E20" w:rsidRPr="000C6712" w:rsidRDefault="00291E20" w:rsidP="00942BFD">
            <w:pPr>
              <w:pStyle w:val="BCSTabletext"/>
            </w:pPr>
            <w:r w:rsidRPr="000C6712">
              <w:t>13.64%</w:t>
            </w:r>
          </w:p>
        </w:tc>
        <w:tc>
          <w:tcPr>
            <w:tcW w:w="1276" w:type="dxa"/>
            <w:shd w:val="clear" w:color="auto" w:fill="C2D69B"/>
            <w:noWrap/>
            <w:hideMark/>
          </w:tcPr>
          <w:p w:rsidR="00291E20" w:rsidRPr="000C6712" w:rsidRDefault="00291E20" w:rsidP="00942BFD">
            <w:pPr>
              <w:pStyle w:val="BCSTabletext"/>
            </w:pPr>
            <w:r w:rsidRPr="000C6712">
              <w:t>12.88%</w:t>
            </w:r>
          </w:p>
        </w:tc>
        <w:tc>
          <w:tcPr>
            <w:tcW w:w="850" w:type="dxa"/>
            <w:shd w:val="clear" w:color="auto" w:fill="C2D69B"/>
            <w:noWrap/>
            <w:hideMark/>
          </w:tcPr>
          <w:p w:rsidR="00291E20" w:rsidRPr="000C6712" w:rsidRDefault="00291E20" w:rsidP="00942BFD">
            <w:pPr>
              <w:pStyle w:val="BCSTabletext"/>
            </w:pPr>
            <w:r w:rsidRPr="000C6712">
              <w:t>9.85%</w:t>
            </w:r>
          </w:p>
        </w:tc>
        <w:tc>
          <w:tcPr>
            <w:tcW w:w="1104" w:type="dxa"/>
            <w:shd w:val="clear" w:color="auto" w:fill="C2D69B"/>
            <w:noWrap/>
            <w:vAlign w:val="bottom"/>
            <w:hideMark/>
          </w:tcPr>
          <w:p w:rsidR="00291E20" w:rsidRPr="000C6712" w:rsidRDefault="00291E20" w:rsidP="00942BFD">
            <w:pPr>
              <w:pStyle w:val="BCSTabletext"/>
            </w:pPr>
            <w:r w:rsidRPr="000C6712">
              <w:t>3.30%</w:t>
            </w:r>
          </w:p>
        </w:tc>
      </w:tr>
    </w:tbl>
    <w:p w:rsidR="00291E20" w:rsidRDefault="00291E20" w:rsidP="00942BFD">
      <w:pPr>
        <w:pStyle w:val="BCSTabletextafter"/>
      </w:pPr>
      <w:r>
        <w:t>(</w:t>
      </w:r>
      <w:r w:rsidRPr="00021C24">
        <w:t>Percentages based upon all responding practitioners; n=273)</w:t>
      </w:r>
    </w:p>
    <w:p w:rsidR="00291E20" w:rsidRPr="00220AE0" w:rsidRDefault="00291E20" w:rsidP="00942BFD">
      <w:pPr>
        <w:pStyle w:val="Heading2"/>
        <w:rPr>
          <w:rFonts w:ascii="Calibri" w:hAnsi="Calibri"/>
          <w:i/>
          <w:sz w:val="24"/>
          <w:szCs w:val="24"/>
        </w:rPr>
      </w:pPr>
      <w:r>
        <w:br w:type="page"/>
      </w:r>
      <w:bookmarkStart w:id="88" w:name="_Toc257276014"/>
      <w:r w:rsidRPr="00942BFD">
        <w:t>Use of Information and Learning Technology (ILT</w:t>
      </w:r>
      <w:r>
        <w:rPr>
          <w:rFonts w:ascii="Calibri" w:hAnsi="Calibri"/>
          <w:sz w:val="24"/>
          <w:szCs w:val="24"/>
        </w:rPr>
        <w:t>)</w:t>
      </w:r>
      <w:bookmarkEnd w:id="88"/>
    </w:p>
    <w:p w:rsidR="00291E20" w:rsidRDefault="00291E20" w:rsidP="00942BFD">
      <w:pPr>
        <w:pStyle w:val="BCSParagraph"/>
      </w:pPr>
      <w:r>
        <w:t xml:space="preserve">This section of the survey sought to explore practitioners’ use of technology to support and deliver learning.  </w:t>
      </w:r>
      <w:hyperlink w:anchor="_Figure_14:_Resources" w:history="1">
        <w:r w:rsidRPr="00EC056A">
          <w:rPr>
            <w:rStyle w:val="Hyperlink"/>
          </w:rPr>
          <w:t>Figure 14</w:t>
        </w:r>
      </w:hyperlink>
      <w:r>
        <w:t xml:space="preserve"> illustrates the extent to which respondents (E-guides and non E-guides) are both aware of, and use common online resources with their learners.</w:t>
      </w:r>
    </w:p>
    <w:p w:rsidR="00291E20" w:rsidRDefault="00291E20" w:rsidP="00942BFD">
      <w:pPr>
        <w:pStyle w:val="BCSParagraph"/>
      </w:pPr>
    </w:p>
    <w:p w:rsidR="00291E20" w:rsidRDefault="00291E20" w:rsidP="00942BFD">
      <w:pPr>
        <w:pStyle w:val="BCSParagraph"/>
      </w:pPr>
      <w:r>
        <w:t xml:space="preserve">Overall, across all except one category (use of skills for life materials; 45.35% of E-guides and 52.49% of non E-guides), proportionately more E-guides had both used and were aware of resources than non E-guides.   The category ‘both’ in </w:t>
      </w:r>
      <w:hyperlink w:anchor="_Figure_14:_Resources" w:history="1">
        <w:r w:rsidRPr="00AD2F1A">
          <w:rPr>
            <w:rStyle w:val="Hyperlink"/>
          </w:rPr>
          <w:t>figure 14</w:t>
        </w:r>
      </w:hyperlink>
      <w:r>
        <w:t>, shows the percentage of all respondents who indicated that they both used and were aware of the listed resources; practitioners were invited to tick all responses that applied.</w:t>
      </w:r>
    </w:p>
    <w:p w:rsidR="00942BFD" w:rsidRDefault="00942BFD" w:rsidP="00942BFD">
      <w:pPr>
        <w:pStyle w:val="Heading4"/>
        <w:numPr>
          <w:ilvl w:val="0"/>
          <w:numId w:val="0"/>
        </w:numPr>
        <w:ind w:left="1857" w:hanging="864"/>
        <w:rPr>
          <w:sz w:val="22"/>
          <w:szCs w:val="22"/>
        </w:rPr>
      </w:pPr>
      <w:bookmarkStart w:id="89" w:name="_Figure_14:_Resources"/>
      <w:bookmarkStart w:id="90" w:name="_Toc256332135"/>
      <w:bookmarkEnd w:id="89"/>
    </w:p>
    <w:p w:rsidR="00291E20" w:rsidRPr="00077DD7" w:rsidRDefault="00291E20" w:rsidP="00942BFD">
      <w:pPr>
        <w:pStyle w:val="BCSTableheadings"/>
      </w:pPr>
      <w:r w:rsidRPr="00077DD7">
        <w:t>Figure 14: Resources that practitioners are both aware of and/ or have used with learners</w:t>
      </w:r>
      <w:bookmarkEnd w:id="90"/>
    </w:p>
    <w:p w:rsidR="00291E20" w:rsidRDefault="002102AA" w:rsidP="00942BFD">
      <w:pPr>
        <w:pStyle w:val="BCSTableheadings"/>
      </w:pPr>
      <w:r>
        <w:rPr>
          <w:noProof/>
        </w:rPr>
        <w:drawing>
          <wp:inline distT="0" distB="0" distL="0" distR="0">
            <wp:extent cx="6574155" cy="46653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srcRect/>
                    <a:stretch>
                      <a:fillRect/>
                    </a:stretch>
                  </pic:blipFill>
                  <pic:spPr bwMode="auto">
                    <a:xfrm>
                      <a:off x="0" y="0"/>
                      <a:ext cx="6574155" cy="4665345"/>
                    </a:xfrm>
                    <a:prstGeom prst="rect">
                      <a:avLst/>
                    </a:prstGeom>
                    <a:noFill/>
                    <a:ln w="9525">
                      <a:noFill/>
                      <a:miter lim="800000"/>
                      <a:headEnd/>
                      <a:tailEnd/>
                    </a:ln>
                  </pic:spPr>
                </pic:pic>
              </a:graphicData>
            </a:graphic>
          </wp:inline>
        </w:drawing>
      </w:r>
    </w:p>
    <w:p w:rsidR="00291E20" w:rsidRDefault="00291E20" w:rsidP="00313C2B">
      <w:pPr>
        <w:pStyle w:val="BCSTabletextafter"/>
      </w:pPr>
      <w:r>
        <w:t>(NB: multiple response question)</w:t>
      </w:r>
    </w:p>
    <w:p w:rsidR="00291E20" w:rsidRDefault="00291E20" w:rsidP="00313C2B">
      <w:pPr>
        <w:pStyle w:val="BCSParagraph"/>
      </w:pPr>
      <w:r>
        <w:t>Overall, BBC website materials were the resources most used by E-guides (76.74%) and an equal proportion of E-guides were aware of them (76.74%).  These were also the materials which were most frequently cited as being both ‘used and known about’ (53.49%).  Conversely, the Excellence Gateway materials were least used by this cohort (22.09%).</w:t>
      </w:r>
    </w:p>
    <w:p w:rsidR="00291E20" w:rsidRDefault="00291E20" w:rsidP="00313C2B">
      <w:pPr>
        <w:pStyle w:val="BCSParagraph"/>
      </w:pPr>
    </w:p>
    <w:p w:rsidR="00291E20" w:rsidRDefault="00291E20" w:rsidP="00313C2B">
      <w:pPr>
        <w:pStyle w:val="BCSParagraph"/>
      </w:pPr>
      <w:r>
        <w:t>BBC materials were also popular amongst non E-guides; 69.06% were aware of the materials, 74.03% used them, and 46.96% both used and were aware of them.  The least used resources by non E-guides were NLN materials (16.57%).</w:t>
      </w:r>
    </w:p>
    <w:p w:rsidR="00291E20" w:rsidRDefault="00291E20" w:rsidP="00313C2B">
      <w:pPr>
        <w:pStyle w:val="BCSParagraph"/>
      </w:pPr>
    </w:p>
    <w:p w:rsidR="00291E20" w:rsidRDefault="00291E20" w:rsidP="00313C2B">
      <w:pPr>
        <w:pStyle w:val="BCSParagraph"/>
      </w:pPr>
      <w:r>
        <w:t>Amongst both E-guides and non E-guides, the second most cited materials were Skills for Life materials; 69.77% of E-guides were aware of these, 45.35% used them and 29.07% did both.  Amongst non E-guides; 60.77% were aware of Skills for Life materials, 52.49% used them, and 28.73% did both.</w:t>
      </w:r>
    </w:p>
    <w:p w:rsidR="00291E20" w:rsidRDefault="00291E20" w:rsidP="00313C2B">
      <w:pPr>
        <w:pStyle w:val="BCSParagraph"/>
      </w:pPr>
    </w:p>
    <w:p w:rsidR="00291E20" w:rsidRDefault="00291E20" w:rsidP="00313C2B">
      <w:pPr>
        <w:pStyle w:val="BCSParagraph"/>
      </w:pPr>
      <w:r>
        <w:t>The third most cited materials, by E-guides, were the NLN materials.  Overall, 63.95% of E-guides were ware of them, 29.07% used them and 17.44% did both.  However, the third most cited materials, by non E-guides, were the Excellence Gateway materials.  53.04% knew about them, 18.78% used them and 9.94% did both.</w:t>
      </w:r>
    </w:p>
    <w:p w:rsidR="00291E20" w:rsidRDefault="00291E20" w:rsidP="00313C2B">
      <w:pPr>
        <w:pStyle w:val="BCSParagraph"/>
      </w:pPr>
    </w:p>
    <w:p w:rsidR="00291E20" w:rsidRDefault="00291E20" w:rsidP="00313C2B">
      <w:pPr>
        <w:pStyle w:val="BCSParagraph"/>
      </w:pPr>
      <w:r>
        <w:t xml:space="preserve"> The least cited materials, by E-guides, were the Excellence Gateway materials which were known of by 61.63% and used by 22.09%, whilst 13.95% did both.  By comparison, the least cited materials, by non E-guides, were NLN materials.  Overall, 40.88% used them, 16.57% used them and 7.73% did both.</w:t>
      </w:r>
    </w:p>
    <w:p w:rsidR="00291E20" w:rsidRDefault="00291E20" w:rsidP="00313C2B">
      <w:pPr>
        <w:pStyle w:val="BCSParagraph"/>
      </w:pPr>
    </w:p>
    <w:p w:rsidR="00291E20" w:rsidRDefault="00291E20" w:rsidP="00291E20">
      <w:pPr>
        <w:contextualSpacing/>
      </w:pPr>
    </w:p>
    <w:p w:rsidR="00291E20" w:rsidRPr="00AF65BA" w:rsidRDefault="00291E20" w:rsidP="00313C2B">
      <w:pPr>
        <w:pStyle w:val="Heading2"/>
        <w:rPr>
          <w:u w:val="single"/>
        </w:rPr>
      </w:pPr>
      <w:r w:rsidRPr="00313C2B">
        <w:t>Use of technology to support learning-related activities</w:t>
      </w:r>
      <w:r w:rsidRPr="00AF65BA">
        <w:rPr>
          <w:u w:val="single"/>
        </w:rPr>
        <w:t>:</w:t>
      </w:r>
    </w:p>
    <w:p w:rsidR="00291E20" w:rsidRDefault="00291E20" w:rsidP="00313C2B">
      <w:pPr>
        <w:pStyle w:val="BCSParagraph"/>
      </w:pPr>
      <w:r>
        <w:t xml:space="preserve">Having established the most frequently used online learning materials, the survey sought to identify the frequency with which practitioners used technology to support learning-related activities.  Figure 15 illustrates the breakdown of activities across all practitioners (n=273).  </w:t>
      </w:r>
    </w:p>
    <w:p w:rsidR="00291E20" w:rsidRDefault="00291E20" w:rsidP="00313C2B">
      <w:pPr>
        <w:pStyle w:val="BCSParagraph"/>
      </w:pPr>
    </w:p>
    <w:p w:rsidR="00291E20" w:rsidRDefault="00291E20" w:rsidP="00313C2B">
      <w:pPr>
        <w:pStyle w:val="BCSParagraph"/>
      </w:pPr>
      <w:r>
        <w:t>Overall, 83.15% of practitioners claimed to make use of technology on a daily basis or at least once a week</w:t>
      </w:r>
      <w:r>
        <w:rPr>
          <w:rStyle w:val="FootnoteReference"/>
        </w:rPr>
        <w:footnoteReference w:id="18"/>
      </w:r>
      <w:r>
        <w:t xml:space="preserve"> to create paper-based learning materials; an increase upon 79% of practitioners in 2008/09.  In addition, 47.99% of practitioners used technology on a daily or weekly basis to create e-learning materials, a slight decrease upon the findings of 2008/09 (51%).</w:t>
      </w:r>
    </w:p>
    <w:p w:rsidR="00291E20" w:rsidRDefault="00291E20" w:rsidP="00313C2B">
      <w:pPr>
        <w:pStyle w:val="BCSParagraph"/>
      </w:pPr>
    </w:p>
    <w:p w:rsidR="00291E20" w:rsidRDefault="00291E20" w:rsidP="00313C2B">
      <w:pPr>
        <w:pStyle w:val="BCSParagraph"/>
      </w:pPr>
      <w:r>
        <w:t xml:space="preserve">Practitioners also used technology on a daily or weekly basis to assess learners’ work (45.05%) and track learner targets (42.86%).   When compared to 2008/09, a slight decrease can be seen in the proportion of practitioners who use technology on a daily or weekly basis both to assess learners’ work (54%), and to keep track of learner targets (44%).  </w:t>
      </w:r>
    </w:p>
    <w:p w:rsidR="00291E20" w:rsidRDefault="00291E20" w:rsidP="00313C2B">
      <w:pPr>
        <w:pStyle w:val="BCSParagraph"/>
      </w:pPr>
    </w:p>
    <w:p w:rsidR="00291E20" w:rsidRDefault="00291E20" w:rsidP="00313C2B">
      <w:pPr>
        <w:pStyle w:val="BCSParagraph"/>
      </w:pPr>
      <w:r>
        <w:t>A decrease of technology supported activity can also be seen when describing the frequency with which practitioners used online collaborative tools (such as email lists, discussion forums, blogs and wikis).   Whereas in 2008/09 25% of practitioners used such technologies daily, in 2009/10 only 12.45% claimed to do so.  Equally, whereas in 2008/09 21% of practitioners stated that they used online collaborative technologies at least once a week, in 2009/10 only 12.82% claimed to do so.  Additionally, in 2009/10 3 out of 10 practitioners (32.60%) had never used online collaborative tools, slightly more than had never taught online (28.94%).</w:t>
      </w:r>
    </w:p>
    <w:p w:rsidR="00291E20" w:rsidRDefault="00291E20" w:rsidP="00313C2B">
      <w:pPr>
        <w:pStyle w:val="BCSParagraph"/>
      </w:pPr>
    </w:p>
    <w:p w:rsidR="00291E20" w:rsidRDefault="00291E20" w:rsidP="00313C2B">
      <w:pPr>
        <w:pStyle w:val="BCSParagraph"/>
      </w:pPr>
      <w:r>
        <w:t>In terms of the activities where practitioners indicted that they never used technology, helping learners to develop an e-portfolio was the most frequently cited; 65.20% of respondents never used e-portfolios, a slight increase on the findings of 2008/09 (63%).  Equally, the use of diverse media, such as g</w:t>
      </w:r>
      <w:r w:rsidRPr="003509AD">
        <w:t>ame based learning, podcasting, for learning content and activity</w:t>
      </w:r>
      <w:r>
        <w:t xml:space="preserve">, was never used by 43.59% of practitioners, whilst in 2008/09 only 28% never used these types of media.  Online collaborative tools also saw a decrease in use as 32.60% of practitioners claimed never to use this type of technology in 2009/10, compared to 20% in 2008/09.  </w:t>
      </w:r>
    </w:p>
    <w:p w:rsidR="00291E20" w:rsidRDefault="00291E20" w:rsidP="00313C2B">
      <w:pPr>
        <w:pStyle w:val="BCSParagraph"/>
      </w:pPr>
    </w:p>
    <w:p w:rsidR="00291E20" w:rsidRDefault="00291E20" w:rsidP="00313C2B">
      <w:pPr>
        <w:pStyle w:val="BCSParagraph"/>
      </w:pPr>
      <w:r>
        <w:t xml:space="preserve">In order to identify the types of software packages most commonly used to develop e-learning materials, practitioners were asked to indicate which, of four commonly-used types, they had used.  Responses were separated into E-guides and non E-guides (n=86 and n=181, respectively).  Overall, only 5.81% of e-Guides and 8.84% of non E-guides had never created e-learning resources.  </w:t>
      </w:r>
    </w:p>
    <w:p w:rsidR="00291E20" w:rsidRDefault="00291E20" w:rsidP="00313C2B">
      <w:pPr>
        <w:pStyle w:val="BCSParagraph"/>
      </w:pPr>
    </w:p>
    <w:p w:rsidR="00291E20" w:rsidRDefault="00291E20" w:rsidP="00313C2B">
      <w:pPr>
        <w:pStyle w:val="BCSParagraph"/>
      </w:pPr>
      <w:r>
        <w:t>The most frequently cited software was Microsoft Word (94.19% of E-guides and 83.98% of non E-guides).  This was followed by PowerPoint (88.37% of E-guides and 74.03% of non E-guides), and Hot Potatoes (59.30% of E-guides and 25.97% of non E-guides).  Course Genie was least used; 9.30% of E-guides and 4.97% of non E-guides.</w:t>
      </w:r>
    </w:p>
    <w:p w:rsidR="00313C2B" w:rsidRDefault="00313C2B" w:rsidP="00313C2B">
      <w:pPr>
        <w:pStyle w:val="BCSParagraph"/>
      </w:pPr>
    </w:p>
    <w:p w:rsidR="00291E20" w:rsidRDefault="00291E20" w:rsidP="00291E20">
      <w:pPr>
        <w:contextualSpacing/>
      </w:pPr>
    </w:p>
    <w:p w:rsidR="00291E20" w:rsidRPr="00294C97" w:rsidRDefault="00291E20" w:rsidP="00313C2B">
      <w:pPr>
        <w:pStyle w:val="BCSTableheadings"/>
      </w:pPr>
      <w:bookmarkStart w:id="91" w:name="_Toc256332136"/>
      <w:r w:rsidRPr="00294C97">
        <w:t>Figure 15: Practitioners use of technology to support learning-related activities</w:t>
      </w:r>
      <w:bookmarkEnd w:id="91"/>
      <w:r w:rsidRPr="00294C97">
        <w:t xml:space="preserve"> </w:t>
      </w:r>
    </w:p>
    <w:p w:rsidR="00291E20" w:rsidRDefault="002102AA" w:rsidP="00291E20">
      <w:pPr>
        <w:ind w:left="-567"/>
        <w:contextualSpacing/>
      </w:pPr>
      <w:r>
        <w:rPr>
          <w:noProof/>
        </w:rPr>
        <w:drawing>
          <wp:inline distT="0" distB="0" distL="0" distR="0">
            <wp:extent cx="6654800" cy="46818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srcRect/>
                    <a:stretch>
                      <a:fillRect/>
                    </a:stretch>
                  </pic:blipFill>
                  <pic:spPr bwMode="auto">
                    <a:xfrm>
                      <a:off x="0" y="0"/>
                      <a:ext cx="6654800" cy="4681855"/>
                    </a:xfrm>
                    <a:prstGeom prst="rect">
                      <a:avLst/>
                    </a:prstGeom>
                    <a:noFill/>
                    <a:ln w="9525">
                      <a:noFill/>
                      <a:miter lim="800000"/>
                      <a:headEnd/>
                      <a:tailEnd/>
                    </a:ln>
                  </pic:spPr>
                </pic:pic>
              </a:graphicData>
            </a:graphic>
          </wp:inline>
        </w:drawing>
      </w:r>
    </w:p>
    <w:p w:rsidR="00291E20" w:rsidRDefault="00291E20" w:rsidP="00291E20">
      <w:pPr>
        <w:ind w:left="-567"/>
        <w:contextualSpacing/>
      </w:pPr>
    </w:p>
    <w:p w:rsidR="00291E20" w:rsidRPr="004F3B18" w:rsidRDefault="00291E20" w:rsidP="00313C2B">
      <w:pPr>
        <w:pStyle w:val="Heading3"/>
      </w:pPr>
      <w:r w:rsidRPr="004F3B18">
        <w:t>Learning Platforms:</w:t>
      </w:r>
    </w:p>
    <w:p w:rsidR="00291E20" w:rsidRDefault="00291E20" w:rsidP="00313C2B">
      <w:pPr>
        <w:pStyle w:val="BCSParagraph"/>
      </w:pPr>
      <w:r>
        <w:t xml:space="preserve">Overall, 51.65% of practitioners stated that they had access to a learning platform, 28.94% stated that they did not have access and 17.95% did not know.  When looking more closely at the data, proportionately more E-guides had access than non E-guides; 60.47% of E-guides had access, whereas 46.41% of non E-guides did not.  </w:t>
      </w:r>
    </w:p>
    <w:p w:rsidR="00291E20" w:rsidRDefault="00291E20" w:rsidP="00313C2B">
      <w:pPr>
        <w:pStyle w:val="BCSParagraph"/>
      </w:pPr>
    </w:p>
    <w:p w:rsidR="00291E20" w:rsidRDefault="00291E20" w:rsidP="00313C2B">
      <w:pPr>
        <w:pStyle w:val="BCSParagraph"/>
      </w:pPr>
      <w:r>
        <w:t>When asked whether</w:t>
      </w:r>
      <w:r w:rsidRPr="00811FDB">
        <w:t xml:space="preserve"> there </w:t>
      </w:r>
      <w:r>
        <w:t xml:space="preserve">was </w:t>
      </w:r>
      <w:r w:rsidRPr="00811FDB">
        <w:t xml:space="preserve">a personal area available to </w:t>
      </w:r>
      <w:r>
        <w:t>practitioners</w:t>
      </w:r>
      <w:r w:rsidRPr="00811FDB">
        <w:t xml:space="preserve">, to which </w:t>
      </w:r>
      <w:r>
        <w:t>they could</w:t>
      </w:r>
      <w:r w:rsidRPr="00811FDB">
        <w:t xml:space="preserve"> upload and store </w:t>
      </w:r>
      <w:r>
        <w:t xml:space="preserve">their </w:t>
      </w:r>
      <w:r w:rsidRPr="00811FDB">
        <w:t>work</w:t>
      </w:r>
      <w:r>
        <w:t>.  Of the 189 practitioners responding to this question, 61.38% stated that they did, 21.16% did not, and 17.46% did not know.   When asked whether, if such an area was available they would use it, 33.72% of E-guides said they would frequently, 26.74% sometimes would, 4.65% wouldn’t have time, and 1.16% would choose not to use such a facility.</w:t>
      </w:r>
    </w:p>
    <w:p w:rsidR="00291E20" w:rsidRDefault="00291E20" w:rsidP="00313C2B">
      <w:pPr>
        <w:pStyle w:val="BCSParagraph"/>
      </w:pPr>
    </w:p>
    <w:p w:rsidR="00291E20" w:rsidRDefault="00291E20" w:rsidP="00313C2B">
      <w:pPr>
        <w:pStyle w:val="BCSParagraph"/>
      </w:pPr>
      <w:r>
        <w:t>In terms of non E-guides, 19.89% would use a personal area frequently if it were available, 26.52% would use it sometimes, 11.60% wouldn’t have time and 2.21% would choose not to use this type of facility.  Overall, 33.72% of E-guides and 39.78% of non E-guides did not respond to this question.</w:t>
      </w:r>
    </w:p>
    <w:p w:rsidR="00291E20" w:rsidRDefault="00291E20" w:rsidP="00313C2B">
      <w:pPr>
        <w:pStyle w:val="BCSParagraph"/>
      </w:pPr>
    </w:p>
    <w:p w:rsidR="00291E20" w:rsidRDefault="00291E20" w:rsidP="00313C2B">
      <w:pPr>
        <w:pStyle w:val="BCSParagraph"/>
      </w:pPr>
      <w:r>
        <w:t xml:space="preserve">When compared to the results of the 2008/09 survey, learning platform access seems to have fallen; 72% reported they had access to a learning platform compared to 61.38% in 2009/10.  </w:t>
      </w:r>
    </w:p>
    <w:p w:rsidR="00291E20" w:rsidRPr="00E47DB4" w:rsidRDefault="00291E20" w:rsidP="00313C2B">
      <w:pPr>
        <w:pStyle w:val="Heading2"/>
        <w:rPr>
          <w:i/>
        </w:rPr>
      </w:pPr>
      <w:r>
        <w:br w:type="page"/>
      </w:r>
      <w:bookmarkStart w:id="92" w:name="_Toc257276015"/>
      <w:r w:rsidRPr="00E47DB4">
        <w:t>Continued Professional Development (CPD)</w:t>
      </w:r>
      <w:bookmarkEnd w:id="92"/>
    </w:p>
    <w:p w:rsidR="00291E20" w:rsidRDefault="00291E20" w:rsidP="00313C2B">
      <w:pPr>
        <w:pStyle w:val="BCSParagraph"/>
      </w:pPr>
      <w:r>
        <w:t>This section of the survey sought to explore to what extent practitioners are using ILT in their teaching and the level of skills they have, across a variety of areas.  In order to establish the level of practitioner skills, the survey asked respondents to indicate, on a five-point scale, the extent to which they felt confident and capable across a range of pre-defined skill areas.  Respondents were asked to consider the following skill levels:</w:t>
      </w:r>
    </w:p>
    <w:p w:rsidR="00291E20" w:rsidRDefault="00291E20" w:rsidP="00313C2B">
      <w:pPr>
        <w:pStyle w:val="BCSParagraph"/>
      </w:pPr>
    </w:p>
    <w:p w:rsidR="00291E20" w:rsidRDefault="00291E20" w:rsidP="00313C2B">
      <w:pPr>
        <w:pStyle w:val="BCSParagraph"/>
      </w:pPr>
      <w:r w:rsidRPr="00C37DDE">
        <w:rPr>
          <w:b/>
        </w:rPr>
        <w:t>None;</w:t>
      </w:r>
      <w:r>
        <w:t xml:space="preserve"> I have no skills in the area</w:t>
      </w:r>
    </w:p>
    <w:p w:rsidR="00291E20" w:rsidRDefault="00291E20" w:rsidP="00313C2B">
      <w:pPr>
        <w:pStyle w:val="BCSParagraph"/>
      </w:pPr>
      <w:r w:rsidRPr="00C37DDE">
        <w:rPr>
          <w:b/>
        </w:rPr>
        <w:t>Initiating;</w:t>
      </w:r>
      <w:r>
        <w:t xml:space="preserve"> I have some knowledge of how to do this, but would require support or further training to feel confident in using this on my own</w:t>
      </w:r>
    </w:p>
    <w:p w:rsidR="00291E20" w:rsidRDefault="00291E20" w:rsidP="00313C2B">
      <w:pPr>
        <w:pStyle w:val="BCSParagraph"/>
      </w:pPr>
      <w:r w:rsidRPr="00C37DDE">
        <w:rPr>
          <w:b/>
        </w:rPr>
        <w:t>Implementing;</w:t>
      </w:r>
      <w:r>
        <w:t xml:space="preserve"> I can do this on my own and only require occasional support</w:t>
      </w:r>
    </w:p>
    <w:p w:rsidR="00291E20" w:rsidRDefault="00291E20" w:rsidP="00313C2B">
      <w:pPr>
        <w:pStyle w:val="BCSParagraph"/>
      </w:pPr>
      <w:r w:rsidRPr="00C37DDE">
        <w:rPr>
          <w:b/>
        </w:rPr>
        <w:t>Embedding in Practice</w:t>
      </w:r>
      <w:r>
        <w:t xml:space="preserve">; I can do this confidently and use it regularly in my teaching practices </w:t>
      </w:r>
    </w:p>
    <w:p w:rsidR="00291E20" w:rsidRDefault="00291E20" w:rsidP="00313C2B">
      <w:pPr>
        <w:pStyle w:val="BCSParagraph"/>
      </w:pPr>
      <w:r w:rsidRPr="00C37DDE">
        <w:rPr>
          <w:b/>
        </w:rPr>
        <w:t>Developing new uses;</w:t>
      </w:r>
      <w:r>
        <w:t xml:space="preserve"> I can do this confidently to the extent that I am developing new ways of implementation</w:t>
      </w:r>
    </w:p>
    <w:p w:rsidR="00291E20" w:rsidRDefault="00291E20" w:rsidP="00313C2B">
      <w:pPr>
        <w:pStyle w:val="BCSParagraph"/>
      </w:pPr>
    </w:p>
    <w:p w:rsidR="00291E20" w:rsidRDefault="00291E20" w:rsidP="00313C2B">
      <w:pPr>
        <w:pStyle w:val="BCSParagraph"/>
      </w:pPr>
      <w:r>
        <w:t>Overall, based upon all E-guide responses</w:t>
      </w:r>
      <w:r>
        <w:rPr>
          <w:rStyle w:val="FootnoteReference"/>
        </w:rPr>
        <w:footnoteReference w:id="19"/>
      </w:r>
      <w:r>
        <w:t>, the greatest proportion fell at the level of ‘embedding in practice’, meaning that practitioners felt they could do the stated activity confidently and employed in regularly in their teaching practices (33.01% of all responses).  This was followed by ‘developing new uses’, the category within which 26.21% of all responses fell, whilst 19.32% of all responses fell within the category ‘implementing’, meaning they can carry out the activity on their own but occasionally required support.</w:t>
      </w:r>
    </w:p>
    <w:p w:rsidR="00291E20" w:rsidRDefault="00291E20" w:rsidP="00313C2B">
      <w:pPr>
        <w:pStyle w:val="BCSParagraph"/>
      </w:pPr>
    </w:p>
    <w:p w:rsidR="00291E20" w:rsidRDefault="00291E20" w:rsidP="00313C2B">
      <w:pPr>
        <w:pStyle w:val="BCSParagraph"/>
      </w:pPr>
      <w:r>
        <w:t>When looking at all non E-guide responses,</w:t>
      </w:r>
      <w:r>
        <w:rPr>
          <w:rStyle w:val="FootnoteReference"/>
        </w:rPr>
        <w:footnoteReference w:id="20"/>
      </w:r>
      <w:r>
        <w:t xml:space="preserve"> the greatest proportion fell at the level of ‘embedding in practice’, meaning that practitioners felt they could do the stated activity confidently and employed in regularly in their teaching practices (29.07% of all responses).   The second most frequently occurring response was ‘implementing’, meaning they can carry out the activity on their own but occasionally required support (19.25%).  The third most frequently occurring response was ‘initiating’, meaning that whilst practitioners had some knowledge of how to do this, they would require support or further training to feel confident in using this on their own (18.19%).</w:t>
      </w:r>
    </w:p>
    <w:p w:rsidR="00291E20" w:rsidRDefault="00291E20" w:rsidP="00313C2B">
      <w:pPr>
        <w:pStyle w:val="BCSParagraph"/>
      </w:pPr>
    </w:p>
    <w:p w:rsidR="00291E20" w:rsidRDefault="00291E20" w:rsidP="00313C2B">
      <w:pPr>
        <w:pStyle w:val="BCSParagraph"/>
      </w:pPr>
      <w:r>
        <w:t xml:space="preserve">When looking at across which each skill category individually, the following </w:t>
      </w:r>
      <w:r w:rsidR="00313C2B">
        <w:t>characterises E-Guides</w:t>
      </w:r>
    </w:p>
    <w:p w:rsidR="00291E20" w:rsidRDefault="00291E20" w:rsidP="00291E20">
      <w:pPr>
        <w:contextualSpacing/>
      </w:pPr>
    </w:p>
    <w:p w:rsidR="00291E20" w:rsidRDefault="00291E20" w:rsidP="00313C2B">
      <w:pPr>
        <w:pStyle w:val="BCSBulletparagraph"/>
      </w:pPr>
      <w:r>
        <w:t>Across the following categories, most E-guides said they were ‘developing new uses’;</w:t>
      </w:r>
    </w:p>
    <w:p w:rsidR="00291E20" w:rsidRDefault="00291E20" w:rsidP="00313C2B">
      <w:pPr>
        <w:pStyle w:val="BCSBulletlevel2"/>
      </w:pPr>
      <w:r>
        <w:t xml:space="preserve">General use of ICT, such as </w:t>
      </w:r>
      <w:r w:rsidRPr="00406C73">
        <w:t>word processing, spreadsheets and e-mail</w:t>
      </w:r>
      <w:r>
        <w:t xml:space="preserve"> (50%)</w:t>
      </w:r>
    </w:p>
    <w:p w:rsidR="00291E20" w:rsidRDefault="00291E20" w:rsidP="00313C2B">
      <w:pPr>
        <w:pStyle w:val="BCSBulletlevel2"/>
      </w:pPr>
      <w:r w:rsidRPr="00406C73">
        <w:t>Using ICT with learners in the classroom</w:t>
      </w:r>
      <w:r>
        <w:t xml:space="preserve"> (41.86%)</w:t>
      </w:r>
    </w:p>
    <w:p w:rsidR="00291E20" w:rsidRDefault="00291E20" w:rsidP="00313C2B">
      <w:pPr>
        <w:pStyle w:val="BCSBulletparagraph"/>
        <w:numPr>
          <w:ilvl w:val="0"/>
          <w:numId w:val="0"/>
        </w:numPr>
        <w:ind w:left="1077"/>
      </w:pPr>
    </w:p>
    <w:p w:rsidR="00291E20" w:rsidRDefault="00291E20" w:rsidP="00313C2B">
      <w:pPr>
        <w:pStyle w:val="BCSBulletparagraph"/>
      </w:pPr>
      <w:r>
        <w:t>Across the following categories, most E-guides said they were ‘embedding in practice’;</w:t>
      </w:r>
    </w:p>
    <w:p w:rsidR="00291E20" w:rsidRDefault="00291E20" w:rsidP="00313C2B">
      <w:pPr>
        <w:pStyle w:val="BCSBulletlevel2"/>
      </w:pPr>
      <w:r>
        <w:t xml:space="preserve">Knowledge about how to harness technology for the management and delivery of learning (37.21%) </w:t>
      </w:r>
    </w:p>
    <w:p w:rsidR="00291E20" w:rsidRDefault="00291E20" w:rsidP="00313C2B">
      <w:pPr>
        <w:pStyle w:val="BCSBulletlevel2"/>
      </w:pPr>
      <w:r>
        <w:t>Using ICT to manage their workload (43.02%)</w:t>
      </w:r>
    </w:p>
    <w:p w:rsidR="00291E20" w:rsidRDefault="00291E20" w:rsidP="00313C2B">
      <w:pPr>
        <w:pStyle w:val="BCSBulletlevel2"/>
      </w:pPr>
      <w:r>
        <w:t>Use of ICT for learner data collection/collation and analysis (43.02%)</w:t>
      </w:r>
    </w:p>
    <w:p w:rsidR="00291E20" w:rsidRDefault="00291E20" w:rsidP="00313C2B">
      <w:pPr>
        <w:pStyle w:val="BCSBulletlevel2"/>
      </w:pPr>
      <w:r w:rsidRPr="00406C73">
        <w:t>Skills in using ICT to develop learning materials</w:t>
      </w:r>
      <w:r>
        <w:t xml:space="preserve"> (43.02%)</w:t>
      </w:r>
    </w:p>
    <w:p w:rsidR="00291E20" w:rsidRDefault="00291E20" w:rsidP="00313C2B">
      <w:pPr>
        <w:pStyle w:val="BCSBulletlevel2"/>
      </w:pPr>
      <w:r w:rsidRPr="00406C73">
        <w:t>Using sp</w:t>
      </w:r>
      <w:r>
        <w:t>ecialist software packages in their</w:t>
      </w:r>
      <w:r w:rsidRPr="00406C73">
        <w:t xml:space="preserve"> subject area[s]</w:t>
      </w:r>
      <w:r>
        <w:t xml:space="preserve"> (30.23%)</w:t>
      </w:r>
    </w:p>
    <w:p w:rsidR="00291E20" w:rsidRDefault="00291E20" w:rsidP="00313C2B">
      <w:pPr>
        <w:pStyle w:val="BCSBulletlevel2"/>
      </w:pPr>
      <w:r w:rsidRPr="00406C73">
        <w:t>Sharing and reusing of digital/electronic content</w:t>
      </w:r>
      <w:r>
        <w:t xml:space="preserve"> (33.72%)</w:t>
      </w:r>
    </w:p>
    <w:p w:rsidR="00291E20" w:rsidRDefault="00291E20" w:rsidP="00313C2B">
      <w:pPr>
        <w:pStyle w:val="BCSBulletlevel2"/>
      </w:pPr>
      <w:r w:rsidRPr="00406C73">
        <w:t>Uploading content to a learning p</w:t>
      </w:r>
      <w:r>
        <w:t xml:space="preserve">latform (24.42%) </w:t>
      </w:r>
    </w:p>
    <w:p w:rsidR="00291E20" w:rsidRDefault="00291E20" w:rsidP="00313C2B">
      <w:pPr>
        <w:pStyle w:val="BCSBulletlevel2"/>
      </w:pPr>
      <w:r>
        <w:t>Locating and using online resources (40.70%)</w:t>
      </w:r>
    </w:p>
    <w:p w:rsidR="00291E20" w:rsidRDefault="00291E20" w:rsidP="00313C2B">
      <w:pPr>
        <w:pStyle w:val="BCSBulletlevel2"/>
        <w:numPr>
          <w:ilvl w:val="0"/>
          <w:numId w:val="0"/>
        </w:numPr>
        <w:ind w:left="1440"/>
      </w:pPr>
    </w:p>
    <w:p w:rsidR="00291E20" w:rsidRDefault="00291E20" w:rsidP="00313C2B">
      <w:pPr>
        <w:pStyle w:val="BCSBulletparagraph"/>
      </w:pPr>
      <w:r>
        <w:t>Across the following categories, most E-guides said they were ‘implementing’;</w:t>
      </w:r>
    </w:p>
    <w:p w:rsidR="00291E20" w:rsidRDefault="00291E20" w:rsidP="00313C2B">
      <w:pPr>
        <w:pStyle w:val="BCSBulletlevel2"/>
      </w:pPr>
      <w:r w:rsidRPr="00AA53CD">
        <w:t>Application of</w:t>
      </w:r>
      <w:r>
        <w:t xml:space="preserve"> new and emerging technologies, </w:t>
      </w:r>
      <w:r w:rsidRPr="00AA53CD">
        <w:t>e.g. blogs, wikis, mobile ph</w:t>
      </w:r>
      <w:r>
        <w:t>one coverage, social networking (38.37%)</w:t>
      </w:r>
    </w:p>
    <w:p w:rsidR="00291E20" w:rsidRDefault="00291E20" w:rsidP="00313C2B">
      <w:pPr>
        <w:pStyle w:val="BCSBulletparagraph"/>
        <w:numPr>
          <w:ilvl w:val="0"/>
          <w:numId w:val="0"/>
        </w:numPr>
        <w:ind w:left="1077"/>
      </w:pPr>
    </w:p>
    <w:p w:rsidR="00291E20" w:rsidRDefault="00291E20" w:rsidP="00313C2B">
      <w:pPr>
        <w:pStyle w:val="BCSBulletparagraph"/>
      </w:pPr>
      <w:r>
        <w:t>Across the following categories, most E-guides said they were ‘initiating’;</w:t>
      </w:r>
    </w:p>
    <w:p w:rsidR="00291E20" w:rsidRDefault="00291E20" w:rsidP="00313C2B">
      <w:pPr>
        <w:pStyle w:val="BCSBulletlevel2"/>
      </w:pPr>
      <w:r w:rsidRPr="00AA53CD">
        <w:t>Developing new on-line electronic learning materials</w:t>
      </w:r>
      <w:r>
        <w:t xml:space="preserve"> (26.74%)</w:t>
      </w:r>
    </w:p>
    <w:p w:rsidR="00291E20" w:rsidRDefault="00291E20" w:rsidP="00313C2B">
      <w:pPr>
        <w:pStyle w:val="BCSBulletlevel2"/>
      </w:pPr>
      <w:r>
        <w:t>Teaching and facilitating online (25.58%)</w:t>
      </w:r>
    </w:p>
    <w:p w:rsidR="00291E20" w:rsidRDefault="00291E20" w:rsidP="00291E20">
      <w:pPr>
        <w:contextualSpacing/>
      </w:pPr>
    </w:p>
    <w:p w:rsidR="00291E20" w:rsidRDefault="00291E20" w:rsidP="00313C2B">
      <w:pPr>
        <w:pStyle w:val="BCSParagraph"/>
      </w:pPr>
      <w:r>
        <w:t xml:space="preserve">When looking at across which each skill category individually, the following </w:t>
      </w:r>
      <w:r w:rsidR="00313C2B">
        <w:t xml:space="preserve">characterises staff who are not </w:t>
      </w:r>
      <w:r>
        <w:t>E-guides:</w:t>
      </w:r>
    </w:p>
    <w:p w:rsidR="00291E20" w:rsidRDefault="00291E20" w:rsidP="00291E20">
      <w:pPr>
        <w:contextualSpacing/>
      </w:pPr>
    </w:p>
    <w:p w:rsidR="00291E20" w:rsidRDefault="00291E20" w:rsidP="00313C2B">
      <w:pPr>
        <w:pStyle w:val="BCSBulletparagraph"/>
      </w:pPr>
      <w:r>
        <w:t>Across the following categories, most non E-guides said they were ‘embedding in practice;</w:t>
      </w:r>
    </w:p>
    <w:p w:rsidR="00291E20" w:rsidRDefault="00291E20" w:rsidP="00313C2B">
      <w:pPr>
        <w:pStyle w:val="BCSBulletlevel2"/>
      </w:pPr>
      <w:r>
        <w:t>Using ICT to manage their workload (43.65%)</w:t>
      </w:r>
    </w:p>
    <w:p w:rsidR="00291E20" w:rsidRDefault="00291E20" w:rsidP="00313C2B">
      <w:pPr>
        <w:pStyle w:val="BCSBulletlevel2"/>
      </w:pPr>
      <w:r>
        <w:t>Use of ICT for learner data collection/collation and analysis (32.04%)</w:t>
      </w:r>
    </w:p>
    <w:p w:rsidR="00291E20" w:rsidRDefault="00291E20" w:rsidP="00313C2B">
      <w:pPr>
        <w:pStyle w:val="BCSBulletlevel2"/>
      </w:pPr>
      <w:r>
        <w:t>General use of ICT, e.g. word processing, spreadsheets and e-mail (47.51%)</w:t>
      </w:r>
    </w:p>
    <w:p w:rsidR="00291E20" w:rsidRDefault="00291E20" w:rsidP="00313C2B">
      <w:pPr>
        <w:pStyle w:val="BCSBulletlevel2"/>
      </w:pPr>
      <w:r>
        <w:t>Skills in using ICT to develop learning materials (42.54%)</w:t>
      </w:r>
    </w:p>
    <w:p w:rsidR="00291E20" w:rsidRDefault="00291E20" w:rsidP="00313C2B">
      <w:pPr>
        <w:pStyle w:val="BCSBulletlevel2"/>
      </w:pPr>
      <w:r>
        <w:t>Using ICT with learners in the classroom (35.91%)</w:t>
      </w:r>
    </w:p>
    <w:p w:rsidR="00291E20" w:rsidRDefault="00291E20" w:rsidP="00313C2B">
      <w:pPr>
        <w:pStyle w:val="BCSBulletlevel2"/>
      </w:pPr>
      <w:r>
        <w:t>Using specialist software packages in their subject area[s] (30.39%)</w:t>
      </w:r>
    </w:p>
    <w:p w:rsidR="00291E20" w:rsidRDefault="00291E20" w:rsidP="00313C2B">
      <w:pPr>
        <w:pStyle w:val="BCSBulletlevel2"/>
      </w:pPr>
      <w:r w:rsidRPr="00406C73">
        <w:t>Sharing and reusing of digital/electronic content</w:t>
      </w:r>
      <w:r>
        <w:t xml:space="preserve"> (30.94%)</w:t>
      </w:r>
    </w:p>
    <w:p w:rsidR="00291E20" w:rsidRDefault="00291E20" w:rsidP="00313C2B">
      <w:pPr>
        <w:pStyle w:val="BCSBulletlevel2"/>
      </w:pPr>
      <w:r>
        <w:t>Locating and using online resources (33.70%)</w:t>
      </w:r>
    </w:p>
    <w:p w:rsidR="00291E20" w:rsidRDefault="00291E20" w:rsidP="00313C2B">
      <w:pPr>
        <w:pStyle w:val="BCSBulletlevel2"/>
      </w:pPr>
    </w:p>
    <w:p w:rsidR="00291E20" w:rsidRDefault="00291E20" w:rsidP="00313C2B">
      <w:pPr>
        <w:pStyle w:val="BCSBulletparagraph"/>
      </w:pPr>
      <w:r>
        <w:t>Across the following categories, most non E-guides said they were ‘implementing’;</w:t>
      </w:r>
    </w:p>
    <w:p w:rsidR="00291E20" w:rsidRDefault="00291E20" w:rsidP="00313C2B">
      <w:pPr>
        <w:pStyle w:val="BCSBulletlevel2"/>
      </w:pPr>
      <w:r>
        <w:t>Knowledge about how to harness technology for the management and delivery of learning (32.60%)</w:t>
      </w:r>
    </w:p>
    <w:p w:rsidR="00291E20" w:rsidRDefault="00291E20" w:rsidP="00291E20">
      <w:pPr>
        <w:contextualSpacing/>
      </w:pPr>
    </w:p>
    <w:p w:rsidR="00291E20" w:rsidRDefault="00291E20" w:rsidP="00313C2B">
      <w:pPr>
        <w:pStyle w:val="BCSBulletparagraph"/>
      </w:pPr>
      <w:r>
        <w:t>Across the following categories, most non E-guides said they were ‘initiating’;</w:t>
      </w:r>
    </w:p>
    <w:p w:rsidR="00291E20" w:rsidRDefault="00291E20" w:rsidP="00313C2B">
      <w:pPr>
        <w:pStyle w:val="BCSBulletlevel2"/>
      </w:pPr>
      <w:r w:rsidRPr="00AA53CD">
        <w:t>Application of</w:t>
      </w:r>
      <w:r>
        <w:t xml:space="preserve"> new and emerging technologies, </w:t>
      </w:r>
      <w:r w:rsidRPr="00AA53CD">
        <w:t>e.g. blogs, wikis, mobile ph</w:t>
      </w:r>
      <w:r>
        <w:t>one coverage, social networking (34.25%)</w:t>
      </w:r>
    </w:p>
    <w:p w:rsidR="00291E20" w:rsidRDefault="00291E20" w:rsidP="00313C2B">
      <w:pPr>
        <w:pStyle w:val="BCSBulletlevel2"/>
      </w:pPr>
      <w:r w:rsidRPr="00AA53CD">
        <w:t>Developing new on-line electronic learning materials</w:t>
      </w:r>
      <w:r>
        <w:t xml:space="preserve"> (29.83%)</w:t>
      </w:r>
    </w:p>
    <w:p w:rsidR="00291E20" w:rsidRDefault="00291E20" w:rsidP="00291E20">
      <w:pPr>
        <w:ind w:left="1080"/>
        <w:contextualSpacing/>
      </w:pPr>
    </w:p>
    <w:p w:rsidR="00291E20" w:rsidRDefault="00291E20" w:rsidP="00313C2B">
      <w:pPr>
        <w:pStyle w:val="BCSBulletparagraph"/>
      </w:pPr>
      <w:r>
        <w:t>Across the following categories, most non E-guides said they had no skills;</w:t>
      </w:r>
    </w:p>
    <w:p w:rsidR="00291E20" w:rsidRDefault="00291E20" w:rsidP="00313C2B">
      <w:pPr>
        <w:pStyle w:val="BCSBulletlevel2"/>
      </w:pPr>
      <w:r>
        <w:t>Teaching and facilitating online (36.46%)</w:t>
      </w:r>
    </w:p>
    <w:p w:rsidR="00291E20" w:rsidRDefault="00291E20" w:rsidP="00313C2B">
      <w:pPr>
        <w:pStyle w:val="BCSBulletlevel2"/>
      </w:pPr>
      <w:r w:rsidRPr="00406C73">
        <w:t>Uploading content to a learning p</w:t>
      </w:r>
      <w:r>
        <w:t>latform (35.36%)</w:t>
      </w:r>
    </w:p>
    <w:p w:rsidR="00291E20" w:rsidRDefault="00291E20" w:rsidP="00313C2B">
      <w:pPr>
        <w:pStyle w:val="BCSBulletlevel2"/>
        <w:numPr>
          <w:ilvl w:val="0"/>
          <w:numId w:val="0"/>
        </w:numPr>
        <w:ind w:left="1440"/>
      </w:pPr>
    </w:p>
    <w:p w:rsidR="00291E20" w:rsidRDefault="00291E20" w:rsidP="00291E20">
      <w:pPr>
        <w:contextualSpacing/>
      </w:pPr>
    </w:p>
    <w:p w:rsidR="00291E20" w:rsidRPr="001F63DB" w:rsidRDefault="00291E20" w:rsidP="00313C2B">
      <w:pPr>
        <w:pStyle w:val="Heading2"/>
      </w:pPr>
      <w:r w:rsidRPr="001F63DB">
        <w:t>Access and Support:</w:t>
      </w:r>
    </w:p>
    <w:p w:rsidR="00291E20" w:rsidRDefault="00291E20" w:rsidP="00313C2B">
      <w:pPr>
        <w:pStyle w:val="BCSParagraph"/>
      </w:pPr>
      <w:r>
        <w:t xml:space="preserve">In order to assess the level of access and support practitioners received, respondents were asked to indicate their agreement, against a range of </w:t>
      </w:r>
      <w:r w:rsidRPr="000E6FA8">
        <w:t>statements</w:t>
      </w:r>
      <w:r w:rsidRPr="00F8361C">
        <w:t xml:space="preserve"> </w:t>
      </w:r>
      <w:r>
        <w:t xml:space="preserve">relating to </w:t>
      </w:r>
      <w:r w:rsidRPr="000E6FA8">
        <w:t>organisational support for implementation of ILT in teaching practice</w:t>
      </w:r>
      <w:r>
        <w:t xml:space="preserve"> (</w:t>
      </w:r>
      <w:hyperlink w:anchor="_Figure_16:_Access" w:history="1">
        <w:r w:rsidRPr="00B647EC">
          <w:rPr>
            <w:rStyle w:val="Hyperlink"/>
          </w:rPr>
          <w:t>figure 16</w:t>
        </w:r>
      </w:hyperlink>
      <w:r>
        <w:t>).</w:t>
      </w:r>
    </w:p>
    <w:p w:rsidR="00291E20" w:rsidRDefault="00291E20" w:rsidP="00313C2B">
      <w:pPr>
        <w:pStyle w:val="BCSParagraph"/>
      </w:pPr>
    </w:p>
    <w:p w:rsidR="00291E20" w:rsidRDefault="00291E20" w:rsidP="00313C2B">
      <w:pPr>
        <w:pStyle w:val="BCSParagraph"/>
      </w:pPr>
      <w:r>
        <w:t>Overall, most respondents either agreed, or strongly so, that they had</w:t>
      </w:r>
      <w:r w:rsidRPr="00CB3733">
        <w:t xml:space="preserve"> access to training and other professional development </w:t>
      </w:r>
      <w:r>
        <w:t>support (85.71%).  The majority also felt that their organisation provided them</w:t>
      </w:r>
      <w:r w:rsidRPr="00CB3733">
        <w:t xml:space="preserve"> with access to ICT support staff who are able to help </w:t>
      </w:r>
      <w:r>
        <w:t>them</w:t>
      </w:r>
      <w:r w:rsidRPr="00CB3733">
        <w:t xml:space="preserve"> with any problems / issues </w:t>
      </w:r>
      <w:r>
        <w:t>they may</w:t>
      </w:r>
      <w:r w:rsidRPr="00CB3733">
        <w:t xml:space="preserve"> have with ILT equipment</w:t>
      </w:r>
      <w:r>
        <w:t xml:space="preserve"> (83.15%).  </w:t>
      </w:r>
    </w:p>
    <w:p w:rsidR="00291E20" w:rsidRDefault="00291E20" w:rsidP="00291E20">
      <w:pPr>
        <w:contextualSpacing/>
      </w:pPr>
    </w:p>
    <w:p w:rsidR="00291E20" w:rsidRDefault="00291E20" w:rsidP="00313C2B">
      <w:pPr>
        <w:pStyle w:val="BCSParagraph"/>
      </w:pPr>
      <w:r>
        <w:t>Around three quarters of respondents also agreed/ strongly agreed that their</w:t>
      </w:r>
      <w:r w:rsidRPr="00A7485C">
        <w:t xml:space="preserve"> organis</w:t>
      </w:r>
      <w:r>
        <w:t>ation supports and encourages them</w:t>
      </w:r>
      <w:r w:rsidRPr="00A7485C">
        <w:t xml:space="preserve"> to develop e-learning resources</w:t>
      </w:r>
      <w:r>
        <w:t xml:space="preserve"> (77.29%).  A similar proportion agreed/ strongly agreed that their</w:t>
      </w:r>
      <w:r w:rsidRPr="00A7485C">
        <w:t xml:space="preserve"> organisation provides advice and support in helping staff adopt e-learning</w:t>
      </w:r>
      <w:r>
        <w:t xml:space="preserve"> (75.09%).  </w:t>
      </w:r>
    </w:p>
    <w:p w:rsidR="00291E20" w:rsidRDefault="00291E20" w:rsidP="00313C2B">
      <w:pPr>
        <w:pStyle w:val="BCSParagraph"/>
      </w:pPr>
    </w:p>
    <w:p w:rsidR="00291E20" w:rsidRDefault="00291E20" w:rsidP="00313C2B">
      <w:pPr>
        <w:pStyle w:val="BCSParagraph"/>
      </w:pPr>
      <w:r>
        <w:t xml:space="preserve">The statement which attracted most strong agreement was that practitioners’ organisation enabled </w:t>
      </w:r>
      <w:r w:rsidRPr="000A19BA">
        <w:t xml:space="preserve">access to ICT support staff </w:t>
      </w:r>
      <w:r>
        <w:t>(34.07%), encouragement in the development of e-learning resources (32.23%), and that they had access to training and CPD (31.50%).</w:t>
      </w:r>
    </w:p>
    <w:p w:rsidR="00291E20" w:rsidRDefault="00291E20" w:rsidP="00313C2B">
      <w:pPr>
        <w:pStyle w:val="BCSParagraph"/>
      </w:pPr>
    </w:p>
    <w:p w:rsidR="00291E20" w:rsidRDefault="00291E20" w:rsidP="00313C2B">
      <w:pPr>
        <w:pStyle w:val="BCSParagraph"/>
      </w:pPr>
      <w:r>
        <w:t>Almost half (44.32%) of practitioners were not sure if there was</w:t>
      </w:r>
      <w:r w:rsidRPr="006227DE">
        <w:t xml:space="preserve"> a take up of e-learning</w:t>
      </w:r>
      <w:r>
        <w:t>,</w:t>
      </w:r>
      <w:r w:rsidRPr="006227DE">
        <w:t xml:space="preserve"> beyond the enthusiasts</w:t>
      </w:r>
      <w:r>
        <w:t>, within their organisation.  Three out of 100 practitioners (30.77%) were also not sure if they had</w:t>
      </w:r>
      <w:r w:rsidRPr="00EC2BFA">
        <w:t xml:space="preserve"> access to onsite facilities for personal e-learning (e.g. in a Learning Resource Centre, drop in centres)</w:t>
      </w:r>
      <w:r>
        <w:t>, and 23.81% also either disagreed or strongly disagreed that this was the case.</w:t>
      </w:r>
    </w:p>
    <w:p w:rsidR="00291E20" w:rsidRDefault="00291E20" w:rsidP="00313C2B">
      <w:pPr>
        <w:pStyle w:val="BCSParagraph"/>
      </w:pPr>
    </w:p>
    <w:p w:rsidR="00291E20" w:rsidRDefault="00291E20" w:rsidP="00313C2B">
      <w:pPr>
        <w:pStyle w:val="BCSParagraph"/>
      </w:pPr>
      <w:r>
        <w:t xml:space="preserve">The area of </w:t>
      </w:r>
      <w:r w:rsidRPr="00DF6D2E">
        <w:t xml:space="preserve">technical support </w:t>
      </w:r>
      <w:r>
        <w:t xml:space="preserve">for learners </w:t>
      </w:r>
      <w:r w:rsidRPr="00DF6D2E">
        <w:t>(e.g. on-line / help desk / local technician)</w:t>
      </w:r>
      <w:r>
        <w:t xml:space="preserve"> was the area within which opinion was most fragmented; there was an equal proportion of those who expressed agreement/ strong agreement and those who either disagreed/ strongly disagreed (39.19% of practitioners in each case).  It was also the areas with the highest level of strong disagreement (11.72%).</w:t>
      </w:r>
    </w:p>
    <w:p w:rsidR="00291E20" w:rsidRDefault="00291E20" w:rsidP="00291E20">
      <w:pPr>
        <w:contextualSpacing/>
      </w:pPr>
    </w:p>
    <w:p w:rsidR="00291E20" w:rsidRDefault="00291E20" w:rsidP="00291E20">
      <w:pPr>
        <w:contextualSpacing/>
      </w:pPr>
    </w:p>
    <w:p w:rsidR="00291E20" w:rsidRPr="004C608B" w:rsidRDefault="00291E20" w:rsidP="00313C2B">
      <w:pPr>
        <w:pStyle w:val="BCSTableheadings"/>
      </w:pPr>
      <w:bookmarkStart w:id="93" w:name="_Figure_16:_Access"/>
      <w:bookmarkStart w:id="94" w:name="_Toc256332137"/>
      <w:bookmarkEnd w:id="93"/>
      <w:r w:rsidRPr="004C608B">
        <w:t>Figure 16: Access and support provided by practitioners’ organisations</w:t>
      </w:r>
      <w:bookmarkEnd w:id="94"/>
    </w:p>
    <w:p w:rsidR="00313C2B" w:rsidRDefault="002102AA" w:rsidP="00313C2B">
      <w:pPr>
        <w:pStyle w:val="BCSTabletextafter"/>
      </w:pPr>
      <w:r>
        <w:rPr>
          <w:noProof/>
        </w:rPr>
        <w:drawing>
          <wp:inline distT="0" distB="0" distL="0" distR="0">
            <wp:extent cx="6642100" cy="4707255"/>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srcRect/>
                    <a:stretch>
                      <a:fillRect/>
                    </a:stretch>
                  </pic:blipFill>
                  <pic:spPr bwMode="auto">
                    <a:xfrm>
                      <a:off x="0" y="0"/>
                      <a:ext cx="6642100" cy="4707255"/>
                    </a:xfrm>
                    <a:prstGeom prst="rect">
                      <a:avLst/>
                    </a:prstGeom>
                    <a:noFill/>
                    <a:ln w="9525">
                      <a:noFill/>
                      <a:miter lim="800000"/>
                      <a:headEnd/>
                      <a:tailEnd/>
                    </a:ln>
                  </pic:spPr>
                </pic:pic>
              </a:graphicData>
            </a:graphic>
          </wp:inline>
        </w:drawing>
      </w:r>
      <w:r w:rsidR="00291E20" w:rsidRPr="004C608B">
        <w:t xml:space="preserve"> </w:t>
      </w:r>
      <w:r w:rsidR="00291E20">
        <w:t>(</w:t>
      </w:r>
      <w:r w:rsidR="00291E20" w:rsidRPr="00A85C09">
        <w:t>NB: all respondents; n=273</w:t>
      </w:r>
      <w:r w:rsidR="00291E20">
        <w:t>)</w:t>
      </w:r>
      <w:bookmarkStart w:id="95" w:name="_Toc257276016"/>
    </w:p>
    <w:p w:rsidR="00313C2B" w:rsidRDefault="00313C2B" w:rsidP="00313C2B">
      <w:pPr>
        <w:pStyle w:val="BCSTabletextafter"/>
      </w:pPr>
    </w:p>
    <w:p w:rsidR="00291E20" w:rsidRPr="009E1918" w:rsidRDefault="00291E20" w:rsidP="00313C2B">
      <w:pPr>
        <w:pStyle w:val="Heading2"/>
        <w:rPr>
          <w:bCs/>
          <w:iCs/>
        </w:rPr>
      </w:pPr>
      <w:r w:rsidRPr="00313C2B">
        <w:rPr>
          <w:rFonts w:eastAsia="Calibri"/>
        </w:rPr>
        <w:t>Barriers, Enablers and Impacts</w:t>
      </w:r>
      <w:bookmarkEnd w:id="95"/>
    </w:p>
    <w:p w:rsidR="00291E20" w:rsidRPr="008C42AD" w:rsidRDefault="00291E20" w:rsidP="00313C2B">
      <w:pPr>
        <w:pStyle w:val="BCSParagraph"/>
      </w:pPr>
      <w:r w:rsidRPr="008C42AD">
        <w:t>This section of the survey sought to identify practitioner perceptions of the enablers and impacts of ILT and e-learning, in addition to the barriers they face when seeking to integrate technology within their practice.</w:t>
      </w:r>
    </w:p>
    <w:p w:rsidR="00291E20" w:rsidRPr="008C42AD" w:rsidRDefault="00291E20" w:rsidP="00313C2B">
      <w:pPr>
        <w:pStyle w:val="BCSParagraph"/>
      </w:pPr>
    </w:p>
    <w:p w:rsidR="00291E20" w:rsidRPr="008C42AD" w:rsidRDefault="00291E20" w:rsidP="00313C2B">
      <w:pPr>
        <w:pStyle w:val="BCSParagraph"/>
      </w:pPr>
      <w:r w:rsidRPr="008C42AD">
        <w:t>Respondents were asked to rank their agreement against a series of potential positive impacts of ILT upon areas of their teaching practice.  Overall, the majority of practitioners agreed that ILT had positive impact upon some area of their learning; the most frequently occurring response was that of agreement/ strong agreement (61.06%), with disagreement/ strong disagreement occurring much less frequently (6.51%).  However, 31.03% of all responses were indicated that practitioners were not sure.</w:t>
      </w:r>
    </w:p>
    <w:p w:rsidR="00291E20" w:rsidRPr="008C42AD" w:rsidRDefault="00291E20" w:rsidP="00313C2B">
      <w:pPr>
        <w:pStyle w:val="BCSParagraph"/>
      </w:pPr>
    </w:p>
    <w:p w:rsidR="00291E20" w:rsidRPr="008C42AD" w:rsidRDefault="00291E20" w:rsidP="00313C2B">
      <w:pPr>
        <w:pStyle w:val="BCSParagraph"/>
      </w:pPr>
      <w:r w:rsidRPr="008C42AD">
        <w:t>In terms of the impacts experienced by most practitioners, those with which most people agreed/ strongly agreed were;</w:t>
      </w:r>
    </w:p>
    <w:p w:rsidR="00291E20" w:rsidRPr="008C42AD" w:rsidRDefault="00291E20" w:rsidP="00291E20">
      <w:pPr>
        <w:pStyle w:val="PlainText"/>
        <w:rPr>
          <w:rFonts w:asciiTheme="minorHAnsi" w:hAnsiTheme="minorHAnsi"/>
        </w:rPr>
      </w:pPr>
    </w:p>
    <w:p w:rsidR="00291E20" w:rsidRPr="008C42AD" w:rsidRDefault="00313C2B" w:rsidP="00313C2B">
      <w:pPr>
        <w:pStyle w:val="BCSBulletparagraph"/>
      </w:pPr>
      <w:r>
        <w:t>I</w:t>
      </w:r>
      <w:r w:rsidR="00291E20" w:rsidRPr="008C42AD">
        <w:t>LT has enabled improved opportunities for innovation in teaching learning (84.98%)</w:t>
      </w:r>
    </w:p>
    <w:p w:rsidR="00291E20" w:rsidRPr="008C42AD" w:rsidRDefault="00291E20" w:rsidP="00313C2B">
      <w:pPr>
        <w:pStyle w:val="BCSBulletparagraph"/>
        <w:numPr>
          <w:ilvl w:val="0"/>
          <w:numId w:val="0"/>
        </w:numPr>
        <w:ind w:left="720"/>
      </w:pPr>
    </w:p>
    <w:p w:rsidR="00291E20" w:rsidRPr="008C42AD" w:rsidRDefault="00291E20" w:rsidP="00313C2B">
      <w:pPr>
        <w:pStyle w:val="BCSBulletparagraph"/>
      </w:pPr>
      <w:r w:rsidRPr="008C42AD">
        <w:t>ILT has allowed learners greater choice of learning opportunities (72.53%)</w:t>
      </w:r>
    </w:p>
    <w:p w:rsidR="00291E20" w:rsidRPr="008C42AD" w:rsidRDefault="00291E20" w:rsidP="00313C2B">
      <w:pPr>
        <w:pStyle w:val="BCSBulletparagraph"/>
        <w:numPr>
          <w:ilvl w:val="0"/>
          <w:numId w:val="0"/>
        </w:numPr>
        <w:ind w:left="1077"/>
      </w:pPr>
    </w:p>
    <w:p w:rsidR="00291E20" w:rsidRPr="008C42AD" w:rsidRDefault="00291E20" w:rsidP="00313C2B">
      <w:pPr>
        <w:pStyle w:val="BCSBulletparagraph"/>
      </w:pPr>
      <w:r w:rsidRPr="008C42AD">
        <w:t>ILT has helped support/ enabled the development of new courses (71.43%)</w:t>
      </w:r>
    </w:p>
    <w:p w:rsidR="00291E20" w:rsidRPr="008C42AD" w:rsidRDefault="00291E20" w:rsidP="00313C2B">
      <w:pPr>
        <w:pStyle w:val="BCSBulletparagraph"/>
        <w:numPr>
          <w:ilvl w:val="0"/>
          <w:numId w:val="0"/>
        </w:numPr>
        <w:ind w:left="1077"/>
      </w:pPr>
    </w:p>
    <w:p w:rsidR="00291E20" w:rsidRPr="008C42AD" w:rsidRDefault="00291E20" w:rsidP="00313C2B">
      <w:pPr>
        <w:pStyle w:val="BCSBulletparagraph"/>
      </w:pPr>
      <w:r w:rsidRPr="008C42AD">
        <w:t>ILT has improved administration procedures (70.33%)</w:t>
      </w:r>
    </w:p>
    <w:p w:rsidR="00291E20" w:rsidRPr="008C42AD" w:rsidRDefault="00291E20" w:rsidP="00313C2B">
      <w:pPr>
        <w:pStyle w:val="BCSBulletparagraph"/>
        <w:numPr>
          <w:ilvl w:val="0"/>
          <w:numId w:val="0"/>
        </w:numPr>
        <w:ind w:left="1077"/>
      </w:pPr>
    </w:p>
    <w:p w:rsidR="00291E20" w:rsidRPr="008C42AD" w:rsidRDefault="00291E20" w:rsidP="00313C2B">
      <w:pPr>
        <w:pStyle w:val="BCSBulletparagraph"/>
      </w:pPr>
      <w:r w:rsidRPr="008C42AD">
        <w:t>ILT has made it easier to track learner progress (65.57%)</w:t>
      </w:r>
    </w:p>
    <w:p w:rsidR="00291E20" w:rsidRPr="008C42AD" w:rsidRDefault="00291E20" w:rsidP="00313C2B">
      <w:pPr>
        <w:pStyle w:val="BCSBulletparagraph"/>
        <w:numPr>
          <w:ilvl w:val="0"/>
          <w:numId w:val="0"/>
        </w:numPr>
        <w:ind w:left="720"/>
      </w:pPr>
    </w:p>
    <w:p w:rsidR="00291E20" w:rsidRPr="008C42AD" w:rsidRDefault="00291E20" w:rsidP="00313C2B">
      <w:pPr>
        <w:pStyle w:val="BCSBulletparagraph"/>
      </w:pPr>
      <w:r w:rsidRPr="008C42AD">
        <w:t>ILT has improved learner satisfaction (63.74%)</w:t>
      </w:r>
    </w:p>
    <w:p w:rsidR="00291E20" w:rsidRPr="008C42AD" w:rsidRDefault="00291E20" w:rsidP="00291E20">
      <w:pPr>
        <w:pStyle w:val="PlainText"/>
        <w:rPr>
          <w:rFonts w:asciiTheme="minorHAnsi" w:hAnsiTheme="minorHAnsi"/>
        </w:rPr>
      </w:pPr>
    </w:p>
    <w:p w:rsidR="00291E20" w:rsidRPr="008C42AD" w:rsidRDefault="00291E20" w:rsidP="00291E20">
      <w:pPr>
        <w:pStyle w:val="PlainText"/>
        <w:rPr>
          <w:rFonts w:asciiTheme="minorHAnsi" w:hAnsiTheme="minorHAnsi"/>
        </w:rPr>
      </w:pPr>
    </w:p>
    <w:p w:rsidR="00291E20" w:rsidRPr="008C42AD" w:rsidRDefault="00291E20" w:rsidP="00291E20">
      <w:pPr>
        <w:pStyle w:val="PlainText"/>
        <w:rPr>
          <w:rFonts w:asciiTheme="minorHAnsi" w:hAnsiTheme="minorHAnsi"/>
        </w:rPr>
      </w:pPr>
    </w:p>
    <w:p w:rsidR="00291E20" w:rsidRPr="008C42AD" w:rsidRDefault="00291E20" w:rsidP="00313C2B">
      <w:pPr>
        <w:pStyle w:val="BCSParagraph"/>
      </w:pPr>
      <w:r w:rsidRPr="008C42AD">
        <w:t>The impacts with which respondents disagreed/ strongly disagreed were;</w:t>
      </w:r>
    </w:p>
    <w:p w:rsidR="00291E20" w:rsidRPr="008C42AD" w:rsidRDefault="00291E20" w:rsidP="00313C2B">
      <w:pPr>
        <w:pStyle w:val="BCSParagraph"/>
      </w:pPr>
      <w:r w:rsidRPr="008C42AD">
        <w:t>ILT had led to learners making use of a learning platform, e.g. Moodle, Blackboard, etc. (21.98%)</w:t>
      </w:r>
    </w:p>
    <w:p w:rsidR="00291E20" w:rsidRPr="008C42AD" w:rsidRDefault="00291E20" w:rsidP="00313C2B">
      <w:pPr>
        <w:pStyle w:val="BCSParagraph"/>
      </w:pPr>
    </w:p>
    <w:p w:rsidR="00291E20" w:rsidRPr="008C42AD" w:rsidRDefault="00291E20" w:rsidP="00313C2B">
      <w:pPr>
        <w:pStyle w:val="BCSParagraph"/>
      </w:pPr>
      <w:r w:rsidRPr="008C42AD">
        <w:t>All other areas were disagreed/ strongly disagreed with by fewer than 10% of practitioners in each case</w:t>
      </w:r>
    </w:p>
    <w:p w:rsidR="00291E20" w:rsidRPr="008C42AD" w:rsidRDefault="00291E20" w:rsidP="00291E20">
      <w:pPr>
        <w:pStyle w:val="PlainText"/>
        <w:rPr>
          <w:rFonts w:asciiTheme="minorHAnsi" w:hAnsiTheme="minorHAnsi"/>
        </w:rPr>
      </w:pPr>
    </w:p>
    <w:p w:rsidR="00291E20" w:rsidRPr="008C42AD" w:rsidRDefault="00291E20" w:rsidP="00291E20">
      <w:pPr>
        <w:pStyle w:val="PlainText"/>
        <w:rPr>
          <w:rFonts w:asciiTheme="minorHAnsi" w:hAnsiTheme="minorHAnsi"/>
        </w:rPr>
      </w:pPr>
    </w:p>
    <w:p w:rsidR="00291E20" w:rsidRPr="008C42AD" w:rsidRDefault="00291E20" w:rsidP="00291E20">
      <w:pPr>
        <w:pStyle w:val="PlainText"/>
        <w:rPr>
          <w:rFonts w:asciiTheme="minorHAnsi" w:hAnsiTheme="minorHAnsi"/>
        </w:rPr>
      </w:pPr>
    </w:p>
    <w:p w:rsidR="00291E20" w:rsidRPr="008C42AD" w:rsidRDefault="00291E20" w:rsidP="00313C2B">
      <w:pPr>
        <w:pStyle w:val="BCSParagraph"/>
      </w:pPr>
      <w:r w:rsidRPr="008C42AD">
        <w:t>The impacts about which respondents were most unsure were;</w:t>
      </w:r>
    </w:p>
    <w:p w:rsidR="00291E20" w:rsidRPr="008C42AD" w:rsidRDefault="00291E20" w:rsidP="00291E20">
      <w:pPr>
        <w:pStyle w:val="PlainText"/>
        <w:rPr>
          <w:rFonts w:asciiTheme="minorHAnsi" w:hAnsiTheme="minorHAnsi"/>
        </w:rPr>
      </w:pPr>
    </w:p>
    <w:p w:rsidR="00291E20" w:rsidRPr="008C42AD" w:rsidRDefault="00291E20" w:rsidP="00313C2B">
      <w:pPr>
        <w:pStyle w:val="BCSBulletparagraph"/>
      </w:pPr>
      <w:r w:rsidRPr="008C42AD">
        <w:t>ILT has improved staff satisfaction (47.62%)</w:t>
      </w:r>
    </w:p>
    <w:p w:rsidR="00291E20" w:rsidRPr="008C42AD" w:rsidRDefault="00291E20" w:rsidP="007D717B">
      <w:pPr>
        <w:pStyle w:val="BCSBulletparagraph"/>
        <w:numPr>
          <w:ilvl w:val="0"/>
          <w:numId w:val="0"/>
        </w:numPr>
        <w:ind w:left="1077"/>
      </w:pPr>
    </w:p>
    <w:p w:rsidR="00291E20" w:rsidRPr="008C42AD" w:rsidRDefault="00291E20" w:rsidP="00313C2B">
      <w:pPr>
        <w:pStyle w:val="BCSBulletparagraph"/>
      </w:pPr>
      <w:r w:rsidRPr="008C42AD">
        <w:t>ILT leads to improved learner retention (42.12%)</w:t>
      </w:r>
    </w:p>
    <w:p w:rsidR="00291E20" w:rsidRPr="008C42AD" w:rsidRDefault="00291E20" w:rsidP="007D717B">
      <w:pPr>
        <w:pStyle w:val="BCSBulletparagraph"/>
        <w:numPr>
          <w:ilvl w:val="0"/>
          <w:numId w:val="0"/>
        </w:numPr>
        <w:ind w:left="1077"/>
      </w:pPr>
    </w:p>
    <w:p w:rsidR="00291E20" w:rsidRPr="008C42AD" w:rsidRDefault="00291E20" w:rsidP="00313C2B">
      <w:pPr>
        <w:pStyle w:val="BCSBulletparagraph"/>
      </w:pPr>
      <w:r w:rsidRPr="008C42AD">
        <w:t>ILT has increased instances of learner progression (38.46%)</w:t>
      </w:r>
    </w:p>
    <w:p w:rsidR="00291E20" w:rsidRPr="008C42AD" w:rsidRDefault="00291E20" w:rsidP="007D717B">
      <w:pPr>
        <w:pStyle w:val="BCSBulletparagraph"/>
        <w:numPr>
          <w:ilvl w:val="0"/>
          <w:numId w:val="0"/>
        </w:numPr>
        <w:ind w:left="1077"/>
      </w:pPr>
    </w:p>
    <w:p w:rsidR="00291E20" w:rsidRPr="008C42AD" w:rsidRDefault="00291E20" w:rsidP="00313C2B">
      <w:pPr>
        <w:pStyle w:val="BCSBulletparagraph"/>
      </w:pPr>
      <w:r w:rsidRPr="008C42AD">
        <w:t>ILT has increased quality of IAG available to learners (38.46%)</w:t>
      </w:r>
    </w:p>
    <w:p w:rsidR="00291E20" w:rsidRPr="008C42AD" w:rsidRDefault="00291E20" w:rsidP="007D717B">
      <w:pPr>
        <w:pStyle w:val="BCSBulletparagraph"/>
        <w:numPr>
          <w:ilvl w:val="0"/>
          <w:numId w:val="0"/>
        </w:numPr>
        <w:ind w:left="1077"/>
      </w:pPr>
    </w:p>
    <w:p w:rsidR="00291E20" w:rsidRPr="008C42AD" w:rsidRDefault="00291E20" w:rsidP="00313C2B">
      <w:pPr>
        <w:pStyle w:val="BCSBulletparagraph"/>
      </w:pPr>
      <w:r w:rsidRPr="008C42AD">
        <w:t>ILT had led learners to making use of a learning platform (36.63%)</w:t>
      </w:r>
    </w:p>
    <w:p w:rsidR="00291E20" w:rsidRPr="008C42AD" w:rsidRDefault="00291E20" w:rsidP="00313C2B">
      <w:pPr>
        <w:pStyle w:val="BCSBulletparagraph"/>
        <w:numPr>
          <w:ilvl w:val="0"/>
          <w:numId w:val="0"/>
        </w:numPr>
        <w:ind w:left="1077"/>
      </w:pPr>
    </w:p>
    <w:p w:rsidR="00291E20" w:rsidRPr="008C42AD" w:rsidRDefault="00291E20" w:rsidP="00291E20">
      <w:pPr>
        <w:pStyle w:val="PlainText"/>
        <w:rPr>
          <w:rFonts w:asciiTheme="minorHAnsi" w:hAnsiTheme="minorHAnsi"/>
        </w:rPr>
      </w:pPr>
    </w:p>
    <w:p w:rsidR="00291E20" w:rsidRPr="008C42AD" w:rsidRDefault="00291E20" w:rsidP="00291E20">
      <w:pPr>
        <w:pStyle w:val="PlainText"/>
        <w:rPr>
          <w:rFonts w:asciiTheme="minorHAnsi" w:hAnsiTheme="minorHAnsi"/>
        </w:rPr>
      </w:pPr>
    </w:p>
    <w:p w:rsidR="00291E20" w:rsidRPr="008C42AD" w:rsidRDefault="00291E20" w:rsidP="007D717B">
      <w:pPr>
        <w:pStyle w:val="Heading3"/>
      </w:pPr>
      <w:r w:rsidRPr="008C42AD">
        <w:t>Impact of ILT upon practitioner time:</w:t>
      </w:r>
    </w:p>
    <w:p w:rsidR="00291E20" w:rsidRPr="008C42AD" w:rsidRDefault="00291E20" w:rsidP="00291E20">
      <w:pPr>
        <w:pStyle w:val="PlainText"/>
        <w:rPr>
          <w:rFonts w:asciiTheme="minorHAnsi" w:hAnsiTheme="minorHAnsi"/>
        </w:rPr>
      </w:pPr>
    </w:p>
    <w:p w:rsidR="00291E20" w:rsidRPr="008C42AD" w:rsidRDefault="00291E20" w:rsidP="007D717B">
      <w:pPr>
        <w:pStyle w:val="BCSParagraph"/>
      </w:pPr>
      <w:r w:rsidRPr="008C42AD">
        <w:t>In order to assess the impact of ILT upon practitioner time (defined as time either saved or lost each week as a result of ILT), the survey asked practitioners to indicate, against a list of regular teaching-related activities, how much the application of technology impacted upon time.</w:t>
      </w:r>
    </w:p>
    <w:p w:rsidR="00291E20" w:rsidRPr="008C42AD" w:rsidRDefault="00291E20" w:rsidP="007D717B">
      <w:pPr>
        <w:pStyle w:val="BCSParagraph"/>
      </w:pPr>
      <w:r w:rsidRPr="008C42AD">
        <w:t>Overall, the majority of responses indicated that practitioners felt ILT enabled some degree of time savings and only 15.09% of all response indicated a time loss as a result of using technology.  28.84% of all responses fell within the category indicating that respondents had noted no difference, whilst 10.99% of responses indicated no use of technology within the specified areas.  Overall, the most cited time saving was up to one hour (22.12%).</w:t>
      </w:r>
    </w:p>
    <w:p w:rsidR="00291E20" w:rsidRPr="008C42AD" w:rsidRDefault="00291E20" w:rsidP="007D717B">
      <w:pPr>
        <w:pStyle w:val="BCSParagraph"/>
      </w:pPr>
    </w:p>
    <w:p w:rsidR="00291E20" w:rsidRPr="008C42AD" w:rsidRDefault="00291E20" w:rsidP="007D717B">
      <w:pPr>
        <w:pStyle w:val="BCSParagraph"/>
      </w:pPr>
    </w:p>
    <w:p w:rsidR="00291E20" w:rsidRPr="008C42AD" w:rsidRDefault="00291E20" w:rsidP="007D717B">
      <w:pPr>
        <w:pStyle w:val="BCSParagraph"/>
      </w:pPr>
    </w:p>
    <w:p w:rsidR="00291E20" w:rsidRPr="006D1C4A" w:rsidRDefault="00291E20" w:rsidP="006D1C4A">
      <w:pPr>
        <w:pStyle w:val="BCSParagraph"/>
      </w:pPr>
      <w:r w:rsidRPr="008C42AD">
        <w:t>The activity with which the majority of practitioners saved some degree of time was lesson planning and preparation (64.84%), followed by record keeping (52.38%), lesson delivery (50.55%), Assessment (43.59%), and communicating with learners remotely (41.36%).   Within these, the areas where practitioners most often saved 2 or more hours were lesson planning and preparation (19.78%), record keeping (16.12%), and assessment (11.72%).</w:t>
      </w:r>
    </w:p>
    <w:p w:rsidR="00291E20" w:rsidRDefault="00291E20" w:rsidP="007D717B">
      <w:pPr>
        <w:pStyle w:val="BCSParagraph"/>
      </w:pPr>
      <w:r w:rsidRPr="008C42AD">
        <w:t>Fewer than 7% in all cases indicated a loss of time as a result of the use of technology.</w:t>
      </w:r>
    </w:p>
    <w:p w:rsidR="00291E20" w:rsidRPr="008C42AD" w:rsidRDefault="00291E20" w:rsidP="007D717B">
      <w:pPr>
        <w:pStyle w:val="BCSParagraph"/>
      </w:pPr>
      <w:r w:rsidRPr="008C42AD">
        <w:t>The three activities upon which the application of technology was most often perceived to have made no difference in terms of time savings/ loss were; lesson delivery (36.63%), assessment (35.16%) and record keeping (27.47%).</w:t>
      </w:r>
    </w:p>
    <w:p w:rsidR="00291E20" w:rsidRPr="00291E20" w:rsidRDefault="00291E20" w:rsidP="007D717B">
      <w:pPr>
        <w:pStyle w:val="BCSParagraph"/>
      </w:pPr>
      <w:r w:rsidRPr="008C42AD">
        <w:t>The three most cited areas within which participants did not use technology were; communicating with learners remotely (25.64%), assessment (12.09%), and record keeping (8.42%).</w:t>
      </w:r>
      <w:bookmarkEnd w:id="0"/>
    </w:p>
    <w:sectPr w:rsidR="00291E20" w:rsidRPr="00291E20" w:rsidSect="00E444F8">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559"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FCD" w:rsidRDefault="002E3FCD">
      <w:r>
        <w:separator/>
      </w:r>
    </w:p>
    <w:p w:rsidR="002E3FCD" w:rsidRDefault="002E3FCD"/>
  </w:endnote>
  <w:endnote w:type="continuationSeparator" w:id="0">
    <w:p w:rsidR="002E3FCD" w:rsidRDefault="002E3FCD">
      <w:r>
        <w:continuationSeparator/>
      </w:r>
    </w:p>
    <w:p w:rsidR="002E3FCD" w:rsidRDefault="002E3FC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CD" w:rsidRDefault="002E3FCD">
    <w:pPr>
      <w:pStyle w:val="Footer"/>
    </w:pPr>
  </w:p>
  <w:p w:rsidR="002E3FCD" w:rsidRDefault="002E3FCD"/>
  <w:p w:rsidR="002E3FCD" w:rsidRDefault="002E3FCD"/>
  <w:p w:rsidR="002E3FCD" w:rsidRDefault="002E3FC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CD" w:rsidRDefault="002E3FCD" w:rsidP="002F2FF6">
    <w:pPr>
      <w:pBdr>
        <w:top w:val="single" w:sz="6" w:space="1" w:color="000080"/>
      </w:pBdr>
      <w:tabs>
        <w:tab w:val="center" w:pos="4536"/>
        <w:tab w:val="right" w:pos="9072"/>
        <w:tab w:val="right" w:pos="9214"/>
      </w:tabs>
      <w:spacing w:before="120"/>
      <w:ind w:right="-45"/>
      <w:rPr>
        <w:sz w:val="16"/>
      </w:rPr>
    </w:pPr>
  </w:p>
  <w:p w:rsidR="002E3FCD" w:rsidRDefault="002E3FCD" w:rsidP="005527A5">
    <w:pPr>
      <w:pStyle w:val="BCSFooter"/>
    </w:pPr>
    <w:r>
      <w:t>March 2010</w:t>
    </w:r>
    <w:r>
      <w:tab/>
    </w:r>
    <w:r w:rsidRPr="00CE4D0D">
      <w:t>http://www.becta.org.uk</w:t>
    </w:r>
    <w:r>
      <w:tab/>
    </w:r>
    <w:r w:rsidRPr="00CE4D0D">
      <w:t xml:space="preserve">page </w:t>
    </w:r>
    <w:fldSimple w:instr=" PAGE ">
      <w:r w:rsidR="00972A1E">
        <w:rPr>
          <w:noProof/>
        </w:rPr>
        <w:t>25</w:t>
      </w:r>
    </w:fldSimple>
    <w:r w:rsidRPr="00CE4D0D">
      <w:t xml:space="preserve"> of </w:t>
    </w:r>
    <w:fldSimple w:instr=" NUMPAGES ">
      <w:r w:rsidR="00972A1E">
        <w:rPr>
          <w:noProof/>
        </w:rPr>
        <w:t>25</w:t>
      </w:r>
    </w:fldSimple>
  </w:p>
  <w:p w:rsidR="002E3FCD" w:rsidRPr="00E214D5" w:rsidRDefault="002E3FCD" w:rsidP="005527A5">
    <w:pPr>
      <w:pStyle w:val="BCSFooter"/>
      <w:rPr>
        <w:sz w:val="24"/>
        <w:szCs w:val="24"/>
      </w:rPr>
    </w:pPr>
    <w:r>
      <w:t>© Becta 20010</w:t>
    </w:r>
    <w:r>
      <w:tab/>
    </w:r>
    <w:r w:rsidRPr="00E214D5">
      <w:rPr>
        <w:sz w:val="24"/>
        <w:szCs w:val="24"/>
      </w:rPr>
      <w:t>NOT PROTECTIVELY MARKED</w:t>
    </w:r>
  </w:p>
  <w:p w:rsidR="002E3FCD" w:rsidRDefault="002E3FC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CD" w:rsidRDefault="002E3FCD" w:rsidP="00677FFC">
    <w:pPr>
      <w:pBdr>
        <w:top w:val="single" w:sz="6" w:space="1" w:color="000080"/>
      </w:pBdr>
      <w:tabs>
        <w:tab w:val="center" w:pos="4536"/>
        <w:tab w:val="right" w:pos="9072"/>
        <w:tab w:val="right" w:pos="9214"/>
      </w:tabs>
      <w:spacing w:before="120"/>
      <w:ind w:right="-45"/>
      <w:rPr>
        <w:sz w:val="16"/>
      </w:rPr>
    </w:pPr>
  </w:p>
  <w:p w:rsidR="002E3FCD" w:rsidRDefault="002E3FCD" w:rsidP="002F2FF6">
    <w:pPr>
      <w:pStyle w:val="BCSFooter"/>
    </w:pPr>
    <w:r>
      <w:t>May 2010</w:t>
    </w:r>
    <w:r>
      <w:tab/>
    </w:r>
    <w:r w:rsidRPr="00CE4D0D">
      <w:t>http://www.becta.org.uk</w:t>
    </w:r>
    <w:r>
      <w:tab/>
    </w:r>
    <w:r w:rsidRPr="00CE4D0D">
      <w:t xml:space="preserve">page </w:t>
    </w:r>
    <w:fldSimple w:instr=" PAGE ">
      <w:r w:rsidR="00972A1E">
        <w:rPr>
          <w:noProof/>
        </w:rPr>
        <w:t>1</w:t>
      </w:r>
    </w:fldSimple>
    <w:r w:rsidRPr="00CE4D0D">
      <w:t xml:space="preserve"> of </w:t>
    </w:r>
    <w:fldSimple w:instr=" NUMPAGES ">
      <w:r w:rsidR="00972A1E">
        <w:rPr>
          <w:noProof/>
        </w:rPr>
        <w:t>1</w:t>
      </w:r>
    </w:fldSimple>
  </w:p>
  <w:p w:rsidR="002E3FCD" w:rsidRPr="00332DDF" w:rsidRDefault="002E3FCD" w:rsidP="002F2FF6">
    <w:pPr>
      <w:pStyle w:val="BCSFooter"/>
    </w:pPr>
    <w:r>
      <w:t>© Becta 2010</w:t>
    </w:r>
    <w:r>
      <w:tab/>
    </w:r>
    <w:r w:rsidRPr="00E214D5">
      <w:rPr>
        <w:sz w:val="24"/>
        <w:szCs w:val="24"/>
      </w:rPr>
      <w:t>NOT PROTECTIVELY MARKED</w:t>
    </w:r>
  </w:p>
  <w:p w:rsidR="002E3FCD" w:rsidRDefault="002E3FC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FCD" w:rsidRDefault="002E3FCD">
      <w:r>
        <w:separator/>
      </w:r>
    </w:p>
    <w:p w:rsidR="002E3FCD" w:rsidRDefault="002E3FCD"/>
  </w:footnote>
  <w:footnote w:type="continuationSeparator" w:id="0">
    <w:p w:rsidR="002E3FCD" w:rsidRDefault="002E3FCD">
      <w:r>
        <w:continuationSeparator/>
      </w:r>
    </w:p>
    <w:p w:rsidR="002E3FCD" w:rsidRDefault="002E3FCD"/>
  </w:footnote>
  <w:footnote w:id="1">
    <w:p w:rsidR="002E3FCD" w:rsidRPr="001E3065" w:rsidRDefault="002E3FCD" w:rsidP="00291E20">
      <w:pPr>
        <w:pStyle w:val="FootnoteText"/>
        <w:rPr>
          <w:lang w:val="en-GB"/>
        </w:rPr>
      </w:pPr>
      <w:r>
        <w:rPr>
          <w:rStyle w:val="FootnoteReference"/>
        </w:rPr>
        <w:footnoteRef/>
      </w:r>
      <w:r>
        <w:t xml:space="preserve"> </w:t>
      </w:r>
      <w:r>
        <w:rPr>
          <w:lang w:val="en-GB"/>
        </w:rPr>
        <w:t>For brevity, defined as ACL within this survey</w:t>
      </w:r>
    </w:p>
  </w:footnote>
  <w:footnote w:id="2">
    <w:p w:rsidR="002E3FCD" w:rsidRPr="001E3065" w:rsidRDefault="002E3FCD" w:rsidP="00291E20">
      <w:pPr>
        <w:pStyle w:val="FootnoteText"/>
        <w:rPr>
          <w:lang w:val="en-GB"/>
        </w:rPr>
      </w:pPr>
      <w:r>
        <w:rPr>
          <w:rStyle w:val="FootnoteReference"/>
        </w:rPr>
        <w:footnoteRef/>
      </w:r>
      <w:r>
        <w:t xml:space="preserve"> </w:t>
      </w:r>
      <w:r>
        <w:rPr>
          <w:lang w:val="en-GB"/>
        </w:rPr>
        <w:t>It should be noted that the term ‘e-Maturity’ in this case related to the relative level of ILT implementation within the sector.  It is not related to ‘Generator’ definitions of the term.</w:t>
      </w:r>
    </w:p>
  </w:footnote>
  <w:footnote w:id="3">
    <w:p w:rsidR="002E3FCD" w:rsidRPr="00D66CCE" w:rsidRDefault="002E3FCD" w:rsidP="00291E20">
      <w:pPr>
        <w:pStyle w:val="FootnoteText"/>
        <w:rPr>
          <w:lang w:val="en-GB"/>
        </w:rPr>
      </w:pPr>
      <w:r>
        <w:rPr>
          <w:rStyle w:val="FootnoteReference"/>
        </w:rPr>
        <w:footnoteRef/>
      </w:r>
      <w:r>
        <w:t xml:space="preserve"> </w:t>
      </w:r>
      <w:r>
        <w:rPr>
          <w:lang w:val="en-GB"/>
        </w:rPr>
        <w:t>Question format and language had altered in many cases, limiting comparison</w:t>
      </w:r>
    </w:p>
  </w:footnote>
  <w:footnote w:id="4">
    <w:p w:rsidR="002E3FCD" w:rsidRPr="007B00EA" w:rsidRDefault="002E3FCD" w:rsidP="00291E20">
      <w:pPr>
        <w:pStyle w:val="FootnoteText"/>
        <w:rPr>
          <w:lang w:val="en-GB"/>
        </w:rPr>
      </w:pPr>
      <w:r>
        <w:rPr>
          <w:rStyle w:val="FootnoteReference"/>
        </w:rPr>
        <w:footnoteRef/>
      </w:r>
      <w:r>
        <w:t xml:space="preserve"> </w:t>
      </w:r>
      <w:r>
        <w:rPr>
          <w:lang w:val="en-GB"/>
        </w:rPr>
        <w:t xml:space="preserve">Self-classified as FE and Adult college, responding in respect of their Local Authority provision only. </w:t>
      </w:r>
    </w:p>
  </w:footnote>
  <w:footnote w:id="5">
    <w:p w:rsidR="002E3FCD" w:rsidRPr="00C3271B" w:rsidRDefault="002E3FCD" w:rsidP="00291E20">
      <w:pPr>
        <w:pStyle w:val="FootnoteText"/>
        <w:rPr>
          <w:lang w:val="en-GB"/>
        </w:rPr>
      </w:pPr>
      <w:r>
        <w:rPr>
          <w:rStyle w:val="FootnoteReference"/>
        </w:rPr>
        <w:footnoteRef/>
      </w:r>
      <w:r>
        <w:t xml:space="preserve"> </w:t>
      </w:r>
      <w:r>
        <w:rPr>
          <w:lang w:val="en-GB"/>
        </w:rPr>
        <w:t>Percentage based upon proportion of all actual responses across all categories (666 responses in total); figures rounded up to 2 decimal points.</w:t>
      </w:r>
    </w:p>
  </w:footnote>
  <w:footnote w:id="6">
    <w:p w:rsidR="002E3FCD" w:rsidRPr="00C3271B" w:rsidRDefault="002E3FCD" w:rsidP="00291E20">
      <w:pPr>
        <w:pStyle w:val="FootnoteText"/>
        <w:rPr>
          <w:lang w:val="en-GB"/>
        </w:rPr>
      </w:pPr>
      <w:r>
        <w:rPr>
          <w:rStyle w:val="FootnoteReference"/>
        </w:rPr>
        <w:footnoteRef/>
      </w:r>
      <w:r>
        <w:t xml:space="preserve"> </w:t>
      </w:r>
      <w:r>
        <w:rPr>
          <w:lang w:val="en-GB"/>
        </w:rPr>
        <w:t>Percentage based upon proportion of all actual responses across all categories (528 responses in total); figures rounded up to 2 decimal points.</w:t>
      </w:r>
    </w:p>
  </w:footnote>
  <w:footnote w:id="7">
    <w:p w:rsidR="002E3FCD" w:rsidRPr="00FF4397" w:rsidRDefault="002E3FCD" w:rsidP="00291E20">
      <w:pPr>
        <w:pStyle w:val="FootnoteText"/>
        <w:rPr>
          <w:lang w:val="en-GB"/>
        </w:rPr>
      </w:pPr>
      <w:r>
        <w:rPr>
          <w:rStyle w:val="FootnoteReference"/>
        </w:rPr>
        <w:footnoteRef/>
      </w:r>
      <w:r>
        <w:t xml:space="preserve"> </w:t>
      </w:r>
      <w:r>
        <w:rPr>
          <w:lang w:val="en-GB"/>
        </w:rPr>
        <w:t>Based upon responses from 100 local authorities and 81 VCS/ WEAs</w:t>
      </w:r>
    </w:p>
  </w:footnote>
  <w:footnote w:id="8">
    <w:p w:rsidR="002E3FCD" w:rsidRPr="00C22B2D" w:rsidRDefault="002E3FCD" w:rsidP="00291E20">
      <w:pPr>
        <w:pStyle w:val="FootnoteText"/>
        <w:rPr>
          <w:lang w:val="en-GB"/>
        </w:rPr>
      </w:pPr>
      <w:r>
        <w:rPr>
          <w:rStyle w:val="FootnoteReference"/>
        </w:rPr>
        <w:footnoteRef/>
      </w:r>
      <w:r>
        <w:t xml:space="preserve"> </w:t>
      </w:r>
      <w:r>
        <w:rPr>
          <w:lang w:val="en-GB"/>
        </w:rPr>
        <w:t xml:space="preserve">Percentages based upon proportion of </w:t>
      </w:r>
      <w:r w:rsidRPr="000B0500">
        <w:rPr>
          <w:i/>
          <w:lang w:val="en-GB"/>
        </w:rPr>
        <w:t>all possible</w:t>
      </w:r>
      <w:r>
        <w:rPr>
          <w:lang w:val="en-GB"/>
        </w:rPr>
        <w:t xml:space="preserve"> responses across all categories from LAs (1554 responses in total); figures rounded up to 2 decimal points.</w:t>
      </w:r>
    </w:p>
  </w:footnote>
  <w:footnote w:id="9">
    <w:p w:rsidR="002E3FCD" w:rsidRPr="00C22B2D" w:rsidRDefault="002E3FCD" w:rsidP="00291E20">
      <w:pPr>
        <w:pStyle w:val="FootnoteText"/>
        <w:rPr>
          <w:lang w:val="en-GB"/>
        </w:rPr>
      </w:pPr>
      <w:r>
        <w:rPr>
          <w:rStyle w:val="FootnoteReference"/>
        </w:rPr>
        <w:footnoteRef/>
      </w:r>
      <w:r>
        <w:t xml:space="preserve"> </w:t>
      </w:r>
      <w:r>
        <w:rPr>
          <w:lang w:val="en-GB"/>
        </w:rPr>
        <w:t xml:space="preserve">Percentages based upon proportion of </w:t>
      </w:r>
      <w:r w:rsidRPr="000B0500">
        <w:rPr>
          <w:i/>
          <w:lang w:val="en-GB"/>
        </w:rPr>
        <w:t>all possible</w:t>
      </w:r>
      <w:r>
        <w:rPr>
          <w:lang w:val="en-GB"/>
        </w:rPr>
        <w:t xml:space="preserve"> responses across all categories from VCS/ WEAs (1246 responses in total); figures rounded up to 2 decimal points.</w:t>
      </w:r>
    </w:p>
  </w:footnote>
  <w:footnote w:id="10">
    <w:p w:rsidR="002E3FCD" w:rsidRPr="00A61B2E" w:rsidRDefault="002E3FCD" w:rsidP="00291E20">
      <w:pPr>
        <w:pStyle w:val="FootnoteText"/>
        <w:rPr>
          <w:lang w:val="en-GB"/>
        </w:rPr>
      </w:pPr>
      <w:r>
        <w:rPr>
          <w:rStyle w:val="FootnoteReference"/>
        </w:rPr>
        <w:footnoteRef/>
      </w:r>
      <w:r>
        <w:t xml:space="preserve"> </w:t>
      </w:r>
      <w:r>
        <w:rPr>
          <w:lang w:val="en-GB"/>
        </w:rPr>
        <w:t>In 2009/10, the term ‘promote’ was re-cast as ‘use’ in response to focus group feedback.</w:t>
      </w:r>
    </w:p>
  </w:footnote>
  <w:footnote w:id="11">
    <w:p w:rsidR="002E3FCD" w:rsidRPr="003166E6" w:rsidRDefault="002E3FCD" w:rsidP="00291E20">
      <w:pPr>
        <w:pStyle w:val="FootnoteText"/>
        <w:rPr>
          <w:lang w:val="en-GB"/>
        </w:rPr>
      </w:pPr>
      <w:r>
        <w:rPr>
          <w:rStyle w:val="FootnoteReference"/>
        </w:rPr>
        <w:footnoteRef/>
      </w:r>
      <w:r>
        <w:t xml:space="preserve"> </w:t>
      </w:r>
      <w:r>
        <w:rPr>
          <w:lang w:val="en-GB"/>
        </w:rPr>
        <w:t xml:space="preserve">Percentages based upon proportion of </w:t>
      </w:r>
      <w:r w:rsidRPr="000B0500">
        <w:rPr>
          <w:i/>
          <w:lang w:val="en-GB"/>
        </w:rPr>
        <w:t>all possible</w:t>
      </w:r>
      <w:r>
        <w:rPr>
          <w:lang w:val="en-GB"/>
        </w:rPr>
        <w:t xml:space="preserve"> responses across all categories from LAs (999 single responses in total); figures rounded up to 2 decimal points.</w:t>
      </w:r>
    </w:p>
  </w:footnote>
  <w:footnote w:id="12">
    <w:p w:rsidR="002E3FCD" w:rsidRPr="003166E6" w:rsidRDefault="002E3FCD" w:rsidP="00291E20">
      <w:pPr>
        <w:pStyle w:val="FootnoteText"/>
        <w:rPr>
          <w:lang w:val="en-GB"/>
        </w:rPr>
      </w:pPr>
      <w:r>
        <w:rPr>
          <w:rStyle w:val="FootnoteReference"/>
        </w:rPr>
        <w:footnoteRef/>
      </w:r>
      <w:r>
        <w:t xml:space="preserve"> </w:t>
      </w:r>
      <w:r>
        <w:rPr>
          <w:lang w:val="en-GB"/>
        </w:rPr>
        <w:t xml:space="preserve">Percentages based upon proportion of </w:t>
      </w:r>
      <w:r w:rsidRPr="000B0500">
        <w:rPr>
          <w:i/>
          <w:lang w:val="en-GB"/>
        </w:rPr>
        <w:t>all possible</w:t>
      </w:r>
      <w:r>
        <w:rPr>
          <w:lang w:val="en-GB"/>
        </w:rPr>
        <w:t xml:space="preserve"> responses across all categories from VCS/ WEAs (801 single responses in total); figures rounded up to 2 decimal points.</w:t>
      </w:r>
    </w:p>
  </w:footnote>
  <w:footnote w:id="13">
    <w:p w:rsidR="002E3FCD" w:rsidRPr="00ED7E50" w:rsidRDefault="002E3FCD" w:rsidP="00291E20">
      <w:pPr>
        <w:pStyle w:val="FootnoteText"/>
        <w:rPr>
          <w:lang w:val="en-GB"/>
        </w:rPr>
      </w:pPr>
      <w:r>
        <w:rPr>
          <w:rStyle w:val="FootnoteReference"/>
        </w:rPr>
        <w:footnoteRef/>
      </w:r>
      <w:r>
        <w:t xml:space="preserve"> </w:t>
      </w:r>
      <w:r>
        <w:rPr>
          <w:lang w:val="en-GB"/>
        </w:rPr>
        <w:t>2009/10 figures rounded up to .0 decimal places to facilitate comparison</w:t>
      </w:r>
    </w:p>
  </w:footnote>
  <w:footnote w:id="14">
    <w:p w:rsidR="002E3FCD" w:rsidRPr="00170F93" w:rsidRDefault="002E3FCD" w:rsidP="00291E20">
      <w:pPr>
        <w:pStyle w:val="FootnoteText"/>
        <w:rPr>
          <w:lang w:val="en-GB"/>
        </w:rPr>
      </w:pPr>
      <w:r>
        <w:rPr>
          <w:rStyle w:val="FootnoteReference"/>
        </w:rPr>
        <w:footnoteRef/>
      </w:r>
      <w:r>
        <w:t xml:space="preserve"> </w:t>
      </w:r>
      <w:r>
        <w:rPr>
          <w:lang w:val="en-GB"/>
        </w:rPr>
        <w:t xml:space="preserve">Percentages based upon proportion of </w:t>
      </w:r>
      <w:r w:rsidRPr="000B0500">
        <w:rPr>
          <w:i/>
          <w:lang w:val="en-GB"/>
        </w:rPr>
        <w:t>all possible</w:t>
      </w:r>
      <w:r>
        <w:rPr>
          <w:lang w:val="en-GB"/>
        </w:rPr>
        <w:t xml:space="preserve"> responses across all categories from VCS/ WEAs (801 single responses in total); figures rounded up to 2 decimal points.</w:t>
      </w:r>
    </w:p>
  </w:footnote>
  <w:footnote w:id="15">
    <w:p w:rsidR="002E3FCD" w:rsidRPr="00283400" w:rsidRDefault="002E3FCD" w:rsidP="00291E20">
      <w:pPr>
        <w:pStyle w:val="FootnoteText"/>
        <w:rPr>
          <w:lang w:val="en-GB"/>
        </w:rPr>
      </w:pPr>
      <w:r>
        <w:rPr>
          <w:rStyle w:val="FootnoteReference"/>
        </w:rPr>
        <w:footnoteRef/>
      </w:r>
      <w:r>
        <w:t xml:space="preserve"> </w:t>
      </w:r>
      <w:r>
        <w:rPr>
          <w:lang w:val="en-GB"/>
        </w:rPr>
        <w:t xml:space="preserve">Where this is not the case, n=273 will be indicated in the narrative of at the foot of the table </w:t>
      </w:r>
    </w:p>
  </w:footnote>
  <w:footnote w:id="16">
    <w:p w:rsidR="002E3FCD" w:rsidRPr="008D4FED" w:rsidRDefault="002E3FCD" w:rsidP="00291E20">
      <w:pPr>
        <w:pStyle w:val="FootnoteText"/>
        <w:rPr>
          <w:lang w:val="en-GB"/>
        </w:rPr>
      </w:pPr>
      <w:r>
        <w:rPr>
          <w:rStyle w:val="FootnoteReference"/>
        </w:rPr>
        <w:footnoteRef/>
      </w:r>
      <w:r>
        <w:t xml:space="preserve"> </w:t>
      </w:r>
      <w:r>
        <w:rPr>
          <w:lang w:val="en-GB"/>
        </w:rPr>
        <w:t>The other listed technologies are not directly comparable to those listed in 2008/09 due to a change of question.</w:t>
      </w:r>
    </w:p>
  </w:footnote>
  <w:footnote w:id="17">
    <w:p w:rsidR="002E3FCD" w:rsidRPr="00C51F3B" w:rsidRDefault="002E3FCD" w:rsidP="00291E20">
      <w:pPr>
        <w:pStyle w:val="FootnoteText"/>
        <w:rPr>
          <w:lang w:val="en-GB"/>
        </w:rPr>
      </w:pPr>
      <w:r>
        <w:rPr>
          <w:rStyle w:val="FootnoteReference"/>
        </w:rPr>
        <w:footnoteRef/>
      </w:r>
      <w:r>
        <w:t xml:space="preserve"> </w:t>
      </w:r>
      <w:r>
        <w:rPr>
          <w:lang w:val="en-GB"/>
        </w:rPr>
        <w:t>Percentages based upon all practitioners; 273 respondents</w:t>
      </w:r>
    </w:p>
  </w:footnote>
  <w:footnote w:id="18">
    <w:p w:rsidR="002E3FCD" w:rsidRPr="00223F41" w:rsidRDefault="002E3FCD" w:rsidP="00291E20">
      <w:pPr>
        <w:pStyle w:val="FootnoteText"/>
        <w:rPr>
          <w:lang w:val="en-GB"/>
        </w:rPr>
      </w:pPr>
      <w:r>
        <w:rPr>
          <w:rStyle w:val="FootnoteReference"/>
        </w:rPr>
        <w:footnoteRef/>
      </w:r>
      <w:r>
        <w:t xml:space="preserve"> </w:t>
      </w:r>
      <w:r>
        <w:rPr>
          <w:lang w:val="en-GB"/>
        </w:rPr>
        <w:t>Percentage a combination of practitioners citing daily use and those citing ‘at least once a week’</w:t>
      </w:r>
    </w:p>
  </w:footnote>
  <w:footnote w:id="19">
    <w:p w:rsidR="002E3FCD" w:rsidRPr="00251E00" w:rsidRDefault="002E3FCD" w:rsidP="00291E20">
      <w:pPr>
        <w:pStyle w:val="FootnoteText"/>
        <w:rPr>
          <w:lang w:val="en-GB"/>
        </w:rPr>
      </w:pPr>
      <w:r>
        <w:rPr>
          <w:rStyle w:val="FootnoteReference"/>
        </w:rPr>
        <w:footnoteRef/>
      </w:r>
      <w:r>
        <w:t xml:space="preserve"> </w:t>
      </w:r>
      <w:r>
        <w:rPr>
          <w:lang w:val="en-GB"/>
        </w:rPr>
        <w:t xml:space="preserve">Percentages based upon proportion of </w:t>
      </w:r>
      <w:r w:rsidRPr="000B0500">
        <w:rPr>
          <w:i/>
          <w:lang w:val="en-GB"/>
        </w:rPr>
        <w:t>all possible</w:t>
      </w:r>
      <w:r>
        <w:rPr>
          <w:lang w:val="en-GB"/>
        </w:rPr>
        <w:t xml:space="preserve"> responses across all categories from E-Guides practitioners (1118 single responses in total); figures rounded up to 2 decimal points.</w:t>
      </w:r>
    </w:p>
  </w:footnote>
  <w:footnote w:id="20">
    <w:p w:rsidR="002E3FCD" w:rsidRPr="00251E00" w:rsidRDefault="002E3FCD" w:rsidP="00291E20">
      <w:pPr>
        <w:pStyle w:val="FootnoteText"/>
        <w:rPr>
          <w:lang w:val="en-GB"/>
        </w:rPr>
      </w:pPr>
      <w:r>
        <w:rPr>
          <w:rStyle w:val="FootnoteReference"/>
        </w:rPr>
        <w:footnoteRef/>
      </w:r>
      <w:r>
        <w:t xml:space="preserve"> </w:t>
      </w:r>
      <w:r>
        <w:rPr>
          <w:lang w:val="en-GB"/>
        </w:rPr>
        <w:t xml:space="preserve">Percentages based upon proportion of </w:t>
      </w:r>
      <w:r w:rsidRPr="000B0500">
        <w:rPr>
          <w:i/>
          <w:lang w:val="en-GB"/>
        </w:rPr>
        <w:t>all possible</w:t>
      </w:r>
      <w:r>
        <w:rPr>
          <w:lang w:val="en-GB"/>
        </w:rPr>
        <w:t xml:space="preserve"> responses across all categories from non E-Guides practitioners (2353 single responses in total); figures rounded up to 2 decimal points.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945" w:rsidRDefault="00C539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CD" w:rsidRDefault="002E3FCD">
    <w:pPr>
      <w:pBdr>
        <w:top w:val="single" w:sz="6" w:space="6" w:color="000080"/>
        <w:bottom w:val="single" w:sz="6" w:space="6" w:color="000080"/>
      </w:pBdr>
      <w:spacing w:after="480"/>
      <w:rPr>
        <w:sz w:val="16"/>
        <w:szCs w:val="16"/>
      </w:rPr>
    </w:pPr>
    <w:r w:rsidRPr="00D40994">
      <w:rPr>
        <w:rStyle w:val="BCSHeadertitleChar"/>
      </w:rPr>
      <w:t>Becta |</w:t>
    </w:r>
    <w:r>
      <w:rPr>
        <w:sz w:val="16"/>
        <w:szCs w:val="16"/>
      </w:rPr>
      <w:t xml:space="preserve"> </w:t>
    </w:r>
    <w:r>
      <w:rPr>
        <w:rStyle w:val="BCSHeadertitleChar"/>
      </w:rPr>
      <w:t>Sector Survey: Adult and Community Learning 2009-10 – Analytical Report</w:t>
    </w:r>
  </w:p>
  <w:p w:rsidR="002E3FCD" w:rsidRDefault="002E3FCD"/>
  <w:p w:rsidR="002E3FCD" w:rsidRDefault="002E3FC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000080"/>
      </w:tblBorders>
      <w:tblLayout w:type="fixed"/>
      <w:tblLook w:val="0000"/>
    </w:tblPr>
    <w:tblGrid>
      <w:gridCol w:w="3686"/>
      <w:gridCol w:w="5386"/>
    </w:tblGrid>
    <w:tr w:rsidR="002E3FCD" w:rsidTr="00C4150F">
      <w:trPr>
        <w:trHeight w:hRule="exact" w:val="57"/>
      </w:trPr>
      <w:tc>
        <w:tcPr>
          <w:tcW w:w="3686" w:type="dxa"/>
          <w:tcBorders>
            <w:top w:val="single" w:sz="6" w:space="0" w:color="000080"/>
            <w:left w:val="nil"/>
            <w:bottom w:val="nil"/>
            <w:right w:val="nil"/>
          </w:tcBorders>
        </w:tcPr>
        <w:p w:rsidR="002E3FCD" w:rsidRDefault="002E3FCD" w:rsidP="00677FFC"/>
      </w:tc>
      <w:tc>
        <w:tcPr>
          <w:tcW w:w="5386" w:type="dxa"/>
          <w:tcBorders>
            <w:top w:val="single" w:sz="6" w:space="0" w:color="000080"/>
            <w:left w:val="nil"/>
            <w:bottom w:val="nil"/>
            <w:right w:val="nil"/>
          </w:tcBorders>
        </w:tcPr>
        <w:p w:rsidR="002E3FCD" w:rsidRDefault="002E3FCD" w:rsidP="00677FFC">
          <w:pPr>
            <w:spacing w:before="20"/>
          </w:pPr>
        </w:p>
      </w:tc>
    </w:tr>
    <w:tr w:rsidR="002E3FCD" w:rsidTr="00C4150F">
      <w:trPr>
        <w:trHeight w:val="888"/>
      </w:trPr>
      <w:tc>
        <w:tcPr>
          <w:tcW w:w="3686" w:type="dxa"/>
          <w:tcBorders>
            <w:top w:val="nil"/>
            <w:left w:val="nil"/>
            <w:bottom w:val="nil"/>
            <w:right w:val="nil"/>
          </w:tcBorders>
        </w:tcPr>
        <w:p w:rsidR="002E3FCD" w:rsidRDefault="002102AA" w:rsidP="00677FFC">
          <w:pPr>
            <w:spacing w:before="120" w:after="60"/>
            <w:ind w:right="272"/>
          </w:pPr>
          <w:r>
            <w:rPr>
              <w:noProof/>
            </w:rPr>
            <w:drawing>
              <wp:inline distT="0" distB="0" distL="0" distR="0">
                <wp:extent cx="1866900" cy="469900"/>
                <wp:effectExtent l="19050" t="0" r="0" b="0"/>
                <wp:docPr id="22" name="Picture 22" descr="logo_for_word_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for_word_template"/>
                        <pic:cNvPicPr>
                          <a:picLocks noChangeAspect="1" noChangeArrowheads="1"/>
                        </pic:cNvPicPr>
                      </pic:nvPicPr>
                      <pic:blipFill>
                        <a:blip r:embed="rId1"/>
                        <a:srcRect/>
                        <a:stretch>
                          <a:fillRect/>
                        </a:stretch>
                      </pic:blipFill>
                      <pic:spPr bwMode="auto">
                        <a:xfrm>
                          <a:off x="0" y="0"/>
                          <a:ext cx="1866900" cy="469900"/>
                        </a:xfrm>
                        <a:prstGeom prst="rect">
                          <a:avLst/>
                        </a:prstGeom>
                        <a:noFill/>
                        <a:ln w="9525">
                          <a:noFill/>
                          <a:miter lim="800000"/>
                          <a:headEnd/>
                          <a:tailEnd/>
                        </a:ln>
                      </pic:spPr>
                    </pic:pic>
                  </a:graphicData>
                </a:graphic>
              </wp:inline>
            </w:drawing>
          </w:r>
        </w:p>
      </w:tc>
      <w:tc>
        <w:tcPr>
          <w:tcW w:w="5386" w:type="dxa"/>
          <w:tcBorders>
            <w:top w:val="nil"/>
            <w:left w:val="nil"/>
            <w:bottom w:val="nil"/>
            <w:right w:val="nil"/>
          </w:tcBorders>
          <w:tcMar>
            <w:left w:w="0" w:type="dxa"/>
            <w:right w:w="0" w:type="dxa"/>
          </w:tcMar>
        </w:tcPr>
        <w:p w:rsidR="002E3FCD" w:rsidRPr="00125CEB" w:rsidRDefault="00F9461D" w:rsidP="002F77E5">
          <w:pPr>
            <w:pStyle w:val="BCSHeaderdocumenttitle"/>
          </w:pPr>
          <w:fldSimple w:instr=" DOCPROPERTY  Title  \* MERGEFORMAT ">
            <w:r w:rsidR="002E3FCD">
              <w:t>Sector Survey</w:t>
            </w:r>
          </w:fldSimple>
          <w:r w:rsidR="002E3FCD">
            <w:t xml:space="preserve"> 2009-10: Adult and Community Learning</w:t>
          </w:r>
        </w:p>
      </w:tc>
    </w:tr>
  </w:tbl>
  <w:p w:rsidR="002E3FCD" w:rsidRDefault="002E3FCD"/>
  <w:p w:rsidR="002E3FCD" w:rsidRDefault="002E3FCD"/>
  <w:p w:rsidR="002E3FCD" w:rsidRDefault="002E3FC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F589C22"/>
    <w:lvl w:ilvl="0">
      <w:numFmt w:val="bullet"/>
      <w:pStyle w:val="BCSBulletparagraph"/>
      <w:lvlText w:val="*"/>
      <w:lvlJc w:val="left"/>
    </w:lvl>
  </w:abstractNum>
  <w:abstractNum w:abstractNumId="1">
    <w:nsid w:val="01682561"/>
    <w:multiLevelType w:val="hybridMultilevel"/>
    <w:tmpl w:val="4EDCA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9A0D5E"/>
    <w:multiLevelType w:val="hybridMultilevel"/>
    <w:tmpl w:val="EFA41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EF632AE"/>
    <w:multiLevelType w:val="hybridMultilevel"/>
    <w:tmpl w:val="8B943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4356EB7"/>
    <w:multiLevelType w:val="hybridMultilevel"/>
    <w:tmpl w:val="64161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66188D"/>
    <w:multiLevelType w:val="hybridMultilevel"/>
    <w:tmpl w:val="0A524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B11398"/>
    <w:multiLevelType w:val="hybridMultilevel"/>
    <w:tmpl w:val="B3985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CF04D89"/>
    <w:multiLevelType w:val="hybridMultilevel"/>
    <w:tmpl w:val="932EE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DE0331"/>
    <w:multiLevelType w:val="hybridMultilevel"/>
    <w:tmpl w:val="162CF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FE4282"/>
    <w:multiLevelType w:val="hybridMultilevel"/>
    <w:tmpl w:val="BFCC6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7D70A19"/>
    <w:multiLevelType w:val="singleLevel"/>
    <w:tmpl w:val="65A02D44"/>
    <w:lvl w:ilvl="0">
      <w:start w:val="1"/>
      <w:numFmt w:val="bullet"/>
      <w:pStyle w:val="BCSBulletlevel2"/>
      <w:lvlText w:val="o"/>
      <w:lvlJc w:val="left"/>
      <w:pPr>
        <w:tabs>
          <w:tab w:val="num" w:pos="1440"/>
        </w:tabs>
        <w:ind w:left="1440" w:hanging="360"/>
      </w:pPr>
      <w:rPr>
        <w:rFonts w:ascii="Courier New" w:hAnsi="Courier New" w:hint="default"/>
        <w:sz w:val="24"/>
      </w:rPr>
    </w:lvl>
  </w:abstractNum>
  <w:abstractNum w:abstractNumId="11">
    <w:nsid w:val="295E25D4"/>
    <w:multiLevelType w:val="multilevel"/>
    <w:tmpl w:val="B996587C"/>
    <w:lvl w:ilvl="0">
      <w:start w:val="1"/>
      <w:numFmt w:val="decimal"/>
      <w:pStyle w:val="Heading1"/>
      <w:lvlText w:val="%1"/>
      <w:lvlJc w:val="left"/>
      <w:pPr>
        <w:tabs>
          <w:tab w:val="num" w:pos="432"/>
        </w:tabs>
        <w:ind w:left="432" w:hanging="432"/>
      </w:pPr>
      <w:rPr>
        <w:rFonts w:hint="default"/>
        <w:sz w:val="28"/>
      </w:rPr>
    </w:lvl>
    <w:lvl w:ilvl="1">
      <w:start w:val="1"/>
      <w:numFmt w:val="decimal"/>
      <w:pStyle w:val="Heading2"/>
      <w:lvlText w:val="%1.%2"/>
      <w:lvlJc w:val="left"/>
      <w:pPr>
        <w:tabs>
          <w:tab w:val="num" w:pos="576"/>
        </w:tabs>
        <w:ind w:left="576" w:hanging="576"/>
      </w:pPr>
      <w:rPr>
        <w:rFonts w:hint="default"/>
        <w:sz w:val="26"/>
      </w:rPr>
    </w:lvl>
    <w:lvl w:ilvl="2">
      <w:start w:val="1"/>
      <w:numFmt w:val="decimal"/>
      <w:pStyle w:val="Heading3"/>
      <w:lvlText w:val="%1.%2.%3"/>
      <w:lvlJc w:val="left"/>
      <w:pPr>
        <w:tabs>
          <w:tab w:val="num" w:pos="720"/>
        </w:tabs>
        <w:ind w:left="720" w:hanging="720"/>
      </w:pPr>
      <w:rPr>
        <w:rFonts w:hint="default"/>
        <w:sz w:val="24"/>
      </w:rPr>
    </w:lvl>
    <w:lvl w:ilvl="3">
      <w:start w:val="1"/>
      <w:numFmt w:val="decimal"/>
      <w:pStyle w:val="Heading4"/>
      <w:lvlText w:val="%1.%2.%3.%4"/>
      <w:lvlJc w:val="left"/>
      <w:pPr>
        <w:tabs>
          <w:tab w:val="num" w:pos="1857"/>
        </w:tabs>
        <w:ind w:left="1857" w:hanging="864"/>
      </w:pPr>
      <w:rPr>
        <w:rFonts w:hint="default"/>
      </w:rPr>
    </w:lvl>
    <w:lvl w:ilvl="4">
      <w:start w:val="1"/>
      <w:numFmt w:val="decimal"/>
      <w:pStyle w:val="Heading5"/>
      <w:lvlText w:val="%1.%2.%3.%4.%5"/>
      <w:lvlJc w:val="left"/>
      <w:pPr>
        <w:tabs>
          <w:tab w:val="num" w:pos="2426"/>
        </w:tabs>
        <w:ind w:left="2426"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29B9518A"/>
    <w:multiLevelType w:val="hybridMultilevel"/>
    <w:tmpl w:val="AB94C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F5555C"/>
    <w:multiLevelType w:val="hybridMultilevel"/>
    <w:tmpl w:val="C0728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E5F298A"/>
    <w:multiLevelType w:val="hybridMultilevel"/>
    <w:tmpl w:val="DB9EE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0015857"/>
    <w:multiLevelType w:val="hybridMultilevel"/>
    <w:tmpl w:val="9692F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2E12690"/>
    <w:multiLevelType w:val="hybridMultilevel"/>
    <w:tmpl w:val="74F0A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C54F54"/>
    <w:multiLevelType w:val="hybridMultilevel"/>
    <w:tmpl w:val="058C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2D7CB1"/>
    <w:multiLevelType w:val="hybridMultilevel"/>
    <w:tmpl w:val="5082F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81F4908"/>
    <w:multiLevelType w:val="hybridMultilevel"/>
    <w:tmpl w:val="1518B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3C4DBA"/>
    <w:multiLevelType w:val="hybridMultilevel"/>
    <w:tmpl w:val="4D3E9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C1E0ABB"/>
    <w:multiLevelType w:val="hybridMultilevel"/>
    <w:tmpl w:val="CC44F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D400290"/>
    <w:multiLevelType w:val="hybridMultilevel"/>
    <w:tmpl w:val="504840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FAF6E02"/>
    <w:multiLevelType w:val="hybridMultilevel"/>
    <w:tmpl w:val="5ACA85AC"/>
    <w:lvl w:ilvl="0" w:tplc="B78647C8">
      <w:start w:val="1"/>
      <w:numFmt w:val="decimal"/>
      <w:pStyle w:val="BCSBulletnumbered"/>
      <w:lvlText w:val="%1"/>
      <w:lvlJc w:val="left"/>
      <w:pPr>
        <w:tabs>
          <w:tab w:val="num" w:pos="1440"/>
        </w:tabs>
        <w:ind w:left="1440" w:hanging="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4">
    <w:nsid w:val="44BC20DE"/>
    <w:multiLevelType w:val="hybridMultilevel"/>
    <w:tmpl w:val="20CC7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5394DF6"/>
    <w:multiLevelType w:val="hybridMultilevel"/>
    <w:tmpl w:val="DD245C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8AA6C39"/>
    <w:multiLevelType w:val="hybridMultilevel"/>
    <w:tmpl w:val="3B605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BE254BF"/>
    <w:multiLevelType w:val="hybridMultilevel"/>
    <w:tmpl w:val="4A26E8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0324F49"/>
    <w:multiLevelType w:val="hybridMultilevel"/>
    <w:tmpl w:val="C9AEAB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3FD4EBB"/>
    <w:multiLevelType w:val="hybridMultilevel"/>
    <w:tmpl w:val="6D641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43371CE"/>
    <w:multiLevelType w:val="hybridMultilevel"/>
    <w:tmpl w:val="577A4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45D2B43"/>
    <w:multiLevelType w:val="hybridMultilevel"/>
    <w:tmpl w:val="B0809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B00E7B"/>
    <w:multiLevelType w:val="hybridMultilevel"/>
    <w:tmpl w:val="0F581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94857A6"/>
    <w:multiLevelType w:val="hybridMultilevel"/>
    <w:tmpl w:val="9E4AEB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9C47E05"/>
    <w:multiLevelType w:val="hybridMultilevel"/>
    <w:tmpl w:val="BAC6D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FDE1459"/>
    <w:multiLevelType w:val="hybridMultilevel"/>
    <w:tmpl w:val="4CEA0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02A76BA"/>
    <w:multiLevelType w:val="hybridMultilevel"/>
    <w:tmpl w:val="20523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19B3958"/>
    <w:multiLevelType w:val="multilevel"/>
    <w:tmpl w:val="4648B9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2301664"/>
    <w:multiLevelType w:val="hybridMultilevel"/>
    <w:tmpl w:val="4F6A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672CEC"/>
    <w:multiLevelType w:val="hybridMultilevel"/>
    <w:tmpl w:val="1610C16C"/>
    <w:lvl w:ilvl="0" w:tplc="04090019">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nsid w:val="65F70459"/>
    <w:multiLevelType w:val="hybridMultilevel"/>
    <w:tmpl w:val="F2461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5FB0BBD"/>
    <w:multiLevelType w:val="hybridMultilevel"/>
    <w:tmpl w:val="291C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764276B"/>
    <w:multiLevelType w:val="hybridMultilevel"/>
    <w:tmpl w:val="F6FE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6F410F"/>
    <w:multiLevelType w:val="hybridMultilevel"/>
    <w:tmpl w:val="4E7A3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DBB7690"/>
    <w:multiLevelType w:val="hybridMultilevel"/>
    <w:tmpl w:val="75A26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6E12074A"/>
    <w:multiLevelType w:val="hybridMultilevel"/>
    <w:tmpl w:val="B6D48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0860603"/>
    <w:multiLevelType w:val="hybridMultilevel"/>
    <w:tmpl w:val="C07A9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18D6EF1"/>
    <w:multiLevelType w:val="hybridMultilevel"/>
    <w:tmpl w:val="AE6E5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3A6756F"/>
    <w:multiLevelType w:val="hybridMultilevel"/>
    <w:tmpl w:val="C3C29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5C310AC"/>
    <w:multiLevelType w:val="hybridMultilevel"/>
    <w:tmpl w:val="9B628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79DB0CEB"/>
    <w:multiLevelType w:val="hybridMultilevel"/>
    <w:tmpl w:val="A6B6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A9323A7"/>
    <w:multiLevelType w:val="hybridMultilevel"/>
    <w:tmpl w:val="F8F2F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F9D066A"/>
    <w:multiLevelType w:val="hybridMultilevel"/>
    <w:tmpl w:val="697E6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FBA4D13"/>
    <w:multiLevelType w:val="hybridMultilevel"/>
    <w:tmpl w:val="B40266BE"/>
    <w:lvl w:ilvl="0" w:tplc="14A42E1E">
      <w:start w:val="1"/>
      <w:numFmt w:val="decimal"/>
      <w:pStyle w:val="BCSHeadingBnumbered"/>
      <w:lvlText w:val="%1"/>
      <w:lvlJc w:val="left"/>
      <w:pPr>
        <w:tabs>
          <w:tab w:val="num" w:pos="720"/>
        </w:tabs>
        <w:ind w:left="720" w:hanging="720"/>
      </w:pPr>
      <w:rPr>
        <w:rFonts w:hint="default"/>
      </w:rPr>
    </w:lvl>
    <w:lvl w:ilvl="1" w:tplc="8A58C75E">
      <w:start w:val="1"/>
      <w:numFmt w:val="decimal"/>
      <w:lvlText w:val="%2."/>
      <w:lvlJc w:val="left"/>
      <w:pPr>
        <w:tabs>
          <w:tab w:val="num" w:pos="0"/>
        </w:tabs>
        <w:ind w:left="357" w:hanging="357"/>
      </w:pPr>
      <w:rPr>
        <w:rFonts w:hint="default"/>
      </w:rPr>
    </w:lvl>
    <w:lvl w:ilvl="2" w:tplc="0068DDC6">
      <w:numFmt w:val="none"/>
      <w:lvlText w:val=""/>
      <w:lvlJc w:val="left"/>
      <w:pPr>
        <w:tabs>
          <w:tab w:val="num" w:pos="360"/>
        </w:tabs>
      </w:pPr>
    </w:lvl>
    <w:lvl w:ilvl="3" w:tplc="7304F3B2">
      <w:numFmt w:val="none"/>
      <w:lvlText w:val=""/>
      <w:lvlJc w:val="left"/>
      <w:pPr>
        <w:tabs>
          <w:tab w:val="num" w:pos="360"/>
        </w:tabs>
      </w:pPr>
    </w:lvl>
    <w:lvl w:ilvl="4" w:tplc="A6A6B026">
      <w:numFmt w:val="none"/>
      <w:lvlText w:val=""/>
      <w:lvlJc w:val="left"/>
      <w:pPr>
        <w:tabs>
          <w:tab w:val="num" w:pos="360"/>
        </w:tabs>
      </w:pPr>
    </w:lvl>
    <w:lvl w:ilvl="5" w:tplc="249493C0">
      <w:numFmt w:val="none"/>
      <w:lvlText w:val=""/>
      <w:lvlJc w:val="left"/>
      <w:pPr>
        <w:tabs>
          <w:tab w:val="num" w:pos="360"/>
        </w:tabs>
      </w:pPr>
    </w:lvl>
    <w:lvl w:ilvl="6" w:tplc="97FADB92">
      <w:numFmt w:val="none"/>
      <w:lvlText w:val=""/>
      <w:lvlJc w:val="left"/>
      <w:pPr>
        <w:tabs>
          <w:tab w:val="num" w:pos="360"/>
        </w:tabs>
      </w:pPr>
    </w:lvl>
    <w:lvl w:ilvl="7" w:tplc="0CC8B6A2">
      <w:numFmt w:val="none"/>
      <w:lvlText w:val=""/>
      <w:lvlJc w:val="left"/>
      <w:pPr>
        <w:tabs>
          <w:tab w:val="num" w:pos="360"/>
        </w:tabs>
      </w:pPr>
    </w:lvl>
    <w:lvl w:ilvl="8" w:tplc="179C2142">
      <w:numFmt w:val="none"/>
      <w:lvlText w:val=""/>
      <w:lvlJc w:val="left"/>
      <w:pPr>
        <w:tabs>
          <w:tab w:val="num" w:pos="360"/>
        </w:tabs>
      </w:pPr>
    </w:lvl>
  </w:abstractNum>
  <w:num w:numId="1">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num>
  <w:num w:numId="2">
    <w:abstractNumId w:val="53"/>
  </w:num>
  <w:num w:numId="3">
    <w:abstractNumId w:val="23"/>
  </w:num>
  <w:num w:numId="4">
    <w:abstractNumId w:val="10"/>
  </w:num>
  <w:num w:numId="5">
    <w:abstractNumId w:val="11"/>
  </w:num>
  <w:num w:numId="6">
    <w:abstractNumId w:val="42"/>
  </w:num>
  <w:num w:numId="7">
    <w:abstractNumId w:val="52"/>
  </w:num>
  <w:num w:numId="8">
    <w:abstractNumId w:val="8"/>
  </w:num>
  <w:num w:numId="9">
    <w:abstractNumId w:val="19"/>
  </w:num>
  <w:num w:numId="10">
    <w:abstractNumId w:val="9"/>
  </w:num>
  <w:num w:numId="11">
    <w:abstractNumId w:val="31"/>
  </w:num>
  <w:num w:numId="12">
    <w:abstractNumId w:val="39"/>
  </w:num>
  <w:num w:numId="13">
    <w:abstractNumId w:val="28"/>
  </w:num>
  <w:num w:numId="14">
    <w:abstractNumId w:val="16"/>
  </w:num>
  <w:num w:numId="15">
    <w:abstractNumId w:val="40"/>
  </w:num>
  <w:num w:numId="16">
    <w:abstractNumId w:val="47"/>
  </w:num>
  <w:num w:numId="17">
    <w:abstractNumId w:val="13"/>
  </w:num>
  <w:num w:numId="18">
    <w:abstractNumId w:val="51"/>
  </w:num>
  <w:num w:numId="19">
    <w:abstractNumId w:val="4"/>
  </w:num>
  <w:num w:numId="20">
    <w:abstractNumId w:val="38"/>
  </w:num>
  <w:num w:numId="21">
    <w:abstractNumId w:val="21"/>
  </w:num>
  <w:num w:numId="22">
    <w:abstractNumId w:val="17"/>
  </w:num>
  <w:num w:numId="23">
    <w:abstractNumId w:val="24"/>
  </w:num>
  <w:num w:numId="24">
    <w:abstractNumId w:val="44"/>
  </w:num>
  <w:num w:numId="25">
    <w:abstractNumId w:val="1"/>
  </w:num>
  <w:num w:numId="26">
    <w:abstractNumId w:val="26"/>
  </w:num>
  <w:num w:numId="27">
    <w:abstractNumId w:val="30"/>
  </w:num>
  <w:num w:numId="28">
    <w:abstractNumId w:val="36"/>
  </w:num>
  <w:num w:numId="29">
    <w:abstractNumId w:val="14"/>
  </w:num>
  <w:num w:numId="30">
    <w:abstractNumId w:val="43"/>
  </w:num>
  <w:num w:numId="31">
    <w:abstractNumId w:val="6"/>
  </w:num>
  <w:num w:numId="32">
    <w:abstractNumId w:val="49"/>
  </w:num>
  <w:num w:numId="33">
    <w:abstractNumId w:val="20"/>
  </w:num>
  <w:num w:numId="34">
    <w:abstractNumId w:val="2"/>
  </w:num>
  <w:num w:numId="35">
    <w:abstractNumId w:val="29"/>
  </w:num>
  <w:num w:numId="36">
    <w:abstractNumId w:val="41"/>
  </w:num>
  <w:num w:numId="37">
    <w:abstractNumId w:val="3"/>
  </w:num>
  <w:num w:numId="38">
    <w:abstractNumId w:val="45"/>
  </w:num>
  <w:num w:numId="39">
    <w:abstractNumId w:val="48"/>
  </w:num>
  <w:num w:numId="40">
    <w:abstractNumId w:val="5"/>
  </w:num>
  <w:num w:numId="41">
    <w:abstractNumId w:val="46"/>
  </w:num>
  <w:num w:numId="42">
    <w:abstractNumId w:val="15"/>
  </w:num>
  <w:num w:numId="43">
    <w:abstractNumId w:val="33"/>
  </w:num>
  <w:num w:numId="44">
    <w:abstractNumId w:val="27"/>
  </w:num>
  <w:num w:numId="45">
    <w:abstractNumId w:val="12"/>
  </w:num>
  <w:num w:numId="46">
    <w:abstractNumId w:val="32"/>
  </w:num>
  <w:num w:numId="47">
    <w:abstractNumId w:val="34"/>
  </w:num>
  <w:num w:numId="48">
    <w:abstractNumId w:val="7"/>
  </w:num>
  <w:num w:numId="49">
    <w:abstractNumId w:val="22"/>
  </w:num>
  <w:num w:numId="50">
    <w:abstractNumId w:val="18"/>
  </w:num>
  <w:num w:numId="51">
    <w:abstractNumId w:val="25"/>
  </w:num>
  <w:num w:numId="52">
    <w:abstractNumId w:val="35"/>
  </w:num>
  <w:num w:numId="53">
    <w:abstractNumId w:val="50"/>
  </w:num>
  <w:num w:numId="54">
    <w:abstractNumId w:val="3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stylePaneFormatFilter w:val="3F01"/>
  <w:defaultTabStop w:val="0"/>
  <w:doNotHyphenateCaps/>
  <w:drawingGridHorizontalSpacing w:val="120"/>
  <w:drawingGridVerticalSpacing w:val="120"/>
  <w:displayVerticalDrawingGridEvery w:val="0"/>
  <w:doNotUseMarginsForDrawingGridOrigin/>
  <w:characterSpacingControl w:val="doNotCompress"/>
  <w:hdrShapeDefaults>
    <o:shapedefaults v:ext="edit" spidmax="17409"/>
  </w:hdrShapeDefaults>
  <w:footnotePr>
    <w:footnote w:id="-1"/>
    <w:footnote w:id="0"/>
  </w:footnotePr>
  <w:endnotePr>
    <w:endnote w:id="-1"/>
    <w:endnote w:id="0"/>
  </w:endnotePr>
  <w:compat/>
  <w:rsids>
    <w:rsidRoot w:val="00206B10"/>
    <w:rsid w:val="00002745"/>
    <w:rsid w:val="0005307A"/>
    <w:rsid w:val="000A0B9B"/>
    <w:rsid w:val="000C767C"/>
    <w:rsid w:val="00104102"/>
    <w:rsid w:val="00117AF2"/>
    <w:rsid w:val="001203B3"/>
    <w:rsid w:val="00122198"/>
    <w:rsid w:val="001254F6"/>
    <w:rsid w:val="0016093E"/>
    <w:rsid w:val="001867C2"/>
    <w:rsid w:val="00192016"/>
    <w:rsid w:val="001A5516"/>
    <w:rsid w:val="002027FE"/>
    <w:rsid w:val="00206B10"/>
    <w:rsid w:val="002102AA"/>
    <w:rsid w:val="002171D4"/>
    <w:rsid w:val="002220C7"/>
    <w:rsid w:val="00285613"/>
    <w:rsid w:val="00290288"/>
    <w:rsid w:val="00291E20"/>
    <w:rsid w:val="002B0DCB"/>
    <w:rsid w:val="002E3FCD"/>
    <w:rsid w:val="002F2FF6"/>
    <w:rsid w:val="002F3C14"/>
    <w:rsid w:val="002F77E5"/>
    <w:rsid w:val="0030471C"/>
    <w:rsid w:val="00313C2B"/>
    <w:rsid w:val="00353271"/>
    <w:rsid w:val="00363BCE"/>
    <w:rsid w:val="003736CE"/>
    <w:rsid w:val="00391871"/>
    <w:rsid w:val="003B1EE3"/>
    <w:rsid w:val="0041022D"/>
    <w:rsid w:val="00422533"/>
    <w:rsid w:val="0046214E"/>
    <w:rsid w:val="004B6330"/>
    <w:rsid w:val="005527A5"/>
    <w:rsid w:val="00555EFF"/>
    <w:rsid w:val="00560DA2"/>
    <w:rsid w:val="005C56BB"/>
    <w:rsid w:val="005E0255"/>
    <w:rsid w:val="005E09F4"/>
    <w:rsid w:val="005E12A1"/>
    <w:rsid w:val="006069E7"/>
    <w:rsid w:val="00677FFC"/>
    <w:rsid w:val="006853EF"/>
    <w:rsid w:val="006B5D7D"/>
    <w:rsid w:val="006C390A"/>
    <w:rsid w:val="006D1C4A"/>
    <w:rsid w:val="006F0149"/>
    <w:rsid w:val="006F3DEB"/>
    <w:rsid w:val="007045CD"/>
    <w:rsid w:val="00711FA6"/>
    <w:rsid w:val="0072603A"/>
    <w:rsid w:val="007D717B"/>
    <w:rsid w:val="007E5C14"/>
    <w:rsid w:val="007F5F28"/>
    <w:rsid w:val="00825159"/>
    <w:rsid w:val="00847C8F"/>
    <w:rsid w:val="00854EB0"/>
    <w:rsid w:val="00867F45"/>
    <w:rsid w:val="00875EA5"/>
    <w:rsid w:val="008A156A"/>
    <w:rsid w:val="008E755F"/>
    <w:rsid w:val="00905F7F"/>
    <w:rsid w:val="009146A3"/>
    <w:rsid w:val="009213AB"/>
    <w:rsid w:val="00942BFD"/>
    <w:rsid w:val="00972A1E"/>
    <w:rsid w:val="009F31D8"/>
    <w:rsid w:val="00A322FC"/>
    <w:rsid w:val="00A4119D"/>
    <w:rsid w:val="00AA43F3"/>
    <w:rsid w:val="00AD35CE"/>
    <w:rsid w:val="00B14296"/>
    <w:rsid w:val="00B60287"/>
    <w:rsid w:val="00BB02C8"/>
    <w:rsid w:val="00BB68FC"/>
    <w:rsid w:val="00BB6AA0"/>
    <w:rsid w:val="00BC16C1"/>
    <w:rsid w:val="00BD034A"/>
    <w:rsid w:val="00BF3DA4"/>
    <w:rsid w:val="00C074F4"/>
    <w:rsid w:val="00C246C4"/>
    <w:rsid w:val="00C404E7"/>
    <w:rsid w:val="00C4150F"/>
    <w:rsid w:val="00C4275E"/>
    <w:rsid w:val="00C53945"/>
    <w:rsid w:val="00C63C6E"/>
    <w:rsid w:val="00C84642"/>
    <w:rsid w:val="00CE4111"/>
    <w:rsid w:val="00D249BC"/>
    <w:rsid w:val="00D37E87"/>
    <w:rsid w:val="00D40994"/>
    <w:rsid w:val="00D67A4D"/>
    <w:rsid w:val="00D75BC1"/>
    <w:rsid w:val="00DC1999"/>
    <w:rsid w:val="00E329C2"/>
    <w:rsid w:val="00E32EE3"/>
    <w:rsid w:val="00E444F8"/>
    <w:rsid w:val="00E67F73"/>
    <w:rsid w:val="00E958E5"/>
    <w:rsid w:val="00EB236F"/>
    <w:rsid w:val="00EE610A"/>
    <w:rsid w:val="00F1681C"/>
    <w:rsid w:val="00F64B30"/>
    <w:rsid w:val="00F9461D"/>
    <w:rsid w:val="00FB4584"/>
    <w:rsid w:val="00FD2E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qFormat="1"/>
    <w:lsdException w:name="Emphasis" w:qFormat="1"/>
    <w:lsdException w:name="Plain Text"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117AF2"/>
    <w:pPr>
      <w:overflowPunct w:val="0"/>
      <w:autoSpaceDE w:val="0"/>
      <w:autoSpaceDN w:val="0"/>
      <w:adjustRightInd w:val="0"/>
      <w:textAlignment w:val="baseline"/>
    </w:pPr>
    <w:rPr>
      <w:rFonts w:ascii="Arial" w:hAnsi="Arial" w:cs="Arial"/>
    </w:rPr>
  </w:style>
  <w:style w:type="paragraph" w:styleId="Heading1">
    <w:name w:val="heading 1"/>
    <w:aliases w:val="| BCS | Numbered Heading 1"/>
    <w:next w:val="BCSParagraph"/>
    <w:link w:val="Heading1Char"/>
    <w:uiPriority w:val="99"/>
    <w:qFormat/>
    <w:rsid w:val="00E444F8"/>
    <w:pPr>
      <w:numPr>
        <w:numId w:val="5"/>
      </w:numPr>
      <w:spacing w:after="240"/>
      <w:outlineLvl w:val="0"/>
    </w:pPr>
    <w:rPr>
      <w:rFonts w:ascii="Arial Bold" w:hAnsi="Arial Bold" w:cs="Arial"/>
      <w:b/>
      <w:bCs/>
      <w:color w:val="000000"/>
      <w:sz w:val="28"/>
    </w:rPr>
  </w:style>
  <w:style w:type="paragraph" w:styleId="Heading2">
    <w:name w:val="heading 2"/>
    <w:aliases w:val="| BCS | Numbered Heading 2"/>
    <w:basedOn w:val="Heading1"/>
    <w:next w:val="BCSParagraph"/>
    <w:link w:val="Heading2Char"/>
    <w:uiPriority w:val="99"/>
    <w:qFormat/>
    <w:rsid w:val="00E444F8"/>
    <w:pPr>
      <w:keepNext/>
      <w:numPr>
        <w:ilvl w:val="1"/>
      </w:numPr>
      <w:outlineLvl w:val="1"/>
    </w:pPr>
    <w:rPr>
      <w:rFonts w:ascii="Arial" w:hAnsi="Arial"/>
      <w:bCs w:val="0"/>
      <w:sz w:val="26"/>
    </w:rPr>
  </w:style>
  <w:style w:type="paragraph" w:styleId="Heading3">
    <w:name w:val="heading 3"/>
    <w:aliases w:val="| BCS | Numbered Heading 3"/>
    <w:basedOn w:val="Heading2"/>
    <w:next w:val="BCSParagraph"/>
    <w:link w:val="Heading3Char"/>
    <w:uiPriority w:val="99"/>
    <w:qFormat/>
    <w:rsid w:val="00C246C4"/>
    <w:pPr>
      <w:numPr>
        <w:ilvl w:val="2"/>
      </w:numPr>
      <w:outlineLvl w:val="2"/>
    </w:pPr>
    <w:rPr>
      <w:bCs/>
    </w:rPr>
  </w:style>
  <w:style w:type="paragraph" w:styleId="Heading4">
    <w:name w:val="heading 4"/>
    <w:aliases w:val="| BCS | Numbered Heading 4"/>
    <w:basedOn w:val="Heading3"/>
    <w:next w:val="BCSParagraph"/>
    <w:link w:val="Heading4Char"/>
    <w:uiPriority w:val="9"/>
    <w:qFormat/>
    <w:rsid w:val="00E444F8"/>
    <w:pPr>
      <w:numPr>
        <w:ilvl w:val="3"/>
      </w:numPr>
      <w:tabs>
        <w:tab w:val="left" w:pos="360"/>
      </w:tabs>
      <w:outlineLvl w:val="3"/>
    </w:pPr>
    <w:rPr>
      <w:bCs w:val="0"/>
      <w:sz w:val="24"/>
    </w:rPr>
  </w:style>
  <w:style w:type="paragraph" w:styleId="Heading5">
    <w:name w:val="heading 5"/>
    <w:aliases w:val="| BCS | Numbered Heading 5"/>
    <w:basedOn w:val="Heading4"/>
    <w:next w:val="BCSParagraph"/>
    <w:link w:val="Heading5Char"/>
    <w:uiPriority w:val="9"/>
    <w:qFormat/>
    <w:rsid w:val="00E444F8"/>
    <w:pPr>
      <w:numPr>
        <w:ilvl w:val="4"/>
      </w:numPr>
      <w:tabs>
        <w:tab w:val="clear" w:pos="2426"/>
        <w:tab w:val="num" w:pos="1008"/>
      </w:tabs>
      <w:ind w:left="1008"/>
      <w:outlineLvl w:val="4"/>
    </w:pPr>
    <w:rPr>
      <w:bCs/>
      <w:iCs/>
    </w:rPr>
  </w:style>
  <w:style w:type="paragraph" w:styleId="Heading6">
    <w:name w:val="heading 6"/>
    <w:basedOn w:val="BCSDocumenttitle"/>
    <w:next w:val="Normal"/>
    <w:qFormat/>
    <w:rsid w:val="00E444F8"/>
    <w:pPr>
      <w:numPr>
        <w:ilvl w:val="5"/>
        <w:numId w:val="5"/>
      </w:numPr>
      <w:outlineLvl w:val="5"/>
    </w:pPr>
  </w:style>
  <w:style w:type="paragraph" w:styleId="Heading7">
    <w:name w:val="heading 7"/>
    <w:basedOn w:val="Normal"/>
    <w:next w:val="Normal"/>
    <w:qFormat/>
    <w:rsid w:val="00E444F8"/>
    <w:pPr>
      <w:keepNext/>
      <w:numPr>
        <w:ilvl w:val="6"/>
        <w:numId w:val="5"/>
      </w:numPr>
      <w:jc w:val="both"/>
      <w:outlineLvl w:val="6"/>
    </w:pPr>
    <w:rPr>
      <w:b/>
      <w:bCs/>
    </w:rPr>
  </w:style>
  <w:style w:type="paragraph" w:styleId="Heading8">
    <w:name w:val="heading 8"/>
    <w:basedOn w:val="Normal"/>
    <w:next w:val="Normal"/>
    <w:qFormat/>
    <w:rsid w:val="00E444F8"/>
    <w:pPr>
      <w:numPr>
        <w:ilvl w:val="7"/>
        <w:numId w:val="5"/>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E444F8"/>
    <w:pPr>
      <w:numPr>
        <w:ilvl w:val="8"/>
        <w:numId w:val="5"/>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Tableheadings">
    <w:name w:val="| BCS | Table headings"/>
    <w:basedOn w:val="BCSParagraph"/>
    <w:rsid w:val="0046214E"/>
    <w:pPr>
      <w:spacing w:before="40" w:after="40" w:line="240" w:lineRule="auto"/>
    </w:pPr>
    <w:rPr>
      <w:rFonts w:ascii="Arial Bold" w:hAnsi="Arial Bold"/>
      <w:b/>
      <w:bCs/>
      <w:sz w:val="26"/>
    </w:rPr>
  </w:style>
  <w:style w:type="paragraph" w:customStyle="1" w:styleId="BCSParagraph">
    <w:name w:val="| BCS | Paragraph"/>
    <w:rsid w:val="00982E0B"/>
    <w:pPr>
      <w:overflowPunct w:val="0"/>
      <w:autoSpaceDE w:val="0"/>
      <w:autoSpaceDN w:val="0"/>
      <w:adjustRightInd w:val="0"/>
      <w:spacing w:after="240" w:line="300" w:lineRule="exact"/>
      <w:textAlignment w:val="baseline"/>
    </w:pPr>
    <w:rPr>
      <w:rFonts w:ascii="Arial" w:hAnsi="Arial" w:cs="Arial"/>
      <w:color w:val="000000"/>
      <w:sz w:val="24"/>
    </w:rPr>
  </w:style>
  <w:style w:type="paragraph" w:customStyle="1" w:styleId="BCSDocumenttitle">
    <w:name w:val="| BCS | Document title"/>
    <w:rsid w:val="00F13FC9"/>
    <w:pPr>
      <w:overflowPunct w:val="0"/>
      <w:autoSpaceDE w:val="0"/>
      <w:autoSpaceDN w:val="0"/>
      <w:adjustRightInd w:val="0"/>
      <w:spacing w:after="200"/>
      <w:textAlignment w:val="baseline"/>
    </w:pPr>
    <w:rPr>
      <w:rFonts w:ascii="Arial" w:hAnsi="Arial" w:cs="Arial"/>
      <w:b/>
      <w:bCs/>
      <w:color w:val="000000"/>
      <w:sz w:val="30"/>
      <w:szCs w:val="26"/>
    </w:rPr>
  </w:style>
  <w:style w:type="paragraph" w:customStyle="1" w:styleId="BCSHeadingA">
    <w:name w:val="| BCS | Heading A"/>
    <w:rsid w:val="00DB63EF"/>
    <w:pPr>
      <w:overflowPunct w:val="0"/>
      <w:autoSpaceDE w:val="0"/>
      <w:autoSpaceDN w:val="0"/>
      <w:adjustRightInd w:val="0"/>
      <w:spacing w:after="200"/>
      <w:textAlignment w:val="baseline"/>
    </w:pPr>
    <w:rPr>
      <w:rFonts w:ascii="Arial" w:hAnsi="Arial" w:cs="Arial"/>
      <w:b/>
      <w:bCs/>
      <w:color w:val="000000"/>
      <w:sz w:val="28"/>
      <w:szCs w:val="24"/>
    </w:rPr>
  </w:style>
  <w:style w:type="paragraph" w:styleId="Footer">
    <w:name w:val="footer"/>
    <w:basedOn w:val="Normal"/>
    <w:link w:val="FooterChar"/>
    <w:uiPriority w:val="99"/>
    <w:rsid w:val="00DB63EF"/>
    <w:pPr>
      <w:tabs>
        <w:tab w:val="center" w:pos="4320"/>
        <w:tab w:val="right" w:pos="8640"/>
      </w:tabs>
    </w:pPr>
  </w:style>
  <w:style w:type="paragraph" w:customStyle="1" w:styleId="BCSBulletparagraph">
    <w:name w:val="| BCS | Bullet paragraph"/>
    <w:basedOn w:val="Normal"/>
    <w:rsid w:val="00825159"/>
    <w:pPr>
      <w:numPr>
        <w:numId w:val="1"/>
      </w:numPr>
      <w:tabs>
        <w:tab w:val="clear" w:pos="1440"/>
        <w:tab w:val="left" w:pos="720"/>
        <w:tab w:val="left" w:pos="1077"/>
      </w:tabs>
      <w:spacing w:after="40" w:line="300" w:lineRule="exact"/>
      <w:ind w:left="1077" w:hanging="357"/>
    </w:pPr>
    <w:rPr>
      <w:sz w:val="24"/>
    </w:rPr>
  </w:style>
  <w:style w:type="paragraph" w:customStyle="1" w:styleId="BCSTabletext">
    <w:name w:val="| BCS | Table text"/>
    <w:basedOn w:val="BCSParagraph"/>
    <w:rsid w:val="00BC16C1"/>
    <w:pPr>
      <w:spacing w:before="40" w:after="40"/>
    </w:pPr>
    <w:rPr>
      <w:szCs w:val="18"/>
    </w:rPr>
  </w:style>
  <w:style w:type="paragraph" w:customStyle="1" w:styleId="BCSTablesubheadings">
    <w:name w:val="| BCS | Table subheadings"/>
    <w:basedOn w:val="BCSTableheadings"/>
    <w:rsid w:val="0046214E"/>
    <w:rPr>
      <w:iCs/>
      <w:sz w:val="24"/>
      <w:szCs w:val="18"/>
    </w:rPr>
  </w:style>
  <w:style w:type="paragraph" w:customStyle="1" w:styleId="BCSFooter">
    <w:name w:val="| BCS | Footer"/>
    <w:basedOn w:val="Normal"/>
    <w:link w:val="BCSNumberedsubheading"/>
    <w:rsid w:val="00117AF2"/>
    <w:pPr>
      <w:tabs>
        <w:tab w:val="center" w:pos="4536"/>
        <w:tab w:val="right" w:pos="9072"/>
        <w:tab w:val="right" w:pos="9214"/>
      </w:tabs>
      <w:ind w:right="-45"/>
    </w:pPr>
    <w:rPr>
      <w:sz w:val="16"/>
      <w:szCs w:val="16"/>
    </w:rPr>
  </w:style>
  <w:style w:type="paragraph" w:customStyle="1" w:styleId="BCSNumberedsubheading">
    <w:name w:val="| BCS | Numbered subheading"/>
    <w:basedOn w:val="Normal"/>
    <w:link w:val="BCSFooter"/>
    <w:rsid w:val="007D4D40"/>
    <w:pPr>
      <w:spacing w:after="200"/>
      <w:ind w:left="720" w:hanging="720"/>
    </w:pPr>
    <w:rPr>
      <w:rFonts w:ascii="Arial Bold" w:hAnsi="Arial Bold"/>
      <w:b/>
      <w:bCs/>
      <w:sz w:val="24"/>
    </w:rPr>
  </w:style>
  <w:style w:type="paragraph" w:customStyle="1" w:styleId="BCSHeaderdocumenttitle">
    <w:name w:val="| BCS | Header document title"/>
    <w:rsid w:val="00A05BF7"/>
    <w:pPr>
      <w:pBdr>
        <w:bottom w:val="single" w:sz="6" w:space="7" w:color="000080"/>
      </w:pBdr>
      <w:spacing w:before="120" w:after="120"/>
    </w:pPr>
    <w:rPr>
      <w:rFonts w:ascii="Arial" w:hAnsi="Arial" w:cs="Arial"/>
      <w:b/>
      <w:bCs/>
      <w:color w:val="808080"/>
    </w:rPr>
  </w:style>
  <w:style w:type="paragraph" w:customStyle="1" w:styleId="BCSHeadertitle">
    <w:name w:val="| BCS | Header title"/>
    <w:basedOn w:val="Normal"/>
    <w:link w:val="BCSHeadertitleChar"/>
    <w:rsid w:val="00117AF2"/>
    <w:pPr>
      <w:spacing w:after="480"/>
    </w:pPr>
    <w:rPr>
      <w:color w:val="808080"/>
      <w:sz w:val="16"/>
      <w:szCs w:val="16"/>
    </w:rPr>
  </w:style>
  <w:style w:type="paragraph" w:styleId="TOC1">
    <w:name w:val="toc 1"/>
    <w:basedOn w:val="BCSParagraph"/>
    <w:next w:val="Normal"/>
    <w:autoRedefine/>
    <w:uiPriority w:val="39"/>
    <w:rsid w:val="00FB4584"/>
    <w:pPr>
      <w:spacing w:after="40"/>
    </w:pPr>
    <w:rPr>
      <w:b/>
    </w:rPr>
  </w:style>
  <w:style w:type="paragraph" w:customStyle="1" w:styleId="BCSHeadingB">
    <w:name w:val="| BCS | Heading B"/>
    <w:basedOn w:val="BCSHeadingA"/>
    <w:link w:val="BCSHeadingC"/>
    <w:rsid w:val="00DB63EF"/>
    <w:rPr>
      <w:sz w:val="26"/>
      <w:szCs w:val="20"/>
    </w:rPr>
  </w:style>
  <w:style w:type="paragraph" w:customStyle="1" w:styleId="BCSHeadingBnumbered">
    <w:name w:val="| BCS | Heading B numbered"/>
    <w:basedOn w:val="Normal"/>
    <w:rsid w:val="007D4D40"/>
    <w:pPr>
      <w:numPr>
        <w:numId w:val="2"/>
      </w:numPr>
      <w:spacing w:after="200"/>
    </w:pPr>
    <w:rPr>
      <w:b/>
      <w:bCs/>
      <w:color w:val="000000"/>
      <w:sz w:val="26"/>
      <w:szCs w:val="22"/>
    </w:rPr>
  </w:style>
  <w:style w:type="paragraph" w:customStyle="1" w:styleId="BCSTabletextafter">
    <w:name w:val="| BCS | Table text after"/>
    <w:basedOn w:val="BCSParagraph"/>
    <w:rsid w:val="007D4D40"/>
    <w:pPr>
      <w:spacing w:before="240"/>
    </w:pPr>
  </w:style>
  <w:style w:type="paragraph" w:styleId="TOC4">
    <w:name w:val="toc 4"/>
    <w:basedOn w:val="Normal"/>
    <w:next w:val="Normal"/>
    <w:autoRedefine/>
    <w:semiHidden/>
    <w:rsid w:val="00E70A3E"/>
    <w:pPr>
      <w:ind w:left="600"/>
    </w:pPr>
  </w:style>
  <w:style w:type="paragraph" w:customStyle="1" w:styleId="BCSDocumentcovertitle">
    <w:name w:val="| BCS | Document cover title"/>
    <w:rsid w:val="00DB63EF"/>
    <w:pPr>
      <w:spacing w:before="5200"/>
      <w:jc w:val="center"/>
    </w:pPr>
    <w:rPr>
      <w:rFonts w:ascii="Arial" w:hAnsi="Arial" w:cs="Arial"/>
      <w:b/>
      <w:bCs/>
      <w:color w:val="000000"/>
      <w:sz w:val="32"/>
      <w:szCs w:val="28"/>
    </w:rPr>
  </w:style>
  <w:style w:type="paragraph" w:customStyle="1" w:styleId="BCSHeadingC">
    <w:name w:val="| BCS | Heading C"/>
    <w:basedOn w:val="BCSHeadingB"/>
    <w:link w:val="BCSHeadingB"/>
    <w:rsid w:val="007D4D40"/>
    <w:rPr>
      <w:sz w:val="24"/>
    </w:rPr>
  </w:style>
  <w:style w:type="paragraph" w:styleId="TOC2">
    <w:name w:val="toc 2"/>
    <w:basedOn w:val="BCSParagraph"/>
    <w:next w:val="Normal"/>
    <w:autoRedefine/>
    <w:uiPriority w:val="39"/>
    <w:rsid w:val="00FB4584"/>
    <w:pPr>
      <w:tabs>
        <w:tab w:val="right" w:leader="dot" w:pos="9016"/>
      </w:tabs>
      <w:spacing w:after="40"/>
      <w:ind w:left="200"/>
    </w:pPr>
  </w:style>
  <w:style w:type="paragraph" w:styleId="Header">
    <w:name w:val="header"/>
    <w:basedOn w:val="Normal"/>
    <w:link w:val="HeaderChar"/>
    <w:rsid w:val="00404FE1"/>
    <w:pPr>
      <w:tabs>
        <w:tab w:val="center" w:pos="4153"/>
        <w:tab w:val="right" w:pos="8306"/>
      </w:tabs>
    </w:pPr>
  </w:style>
  <w:style w:type="paragraph" w:customStyle="1" w:styleId="BCSNumberedparagraph">
    <w:name w:val="| BCS | Numbered paragraph"/>
    <w:basedOn w:val="BCSParagraph"/>
    <w:next w:val="BCSHeadingBnumbered"/>
    <w:rsid w:val="007D4D40"/>
    <w:pPr>
      <w:ind w:left="720" w:hanging="720"/>
    </w:pPr>
  </w:style>
  <w:style w:type="paragraph" w:customStyle="1" w:styleId="BCSTinytext">
    <w:name w:val="| BCS | Tiny text"/>
    <w:rsid w:val="00F13FC9"/>
    <w:pPr>
      <w:spacing w:before="40" w:after="40" w:line="245" w:lineRule="exact"/>
    </w:pPr>
    <w:rPr>
      <w:rFonts w:ascii="Arial" w:hAnsi="Arial" w:cs="Arial"/>
      <w:color w:val="000000"/>
      <w:sz w:val="18"/>
      <w:szCs w:val="16"/>
    </w:rPr>
  </w:style>
  <w:style w:type="character" w:customStyle="1" w:styleId="BCSHeadertitleChar">
    <w:name w:val="| BCS | Header title Char"/>
    <w:basedOn w:val="DefaultParagraphFont"/>
    <w:link w:val="BCSHeadertitle"/>
    <w:rsid w:val="00D40994"/>
    <w:rPr>
      <w:rFonts w:ascii="Arial" w:hAnsi="Arial" w:cs="Arial"/>
      <w:color w:val="808080"/>
      <w:sz w:val="16"/>
      <w:szCs w:val="16"/>
      <w:lang w:val="en-GB" w:eastAsia="en-GB" w:bidi="ar-SA"/>
    </w:rPr>
  </w:style>
  <w:style w:type="paragraph" w:customStyle="1" w:styleId="BCSBulletlast">
    <w:name w:val="| BCS | Bullet last"/>
    <w:basedOn w:val="BCSBulletparagraph"/>
    <w:rsid w:val="00104102"/>
    <w:pPr>
      <w:spacing w:after="240"/>
    </w:pPr>
  </w:style>
  <w:style w:type="character" w:styleId="Hyperlink">
    <w:name w:val="Hyperlink"/>
    <w:basedOn w:val="DefaultParagraphFont"/>
    <w:uiPriority w:val="99"/>
    <w:rsid w:val="006B0044"/>
    <w:rPr>
      <w:color w:val="0000FF"/>
      <w:u w:val="single"/>
    </w:rPr>
  </w:style>
  <w:style w:type="paragraph" w:customStyle="1" w:styleId="BCSBulletlevel2">
    <w:name w:val="| BCS | Bullet level 2"/>
    <w:rsid w:val="00D40994"/>
    <w:pPr>
      <w:numPr>
        <w:numId w:val="4"/>
      </w:numPr>
      <w:spacing w:after="40" w:line="300" w:lineRule="exact"/>
    </w:pPr>
    <w:rPr>
      <w:rFonts w:ascii="Arial" w:hAnsi="Arial" w:cs="Arial"/>
      <w:sz w:val="24"/>
    </w:rPr>
  </w:style>
  <w:style w:type="paragraph" w:customStyle="1" w:styleId="BCSBulletnumberedlast">
    <w:name w:val="| BCS | Bullet numbered last"/>
    <w:basedOn w:val="BCSBulletnumbered"/>
    <w:rsid w:val="00104102"/>
    <w:pPr>
      <w:spacing w:after="240"/>
    </w:pPr>
  </w:style>
  <w:style w:type="paragraph" w:customStyle="1" w:styleId="BCSNumberedheading">
    <w:name w:val="| BCS | Numbered heading"/>
    <w:basedOn w:val="Normal"/>
    <w:rsid w:val="005E0255"/>
    <w:pPr>
      <w:tabs>
        <w:tab w:val="num" w:pos="720"/>
      </w:tabs>
      <w:spacing w:after="200"/>
      <w:ind w:left="720" w:hanging="720"/>
    </w:pPr>
    <w:rPr>
      <w:b/>
      <w:bCs/>
      <w:color w:val="000000"/>
      <w:sz w:val="26"/>
      <w:szCs w:val="22"/>
    </w:rPr>
  </w:style>
  <w:style w:type="paragraph" w:customStyle="1" w:styleId="BCSBulletnumbered">
    <w:name w:val="| BCS | Bullet numbered"/>
    <w:basedOn w:val="BCSParagraph"/>
    <w:autoRedefine/>
    <w:rsid w:val="00D40994"/>
    <w:pPr>
      <w:numPr>
        <w:numId w:val="3"/>
      </w:numPr>
      <w:tabs>
        <w:tab w:val="left" w:pos="720"/>
      </w:tabs>
      <w:spacing w:after="40"/>
      <w:outlineLvl w:val="0"/>
    </w:pPr>
  </w:style>
  <w:style w:type="paragraph" w:styleId="TOC3">
    <w:name w:val="toc 3"/>
    <w:basedOn w:val="BCSParagraph"/>
    <w:next w:val="Normal"/>
    <w:autoRedefine/>
    <w:uiPriority w:val="39"/>
    <w:rsid w:val="00FB4584"/>
    <w:pPr>
      <w:spacing w:after="40"/>
      <w:ind w:left="400"/>
    </w:pPr>
  </w:style>
  <w:style w:type="character" w:styleId="CommentReference">
    <w:name w:val="annotation reference"/>
    <w:basedOn w:val="DefaultParagraphFont"/>
    <w:uiPriority w:val="99"/>
    <w:rsid w:val="00122198"/>
    <w:rPr>
      <w:sz w:val="16"/>
      <w:szCs w:val="16"/>
    </w:rPr>
  </w:style>
  <w:style w:type="paragraph" w:styleId="CommentText">
    <w:name w:val="annotation text"/>
    <w:basedOn w:val="Normal"/>
    <w:link w:val="CommentTextChar"/>
    <w:uiPriority w:val="99"/>
    <w:rsid w:val="00122198"/>
  </w:style>
  <w:style w:type="character" w:customStyle="1" w:styleId="CommentTextChar">
    <w:name w:val="Comment Text Char"/>
    <w:basedOn w:val="DefaultParagraphFont"/>
    <w:link w:val="CommentText"/>
    <w:uiPriority w:val="99"/>
    <w:rsid w:val="00122198"/>
    <w:rPr>
      <w:rFonts w:ascii="Arial" w:hAnsi="Arial" w:cs="Arial"/>
    </w:rPr>
  </w:style>
  <w:style w:type="paragraph" w:styleId="CommentSubject">
    <w:name w:val="annotation subject"/>
    <w:basedOn w:val="CommentText"/>
    <w:next w:val="CommentText"/>
    <w:link w:val="CommentSubjectChar"/>
    <w:uiPriority w:val="99"/>
    <w:rsid w:val="00122198"/>
    <w:rPr>
      <w:b/>
      <w:bCs/>
    </w:rPr>
  </w:style>
  <w:style w:type="character" w:customStyle="1" w:styleId="CommentSubjectChar">
    <w:name w:val="Comment Subject Char"/>
    <w:basedOn w:val="CommentTextChar"/>
    <w:link w:val="CommentSubject"/>
    <w:uiPriority w:val="99"/>
    <w:rsid w:val="00122198"/>
    <w:rPr>
      <w:b/>
      <w:bCs/>
    </w:rPr>
  </w:style>
  <w:style w:type="paragraph" w:styleId="BalloonText">
    <w:name w:val="Balloon Text"/>
    <w:basedOn w:val="Normal"/>
    <w:link w:val="BalloonTextChar"/>
    <w:rsid w:val="00122198"/>
    <w:rPr>
      <w:rFonts w:ascii="Tahoma" w:hAnsi="Tahoma" w:cs="Tahoma"/>
      <w:sz w:val="16"/>
      <w:szCs w:val="16"/>
    </w:rPr>
  </w:style>
  <w:style w:type="character" w:customStyle="1" w:styleId="BalloonTextChar">
    <w:name w:val="Balloon Text Char"/>
    <w:basedOn w:val="DefaultParagraphFont"/>
    <w:link w:val="BalloonText"/>
    <w:rsid w:val="00122198"/>
    <w:rPr>
      <w:rFonts w:ascii="Tahoma" w:hAnsi="Tahoma" w:cs="Tahoma"/>
      <w:sz w:val="16"/>
      <w:szCs w:val="16"/>
    </w:rPr>
  </w:style>
  <w:style w:type="table" w:styleId="TableGrid">
    <w:name w:val="Table Grid"/>
    <w:basedOn w:val="TableNormal"/>
    <w:rsid w:val="001221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unhideWhenUsed/>
    <w:qFormat/>
    <w:rsid w:val="00291E20"/>
    <w:pPr>
      <w:keepNext/>
      <w:numPr>
        <w:numId w:val="0"/>
      </w:numPr>
      <w:overflowPunct w:val="0"/>
      <w:autoSpaceDE w:val="0"/>
      <w:autoSpaceDN w:val="0"/>
      <w:adjustRightInd w:val="0"/>
      <w:spacing w:before="240" w:after="60"/>
      <w:textAlignment w:val="baseline"/>
      <w:outlineLvl w:val="9"/>
    </w:pPr>
    <w:rPr>
      <w:rFonts w:asciiTheme="majorHAnsi" w:eastAsiaTheme="majorEastAsia" w:hAnsiTheme="majorHAnsi" w:cstheme="majorBidi"/>
      <w:color w:val="auto"/>
      <w:kern w:val="32"/>
      <w:sz w:val="32"/>
      <w:szCs w:val="32"/>
    </w:rPr>
  </w:style>
  <w:style w:type="character" w:customStyle="1" w:styleId="Heading2Char">
    <w:name w:val="Heading 2 Char"/>
    <w:aliases w:val="| BCS | Numbered Heading 2 Char"/>
    <w:basedOn w:val="DefaultParagraphFont"/>
    <w:link w:val="Heading2"/>
    <w:uiPriority w:val="99"/>
    <w:rsid w:val="00291E20"/>
    <w:rPr>
      <w:rFonts w:ascii="Arial" w:hAnsi="Arial" w:cs="Arial"/>
      <w:b/>
      <w:color w:val="000000"/>
      <w:sz w:val="26"/>
    </w:rPr>
  </w:style>
  <w:style w:type="character" w:customStyle="1" w:styleId="Heading1Char">
    <w:name w:val="Heading 1 Char"/>
    <w:aliases w:val="| BCS | Numbered Heading 1 Char"/>
    <w:basedOn w:val="DefaultParagraphFont"/>
    <w:link w:val="Heading1"/>
    <w:uiPriority w:val="99"/>
    <w:rsid w:val="00291E20"/>
    <w:rPr>
      <w:rFonts w:ascii="Arial Bold" w:hAnsi="Arial Bold" w:cs="Arial"/>
      <w:b/>
      <w:bCs/>
      <w:color w:val="000000"/>
      <w:sz w:val="28"/>
    </w:rPr>
  </w:style>
  <w:style w:type="character" w:customStyle="1" w:styleId="HeaderChar">
    <w:name w:val="Header Char"/>
    <w:basedOn w:val="DefaultParagraphFont"/>
    <w:link w:val="Header"/>
    <w:rsid w:val="00291E20"/>
    <w:rPr>
      <w:rFonts w:ascii="Arial" w:hAnsi="Arial" w:cs="Arial"/>
    </w:rPr>
  </w:style>
  <w:style w:type="character" w:customStyle="1" w:styleId="FooterChar">
    <w:name w:val="Footer Char"/>
    <w:basedOn w:val="DefaultParagraphFont"/>
    <w:link w:val="Footer"/>
    <w:uiPriority w:val="99"/>
    <w:rsid w:val="00291E20"/>
    <w:rPr>
      <w:rFonts w:ascii="Arial" w:hAnsi="Arial" w:cs="Arial"/>
    </w:rPr>
  </w:style>
  <w:style w:type="paragraph" w:styleId="FootnoteText">
    <w:name w:val="footnote text"/>
    <w:basedOn w:val="Normal"/>
    <w:link w:val="FootnoteTextChar"/>
    <w:uiPriority w:val="99"/>
    <w:unhideWhenUsed/>
    <w:rsid w:val="00291E20"/>
    <w:pPr>
      <w:overflowPunct/>
      <w:autoSpaceDE/>
      <w:autoSpaceDN/>
      <w:adjustRightInd/>
      <w:spacing w:after="200"/>
      <w:textAlignment w:val="auto"/>
    </w:pPr>
    <w:rPr>
      <w:rFonts w:ascii="Calibri" w:eastAsia="Calibri" w:hAnsi="Calibri" w:cs="Times New Roman"/>
      <w:lang w:val="en-US" w:eastAsia="en-US"/>
    </w:rPr>
  </w:style>
  <w:style w:type="character" w:customStyle="1" w:styleId="FootnoteTextChar">
    <w:name w:val="Footnote Text Char"/>
    <w:basedOn w:val="DefaultParagraphFont"/>
    <w:link w:val="FootnoteText"/>
    <w:uiPriority w:val="99"/>
    <w:rsid w:val="00291E20"/>
    <w:rPr>
      <w:rFonts w:ascii="Calibri" w:eastAsia="Calibri" w:hAnsi="Calibri"/>
      <w:lang w:val="en-US" w:eastAsia="en-US"/>
    </w:rPr>
  </w:style>
  <w:style w:type="character" w:styleId="FootnoteReference">
    <w:name w:val="footnote reference"/>
    <w:basedOn w:val="DefaultParagraphFont"/>
    <w:uiPriority w:val="99"/>
    <w:unhideWhenUsed/>
    <w:rsid w:val="00291E20"/>
    <w:rPr>
      <w:vertAlign w:val="superscript"/>
    </w:rPr>
  </w:style>
  <w:style w:type="character" w:customStyle="1" w:styleId="Heading3Char">
    <w:name w:val="Heading 3 Char"/>
    <w:aliases w:val="| BCS | Numbered Heading 3 Char"/>
    <w:basedOn w:val="DefaultParagraphFont"/>
    <w:link w:val="Heading3"/>
    <w:uiPriority w:val="99"/>
    <w:rsid w:val="00291E20"/>
    <w:rPr>
      <w:rFonts w:ascii="Arial" w:hAnsi="Arial" w:cs="Arial"/>
      <w:b/>
      <w:bCs/>
      <w:color w:val="000000"/>
      <w:sz w:val="26"/>
    </w:rPr>
  </w:style>
  <w:style w:type="character" w:customStyle="1" w:styleId="Heading4Char">
    <w:name w:val="Heading 4 Char"/>
    <w:aliases w:val="| BCS | Numbered Heading 4 Char"/>
    <w:basedOn w:val="DefaultParagraphFont"/>
    <w:link w:val="Heading4"/>
    <w:uiPriority w:val="9"/>
    <w:rsid w:val="00291E20"/>
    <w:rPr>
      <w:rFonts w:ascii="Arial" w:hAnsi="Arial" w:cs="Arial"/>
      <w:b/>
      <w:color w:val="000000"/>
      <w:sz w:val="24"/>
    </w:rPr>
  </w:style>
  <w:style w:type="character" w:styleId="FollowedHyperlink">
    <w:name w:val="FollowedHyperlink"/>
    <w:basedOn w:val="DefaultParagraphFont"/>
    <w:uiPriority w:val="99"/>
    <w:unhideWhenUsed/>
    <w:rsid w:val="00291E20"/>
    <w:rPr>
      <w:color w:val="800080"/>
      <w:u w:val="single"/>
    </w:rPr>
  </w:style>
  <w:style w:type="paragraph" w:styleId="TableofFigures">
    <w:name w:val="table of figures"/>
    <w:basedOn w:val="Normal"/>
    <w:next w:val="Normal"/>
    <w:uiPriority w:val="99"/>
    <w:unhideWhenUsed/>
    <w:rsid w:val="00291E20"/>
    <w:pPr>
      <w:overflowPunct/>
      <w:autoSpaceDE/>
      <w:autoSpaceDN/>
      <w:adjustRightInd/>
      <w:spacing w:after="200"/>
      <w:textAlignment w:val="auto"/>
    </w:pPr>
    <w:rPr>
      <w:rFonts w:ascii="Calibri" w:eastAsia="Calibri" w:hAnsi="Calibri" w:cs="Times New Roman"/>
      <w:sz w:val="24"/>
      <w:szCs w:val="22"/>
      <w:lang w:val="en-US" w:eastAsia="en-US"/>
    </w:rPr>
  </w:style>
  <w:style w:type="paragraph" w:styleId="ListParagraph">
    <w:name w:val="List Paragraph"/>
    <w:basedOn w:val="Normal"/>
    <w:uiPriority w:val="99"/>
    <w:qFormat/>
    <w:rsid w:val="00291E20"/>
    <w:pPr>
      <w:overflowPunct/>
      <w:autoSpaceDE/>
      <w:autoSpaceDN/>
      <w:adjustRightInd/>
      <w:spacing w:after="200"/>
      <w:ind w:left="720"/>
      <w:textAlignment w:val="auto"/>
    </w:pPr>
    <w:rPr>
      <w:rFonts w:ascii="Calibri" w:eastAsia="Calibri" w:hAnsi="Calibri" w:cs="Times New Roman"/>
      <w:sz w:val="22"/>
      <w:szCs w:val="22"/>
      <w:lang w:val="en-US" w:eastAsia="en-US"/>
    </w:rPr>
  </w:style>
  <w:style w:type="character" w:customStyle="1" w:styleId="Heading5Char">
    <w:name w:val="Heading 5 Char"/>
    <w:aliases w:val="| BCS | Numbered Heading 5 Char"/>
    <w:basedOn w:val="DefaultParagraphFont"/>
    <w:link w:val="Heading5"/>
    <w:uiPriority w:val="9"/>
    <w:rsid w:val="00291E20"/>
    <w:rPr>
      <w:rFonts w:ascii="Arial" w:hAnsi="Arial" w:cs="Arial"/>
      <w:b/>
      <w:bCs/>
      <w:iCs/>
      <w:color w:val="000000"/>
      <w:sz w:val="24"/>
    </w:rPr>
  </w:style>
  <w:style w:type="paragraph" w:styleId="BodyTextIndent">
    <w:name w:val="Body Text Indent"/>
    <w:basedOn w:val="Normal"/>
    <w:link w:val="BodyTextIndentChar"/>
    <w:rsid w:val="00291E20"/>
    <w:pPr>
      <w:overflowPunct/>
      <w:autoSpaceDE/>
      <w:autoSpaceDN/>
      <w:adjustRightInd/>
      <w:ind w:left="567"/>
      <w:textAlignment w:val="auto"/>
    </w:pPr>
    <w:rPr>
      <w:rFonts w:ascii="Times New Roman" w:hAnsi="Times New Roman" w:cs="Times New Roman"/>
      <w:sz w:val="22"/>
      <w:lang w:eastAsia="en-US"/>
    </w:rPr>
  </w:style>
  <w:style w:type="character" w:customStyle="1" w:styleId="BodyTextIndentChar">
    <w:name w:val="Body Text Indent Char"/>
    <w:basedOn w:val="DefaultParagraphFont"/>
    <w:link w:val="BodyTextIndent"/>
    <w:rsid w:val="00291E20"/>
    <w:rPr>
      <w:sz w:val="22"/>
      <w:lang w:eastAsia="en-US"/>
    </w:rPr>
  </w:style>
  <w:style w:type="paragraph" w:styleId="BodyText">
    <w:name w:val="Body Text"/>
    <w:basedOn w:val="Normal"/>
    <w:link w:val="BodyTextChar"/>
    <w:uiPriority w:val="99"/>
    <w:unhideWhenUsed/>
    <w:rsid w:val="00291E20"/>
    <w:pPr>
      <w:overflowPunct/>
      <w:autoSpaceDE/>
      <w:autoSpaceDN/>
      <w:adjustRightInd/>
      <w:spacing w:after="120"/>
      <w:textAlignment w:val="auto"/>
    </w:pPr>
    <w:rPr>
      <w:rFonts w:ascii="Times New Roman" w:hAnsi="Times New Roman" w:cs="Times New Roman"/>
      <w:sz w:val="24"/>
      <w:szCs w:val="24"/>
      <w:lang w:eastAsia="en-US"/>
    </w:rPr>
  </w:style>
  <w:style w:type="character" w:customStyle="1" w:styleId="BodyTextChar">
    <w:name w:val="Body Text Char"/>
    <w:basedOn w:val="DefaultParagraphFont"/>
    <w:link w:val="BodyText"/>
    <w:uiPriority w:val="99"/>
    <w:rsid w:val="00291E20"/>
    <w:rPr>
      <w:sz w:val="24"/>
      <w:szCs w:val="24"/>
      <w:lang w:eastAsia="en-US"/>
    </w:rPr>
  </w:style>
  <w:style w:type="paragraph" w:styleId="PlainText">
    <w:name w:val="Plain Text"/>
    <w:basedOn w:val="Normal"/>
    <w:link w:val="PlainTextChar"/>
    <w:uiPriority w:val="99"/>
    <w:unhideWhenUsed/>
    <w:rsid w:val="00291E20"/>
    <w:pPr>
      <w:overflowPunct/>
      <w:autoSpaceDE/>
      <w:autoSpaceDN/>
      <w:adjustRightInd/>
      <w:textAlignment w:val="auto"/>
    </w:pPr>
    <w:rPr>
      <w:rFonts w:ascii="Consolas" w:hAnsi="Consolas" w:cs="Times New Roman"/>
      <w:sz w:val="21"/>
      <w:szCs w:val="21"/>
    </w:rPr>
  </w:style>
  <w:style w:type="character" w:customStyle="1" w:styleId="PlainTextChar">
    <w:name w:val="Plain Text Char"/>
    <w:basedOn w:val="DefaultParagraphFont"/>
    <w:link w:val="PlainText"/>
    <w:uiPriority w:val="99"/>
    <w:rsid w:val="00291E20"/>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4.emf"/><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NULL"/><Relationship Id="rId20" Type="http://schemas.openxmlformats.org/officeDocument/2006/relationships/image" Target="media/image13.emf"/><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7.emf"/><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6.emf"/><Relationship Id="rId28"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image" Target="media/image12.emf"/><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18018</Words>
  <Characters>102709</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Title of the document - from properties box</vt:lpstr>
    </vt:vector>
  </TitlesOfParts>
  <Manager/>
  <Company>Becta</Company>
  <LinksUpToDate>false</LinksUpToDate>
  <CharactersWithSpaces>120487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from properties box</dc:title>
  <dc:subject>            Not protectively marked/Protect/Restricted/Confidential/Secret/Top secret</dc:subject>
  <dc:creator>sarahe</dc:creator>
  <cp:keywords/>
  <dc:description/>
  <cp:lastModifiedBy>nigele</cp:lastModifiedBy>
  <cp:revision>2</cp:revision>
  <cp:lastPrinted>2009-06-01T12:11:00Z</cp:lastPrinted>
  <dcterms:created xsi:type="dcterms:W3CDTF">2010-08-05T14:53:00Z</dcterms:created>
  <dcterms:modified xsi:type="dcterms:W3CDTF">2010-08-05T14:53:00Z</dcterms:modified>
  <cp:category/>
</cp:coreProperties>
</file>